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B3D" w14:textId="61BD9DD4" w:rsidR="00D9092D" w:rsidRDefault="00D11DF3" w:rsidP="000A72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Multivariate Process Monitoring</w:t>
      </w:r>
      <w:r w:rsidR="000A7270" w:rsidRPr="000A7270">
        <w:rPr>
          <w:b/>
          <w:sz w:val="32"/>
          <w:szCs w:val="32"/>
          <w:u w:val="single"/>
        </w:rPr>
        <w:t xml:space="preserve"> Procedures</w:t>
      </w:r>
    </w:p>
    <w:p w14:paraId="110A2935" w14:textId="78FDAB16" w:rsidR="000A4239" w:rsidRPr="000A4239" w:rsidRDefault="000A4239" w:rsidP="0016314B">
      <w:pPr>
        <w:pStyle w:val="Heading3"/>
        <w:jc w:val="center"/>
        <w:rPr>
          <w:rFonts w:eastAsia="Times New Roman" w:cs="Times New Roman"/>
          <w:sz w:val="24"/>
          <w:szCs w:val="24"/>
        </w:rPr>
      </w:pPr>
      <w:r>
        <w:rPr>
          <w:b w:val="0"/>
          <w:sz w:val="24"/>
          <w:szCs w:val="24"/>
        </w:rPr>
        <w:t>f</w:t>
      </w:r>
      <w:r w:rsidRPr="000A4239">
        <w:rPr>
          <w:b w:val="0"/>
          <w:sz w:val="24"/>
          <w:szCs w:val="24"/>
        </w:rPr>
        <w:t xml:space="preserve">or </w:t>
      </w:r>
      <w:r w:rsidRPr="00BA0910">
        <w:rPr>
          <w:rFonts w:eastAsia="Times New Roman" w:cs="Times New Roman"/>
          <w:b w:val="0"/>
          <w:sz w:val="24"/>
          <w:szCs w:val="24"/>
        </w:rPr>
        <w:t>Jacob Hartzer</w:t>
      </w:r>
    </w:p>
    <w:p w14:paraId="2F1E4CAF" w14:textId="62FCA264" w:rsidR="00D11DF3" w:rsidRPr="00D11DF3" w:rsidRDefault="00D11DF3" w:rsidP="000A7270">
      <w:pPr>
        <w:jc w:val="center"/>
      </w:pPr>
      <w:r w:rsidRPr="00D11DF3">
        <w:t>Assigne</w:t>
      </w:r>
      <w:r w:rsidR="005B77BA">
        <w:t xml:space="preserve">d on: 4.11.2017 </w:t>
      </w:r>
      <w:r w:rsidR="005B77BA">
        <w:tab/>
      </w:r>
      <w:r w:rsidR="005B77BA">
        <w:tab/>
      </w:r>
      <w:r w:rsidR="005B77BA">
        <w:tab/>
        <w:t>Submit on: 4</w:t>
      </w:r>
      <w:r w:rsidRPr="00D11DF3">
        <w:t>.</w:t>
      </w:r>
      <w:r w:rsidR="005B77BA">
        <w:t>28</w:t>
      </w:r>
      <w:r w:rsidRPr="00D11DF3">
        <w:t xml:space="preserve">.2017 </w:t>
      </w:r>
    </w:p>
    <w:p w14:paraId="63D12BAF" w14:textId="77777777" w:rsidR="000A7270" w:rsidRDefault="000A7270" w:rsidP="000A7270">
      <w:pPr>
        <w:jc w:val="center"/>
        <w:rPr>
          <w:b/>
          <w:sz w:val="32"/>
          <w:szCs w:val="32"/>
          <w:u w:val="single"/>
        </w:rPr>
      </w:pPr>
    </w:p>
    <w:p w14:paraId="46C4627B" w14:textId="16BEAEC1" w:rsidR="00DF0659" w:rsidRDefault="006D2C2C" w:rsidP="00E1313D">
      <w:pPr>
        <w:jc w:val="both"/>
      </w:pPr>
      <w:r>
        <w:tab/>
      </w:r>
      <w:r w:rsidR="00E1313D">
        <w:t xml:space="preserve">There are many industrial </w:t>
      </w:r>
      <w:r w:rsidR="00B10A10">
        <w:t xml:space="preserve">settings where process performance is based on the behavior of set of variables that are interrelated.  </w:t>
      </w:r>
      <w:r w:rsidR="00C549F4">
        <w:t>This is common in production units. An example of a production un</w:t>
      </w:r>
      <w:r w:rsidR="00BA0910">
        <w:t>it is one where natural gas as a</w:t>
      </w:r>
      <w:r w:rsidR="00C549F4">
        <w:t xml:space="preserve"> form of energy is converted to steam or electricity. </w:t>
      </w:r>
      <w:r>
        <w:t xml:space="preserve">In this project we will develop control procedure that will detect unusual occurrence in variables. </w:t>
      </w:r>
      <w:r w:rsidR="00C549F4">
        <w:t xml:space="preserve"> </w:t>
      </w:r>
      <w:r w:rsidR="00181323">
        <w:t>We need to perform a multivariate analysis because</w:t>
      </w:r>
      <w:r w:rsidR="007543A4">
        <w:t xml:space="preserve"> the </w:t>
      </w:r>
      <w:r w:rsidR="007A05CF">
        <w:t>characteristics</w:t>
      </w:r>
      <w:r w:rsidR="007543A4">
        <w:t xml:space="preserve"> of the variables are inte</w:t>
      </w:r>
      <w:r w:rsidR="00DF0659">
        <w:t xml:space="preserve">rrelated and hence they </w:t>
      </w:r>
      <w:r w:rsidR="007A05CF">
        <w:t>need</w:t>
      </w:r>
      <w:r w:rsidR="00DF0659">
        <w:t xml:space="preserve"> to be examined together.</w:t>
      </w:r>
    </w:p>
    <w:p w14:paraId="30F6C8AE" w14:textId="77777777" w:rsidR="00F445CB" w:rsidRDefault="00F445CB" w:rsidP="00E1313D">
      <w:pPr>
        <w:jc w:val="both"/>
      </w:pPr>
    </w:p>
    <w:p w14:paraId="067D85EB" w14:textId="27797CEA" w:rsidR="00F445CB" w:rsidRDefault="00F445CB" w:rsidP="00E1313D">
      <w:pPr>
        <w:jc w:val="both"/>
      </w:pPr>
      <w:r>
        <w:tab/>
      </w:r>
      <w:r w:rsidR="009C6E92">
        <w:t xml:space="preserve">In multivariate analysis, we need to examine the variables relative to the relationships that </w:t>
      </w:r>
      <w:r w:rsidR="007A05CF">
        <w:t>exist</w:t>
      </w:r>
      <w:r w:rsidR="009C6E92">
        <w:t xml:space="preserve"> among them. If the mean point is typical of sample data, one form of analysis is finding the distance of each point from the mean. The </w:t>
      </w:r>
      <w:r w:rsidR="00390495">
        <w:t>distance can be obtained using Euclidean distance.</w:t>
      </w:r>
      <w:r w:rsidR="001D268F">
        <w:t xml:space="preserve"> </w:t>
      </w:r>
    </w:p>
    <w:p w14:paraId="3E62CC54" w14:textId="77777777" w:rsidR="00662A73" w:rsidRDefault="00662A73" w:rsidP="00E1313D">
      <w:pPr>
        <w:jc w:val="both"/>
      </w:pPr>
    </w:p>
    <w:p w14:paraId="6F45842F" w14:textId="2C42EC5E" w:rsidR="00662A73" w:rsidRDefault="00662A73" w:rsidP="00E1313D">
      <w:pPr>
        <w:jc w:val="both"/>
      </w:pPr>
      <w:r>
        <w:tab/>
        <w:t xml:space="preserve">The problem of using </w:t>
      </w:r>
      <w:r w:rsidR="007A05CF">
        <w:t>Euclidean</w:t>
      </w:r>
      <w:r>
        <w:t xml:space="preserve"> distance is that it </w:t>
      </w:r>
      <w:r w:rsidR="007A05CF">
        <w:t>does not</w:t>
      </w:r>
      <w:r>
        <w:t xml:space="preserve"> take care </w:t>
      </w:r>
      <w:r w:rsidR="00BA0910">
        <w:t xml:space="preserve">of </w:t>
      </w:r>
      <w:r>
        <w:t xml:space="preserve">the variance-covariance among the data. This is </w:t>
      </w:r>
      <w:r w:rsidR="007A05CF">
        <w:t>overcome</w:t>
      </w:r>
      <w:r>
        <w:t xml:space="preserve"> by another statistical distance known as </w:t>
      </w:r>
      <w:proofErr w:type="spellStart"/>
      <w:r>
        <w:t>Hotelling’s</w:t>
      </w:r>
      <w:proofErr w:type="spellEnd"/>
      <w:r>
        <w:t xml:space="preserve"> T</w:t>
      </w:r>
      <w:r w:rsidRPr="00662A73">
        <w:rPr>
          <w:vertAlign w:val="superscript"/>
        </w:rPr>
        <w:t>2</w:t>
      </w:r>
      <w:r>
        <w:t xml:space="preserve"> given by:</w:t>
      </w:r>
    </w:p>
    <w:p w14:paraId="246D8CA7" w14:textId="77777777" w:rsidR="00662A73" w:rsidRDefault="00662A73" w:rsidP="00E1313D">
      <w:pPr>
        <w:jc w:val="both"/>
      </w:pPr>
    </w:p>
    <w:p w14:paraId="042E682A" w14:textId="5E3E6DD2" w:rsidR="00662A73" w:rsidRPr="00662A73" w:rsidRDefault="001A716A" w:rsidP="00E1313D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=(X-μ)'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(X-μ)</m:t>
          </m:r>
        </m:oMath>
      </m:oMathPara>
    </w:p>
    <w:p w14:paraId="237A5763" w14:textId="77777777" w:rsidR="00B0224D" w:rsidRDefault="00B0224D" w:rsidP="00E1313D">
      <w:pPr>
        <w:jc w:val="both"/>
      </w:pPr>
    </w:p>
    <w:p w14:paraId="27774915" w14:textId="6C5C6788" w:rsidR="00B0224D" w:rsidRDefault="004574CA" w:rsidP="00E1313D">
      <w:pPr>
        <w:jc w:val="both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,…….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μ</m:t>
        </m:r>
      </m:oMath>
      <w:r w:rsidR="007A05CF">
        <w:t xml:space="preserve"> is the mean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</w:t>
      </w:r>
      <w:r w:rsidR="007A05CF">
        <w:t>is the variance-covariance matrix</w:t>
      </w:r>
      <w:r w:rsidR="00A739ED">
        <w:t xml:space="preserve"> of the </w:t>
      </w:r>
      <w:proofErr w:type="gramStart"/>
      <w:r w:rsidR="00A739ED">
        <w:t>sample</w:t>
      </w:r>
      <w:r w:rsidR="007A05CF">
        <w:t>.</w:t>
      </w:r>
      <w:proofErr w:type="gramEnd"/>
    </w:p>
    <w:p w14:paraId="4FBD046A" w14:textId="77777777" w:rsidR="007A05CF" w:rsidRDefault="007A05CF" w:rsidP="00E1313D">
      <w:pPr>
        <w:jc w:val="both"/>
      </w:pPr>
    </w:p>
    <w:p w14:paraId="5D97A371" w14:textId="746D9D30" w:rsidR="007A05CF" w:rsidRPr="007A05CF" w:rsidRDefault="007A05CF" w:rsidP="00E1313D">
      <w:pPr>
        <w:jc w:val="both"/>
      </w:pPr>
      <w:r>
        <w:tab/>
        <w:t xml:space="preserve">One of the problems of the implementation of </w:t>
      </w:r>
      <w:proofErr w:type="spellStart"/>
      <w:r>
        <w:t>Hotelling’s</w:t>
      </w:r>
      <w:proofErr w:type="spellEnd"/>
      <w:r>
        <w:t xml:space="preserve"> T</w:t>
      </w:r>
      <w:r w:rsidRPr="00662A7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is the evaluation of the inverse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.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has to be </w:t>
      </w:r>
      <w:proofErr w:type="gramStart"/>
      <w:r>
        <w:t>non singular</w:t>
      </w:r>
      <w:proofErr w:type="gramEnd"/>
      <w:r>
        <w:t xml:space="preserve"> so that it can be inverted. </w:t>
      </w:r>
      <w:r w:rsidR="0039726F">
        <w:t xml:space="preserve">A singular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9726F">
        <w:t xml:space="preserve"> occurs when two or more variables are perfectly correlated (collinear). Collinearities can occur in a covariance matrix because of theoretical relation exist in the process or because of outliers in data. A convenient wa</w:t>
      </w:r>
      <w:r w:rsidR="00BA0910">
        <w:t>y to identify the collinearity</w:t>
      </w:r>
      <w:r w:rsidR="0039726F">
        <w:t xml:space="preserve"> is through examining the eigenvalues and eigenvectors of </w:t>
      </w:r>
      <m:oMath>
        <m:r>
          <m:rPr>
            <m:sty m:val="p"/>
          </m:rPr>
          <w:rPr>
            <w:rFonts w:ascii="Cambria Math" w:hAnsi="Cambria Math"/>
          </w:rPr>
          <m:t>Σ.</m:t>
        </m:r>
      </m:oMath>
      <w:r w:rsidR="0039726F">
        <w:t xml:space="preserve"> </w:t>
      </w:r>
    </w:p>
    <w:p w14:paraId="45AD555C" w14:textId="77777777" w:rsidR="00DF0659" w:rsidRDefault="00DF0659" w:rsidP="00E1313D">
      <w:pPr>
        <w:jc w:val="both"/>
      </w:pPr>
    </w:p>
    <w:p w14:paraId="12C66ADD" w14:textId="77777777" w:rsidR="00EE37FC" w:rsidRDefault="00DF0659" w:rsidP="00E1313D">
      <w:pPr>
        <w:jc w:val="both"/>
      </w:pPr>
      <w:r>
        <w:tab/>
      </w:r>
      <w:r w:rsidR="00A739ED">
        <w:t xml:space="preserve">We use principal component analysis (PCA) for examining collinearities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A739ED">
        <w:t xml:space="preserve">. PCA can help to identify subgroups of variables that are highly correlated and can be used to estimate the dimensionality of the system. </w:t>
      </w:r>
      <w:r w:rsidR="00EE37FC">
        <w:t xml:space="preserve">The inverse of the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E37FC">
        <w:t xml:space="preserve"> can be expressed as:</w:t>
      </w:r>
    </w:p>
    <w:p w14:paraId="185BCBF4" w14:textId="77777777" w:rsidR="00EE37FC" w:rsidRDefault="00EE37FC" w:rsidP="00E1313D">
      <w:pPr>
        <w:jc w:val="both"/>
      </w:pPr>
    </w:p>
    <w:p w14:paraId="6A85C152" w14:textId="1505C912" w:rsidR="000A7270" w:rsidRDefault="001A716A" w:rsidP="00E1313D">
      <w:pPr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+……..+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81323">
        <w:t xml:space="preserve"> </w:t>
      </w:r>
      <w:r w:rsidR="00C549F4">
        <w:t xml:space="preserve"> </w:t>
      </w:r>
    </w:p>
    <w:p w14:paraId="19FF7356" w14:textId="77777777" w:rsidR="00EE37FC" w:rsidRDefault="00EE37FC" w:rsidP="00E1313D">
      <w:pPr>
        <w:jc w:val="both"/>
      </w:pPr>
    </w:p>
    <w:p w14:paraId="525EB8DC" w14:textId="77777777" w:rsidR="00E53627" w:rsidRDefault="00E53627" w:rsidP="00E1313D">
      <w:pPr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≥……..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the eigenvalues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i=1,2,….n</m:t>
        </m:r>
      </m:oMath>
      <w:r>
        <w:t xml:space="preserve"> are the corresponding </w:t>
      </w:r>
      <w:proofErr w:type="gramStart"/>
      <w:r>
        <w:t>eigenvectors.</w:t>
      </w:r>
      <w:proofErr w:type="gramEnd"/>
      <w: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close to zero, the inverse becomes large and will </w:t>
      </w:r>
      <w:r>
        <w:lastRenderedPageBreak/>
        <w:t xml:space="preserve">have a disproportionate effect on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and this will distort T</w:t>
      </w:r>
      <w:r w:rsidRPr="00E53627">
        <w:rPr>
          <w:vertAlign w:val="superscript"/>
        </w:rPr>
        <w:t>2</w:t>
      </w:r>
      <w:r>
        <w:t xml:space="preserve"> calculation.</w:t>
      </w:r>
    </w:p>
    <w:p w14:paraId="2A282E38" w14:textId="77777777" w:rsidR="00E53627" w:rsidRDefault="00E53627" w:rsidP="00E1313D">
      <w:pPr>
        <w:jc w:val="both"/>
      </w:pPr>
    </w:p>
    <w:p w14:paraId="17F93B19" w14:textId="6928096E" w:rsidR="00C16D2E" w:rsidRDefault="00E53627" w:rsidP="00E1313D">
      <w:pPr>
        <w:jc w:val="both"/>
      </w:pPr>
      <w:r>
        <w:tab/>
        <w:t xml:space="preserve">A recommended guideline for finding near singular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</w:t>
      </w:r>
      <w:r w:rsidR="00C16D2E">
        <w:t>to estimate the square root of the ratio of maximum eigenvalue to each of eigenvalues. This is called condition indices. Condition index &gt; 30 imply severe collinearity among variables. In that case if you have to implement T</w:t>
      </w:r>
      <w:r w:rsidR="00C16D2E" w:rsidRPr="00C16D2E">
        <w:rPr>
          <w:vertAlign w:val="superscript"/>
        </w:rPr>
        <w:t>2</w:t>
      </w:r>
      <w:r w:rsidR="00962210">
        <w:t xml:space="preserve"> </w:t>
      </w:r>
      <w:r w:rsidR="00BA0910">
        <w:t xml:space="preserve">statistics, </w:t>
      </w:r>
      <w:r w:rsidR="00C16D2E">
        <w:t xml:space="preserve">you have to remove the variable involved in collinearity. To determine which variables are involved in severe collinearity, </w:t>
      </w:r>
    </w:p>
    <w:p w14:paraId="3AE10A21" w14:textId="77777777" w:rsidR="00C16D2E" w:rsidRDefault="00C16D2E" w:rsidP="00E1313D">
      <w:pPr>
        <w:jc w:val="both"/>
      </w:pPr>
    </w:p>
    <w:p w14:paraId="77F85BC4" w14:textId="26B90E4F" w:rsidR="00EE37FC" w:rsidRDefault="00C16D2E" w:rsidP="00C16D2E">
      <w:pPr>
        <w:pStyle w:val="ListParagraph"/>
        <w:numPr>
          <w:ilvl w:val="0"/>
          <w:numId w:val="1"/>
        </w:numPr>
        <w:jc w:val="both"/>
      </w:pPr>
      <w:r>
        <w:t>Select the eigenvector corresponding to the eigenvalue t</w:t>
      </w:r>
      <w:r w:rsidR="00BA0910">
        <w:t>hat has</w:t>
      </w:r>
      <w:r>
        <w:t xml:space="preserve"> condition index &gt; 30 </w:t>
      </w:r>
    </w:p>
    <w:p w14:paraId="543DB240" w14:textId="7BC719A4" w:rsidR="00962210" w:rsidRDefault="00C16D2E" w:rsidP="00C16D2E">
      <w:pPr>
        <w:pStyle w:val="ListParagraph"/>
        <w:numPr>
          <w:ilvl w:val="0"/>
          <w:numId w:val="1"/>
        </w:numPr>
        <w:jc w:val="both"/>
      </w:pPr>
      <w:r>
        <w:t xml:space="preserve">Ignoring variables with small loadings, find the </w:t>
      </w:r>
      <w:r w:rsidR="00962210">
        <w:t>variables that have almost equal</w:t>
      </w:r>
      <w:r w:rsidR="00BA0910">
        <w:t xml:space="preserve"> loadings</w:t>
      </w:r>
      <w:r w:rsidR="00962210">
        <w:t>. (You can also verify the large correlation between the two variable</w:t>
      </w:r>
      <w:r w:rsidR="00BA0910">
        <w:t>s</w:t>
      </w:r>
      <w:r w:rsidR="00962210">
        <w:t xml:space="preserve"> from the</w:t>
      </w:r>
      <w:r w:rsidR="00BA0910">
        <w:t>ir</w:t>
      </w:r>
      <w:r w:rsidR="00962210">
        <w:t xml:space="preserve"> value in covariance matrix.) </w:t>
      </w:r>
    </w:p>
    <w:p w14:paraId="4736881F" w14:textId="77777777" w:rsidR="00962210" w:rsidRDefault="00962210" w:rsidP="00962210">
      <w:pPr>
        <w:jc w:val="both"/>
      </w:pPr>
    </w:p>
    <w:p w14:paraId="46E3C984" w14:textId="7D577C8D" w:rsidR="00E575FD" w:rsidRDefault="00962210" w:rsidP="00962210">
      <w:pPr>
        <w:jc w:val="both"/>
      </w:pPr>
      <w:r>
        <w:t xml:space="preserve">One of the </w:t>
      </w:r>
      <w:r w:rsidR="00BA0910">
        <w:t>variables</w:t>
      </w:r>
      <w:r>
        <w:t xml:space="preserve"> </w:t>
      </w:r>
      <w:r w:rsidR="00BA0910">
        <w:t xml:space="preserve">that have equal loadings </w:t>
      </w:r>
      <w:r>
        <w:t>is redundant and can be removed without loss of any information. Thus T</w:t>
      </w:r>
      <w:r w:rsidRPr="00962210">
        <w:rPr>
          <w:vertAlign w:val="superscript"/>
        </w:rPr>
        <w:t>2</w:t>
      </w:r>
      <w:r>
        <w:t xml:space="preserve"> statistics can be calculated by excluding the redundant variable. </w:t>
      </w:r>
      <w:r w:rsidR="00E575FD">
        <w:t xml:space="preserve">You can also </w:t>
      </w:r>
      <w:r w:rsidR="00BA0910">
        <w:t xml:space="preserve">directly </w:t>
      </w:r>
      <w:r w:rsidR="00E575FD">
        <w:t xml:space="preserve">estimate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575FD">
        <w:t xml:space="preserve"> by removing the eigenvector corresponding to the near zero eigenvalue.</w:t>
      </w:r>
    </w:p>
    <w:p w14:paraId="4A6F4E18" w14:textId="77777777" w:rsidR="00E575FD" w:rsidRDefault="00E575FD" w:rsidP="00962210">
      <w:pPr>
        <w:jc w:val="both"/>
      </w:pPr>
    </w:p>
    <w:p w14:paraId="2B13BD78" w14:textId="2F587AC3" w:rsidR="00E575FD" w:rsidRDefault="00E575FD" w:rsidP="00962210">
      <w:pPr>
        <w:jc w:val="both"/>
        <w:rPr>
          <w:b/>
          <w:u w:val="single"/>
        </w:rPr>
      </w:pPr>
      <w:r w:rsidRPr="00E575FD">
        <w:rPr>
          <w:b/>
          <w:u w:val="single"/>
        </w:rPr>
        <w:t>Task</w:t>
      </w:r>
    </w:p>
    <w:p w14:paraId="706A6055" w14:textId="77777777" w:rsidR="00E575FD" w:rsidRDefault="00E575FD" w:rsidP="00962210">
      <w:pPr>
        <w:jc w:val="both"/>
        <w:rPr>
          <w:b/>
          <w:u w:val="single"/>
        </w:rPr>
      </w:pPr>
    </w:p>
    <w:p w14:paraId="3BFE8062" w14:textId="2E4BD136" w:rsidR="00E575FD" w:rsidRDefault="001E5148" w:rsidP="00962210">
      <w:pPr>
        <w:jc w:val="both"/>
      </w:pPr>
      <w:r>
        <w:tab/>
      </w:r>
      <w:r w:rsidR="00E575FD" w:rsidRPr="00E575FD">
        <w:t xml:space="preserve">For </w:t>
      </w:r>
      <w:r w:rsidR="00E575FD">
        <w:t xml:space="preserve">the given </w:t>
      </w:r>
      <w:r w:rsidR="00850A0B">
        <w:t xml:space="preserve">time variant </w:t>
      </w:r>
      <w:r w:rsidR="00E575FD">
        <w:t>data</w:t>
      </w:r>
      <w:r w:rsidR="00850A0B">
        <w:t xml:space="preserve">, estimate the Euclidian distance from the mean at different </w:t>
      </w:r>
      <w:r w:rsidR="00DD01DB">
        <w:t>time steps</w:t>
      </w:r>
      <w:r w:rsidR="00850A0B">
        <w:t xml:space="preserve">. </w:t>
      </w:r>
      <w:r w:rsidR="00AC4922">
        <w:t xml:space="preserve">Plot Euclidian distance </w:t>
      </w:r>
      <w:r w:rsidR="00B57E20">
        <w:t xml:space="preserve">(in the ordinate) </w:t>
      </w:r>
      <w:r w:rsidR="00AC4922">
        <w:t>at different time</w:t>
      </w:r>
      <w:r w:rsidR="00B57E20">
        <w:t xml:space="preserve"> (in the abscissa). </w:t>
      </w:r>
      <w:r w:rsidR="00850A0B">
        <w:t>Check if you can calculate T</w:t>
      </w:r>
      <w:r w:rsidR="00850A0B" w:rsidRPr="00850A0B">
        <w:rPr>
          <w:vertAlign w:val="superscript"/>
        </w:rPr>
        <w:t>2</w:t>
      </w:r>
      <w:r w:rsidR="00850A0B">
        <w:t xml:space="preserve"> wit</w:t>
      </w:r>
      <w:bookmarkStart w:id="0" w:name="_GoBack"/>
      <w:bookmarkEnd w:id="0"/>
      <w:r w:rsidR="00850A0B">
        <w:t>h the existing data, if not identify the redundant variable(s) r</w:t>
      </w:r>
      <w:r w:rsidR="00DD01DB">
        <w:t>esponsible for near singularity. E</w:t>
      </w:r>
      <w:r w:rsidR="00850A0B">
        <w:t>stimate the T</w:t>
      </w:r>
      <w:r w:rsidR="00850A0B" w:rsidRPr="00850A0B">
        <w:rPr>
          <w:vertAlign w:val="superscript"/>
        </w:rPr>
        <w:t>2</w:t>
      </w:r>
      <w:r w:rsidR="00850A0B">
        <w:t xml:space="preserve"> at different </w:t>
      </w:r>
      <w:r w:rsidR="00DD01DB">
        <w:t>time steps</w:t>
      </w:r>
      <w:r w:rsidR="00850A0B">
        <w:t xml:space="preserve"> </w:t>
      </w:r>
      <w:r w:rsidR="00BA0910">
        <w:t xml:space="preserve">after removing the redundant variable(s) </w:t>
      </w:r>
      <w:r w:rsidR="00850A0B">
        <w:t>for monitoring the system for outliers</w:t>
      </w:r>
      <w:r w:rsidR="00B57E20">
        <w:t xml:space="preserve"> by plotting T</w:t>
      </w:r>
      <w:r w:rsidR="00B57E20" w:rsidRPr="00B57E20">
        <w:rPr>
          <w:vertAlign w:val="superscript"/>
        </w:rPr>
        <w:t>2</w:t>
      </w:r>
      <w:r w:rsidR="00B57E20">
        <w:t xml:space="preserve"> with time</w:t>
      </w:r>
      <w:r w:rsidR="00850A0B">
        <w:t>.</w:t>
      </w:r>
      <w:r w:rsidR="00B57E20">
        <w:t xml:space="preserve"> Give your analysis.</w:t>
      </w:r>
    </w:p>
    <w:p w14:paraId="0F892543" w14:textId="77777777" w:rsidR="00D7248B" w:rsidRDefault="00D7248B" w:rsidP="0096221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CB16BD" w14:paraId="03F88A02" w14:textId="77777777" w:rsidTr="00CB16BD">
        <w:tc>
          <w:tcPr>
            <w:tcW w:w="1107" w:type="dxa"/>
          </w:tcPr>
          <w:p w14:paraId="7D0807F3" w14:textId="5F9BB424" w:rsidR="00CB16BD" w:rsidRDefault="00CB16BD" w:rsidP="00962210">
            <w:pPr>
              <w:jc w:val="both"/>
            </w:pPr>
            <w:r>
              <w:t>Time</w:t>
            </w:r>
          </w:p>
        </w:tc>
        <w:tc>
          <w:tcPr>
            <w:tcW w:w="1107" w:type="dxa"/>
          </w:tcPr>
          <w:p w14:paraId="3825F242" w14:textId="723376BA" w:rsidR="00CB16BD" w:rsidRDefault="00082323" w:rsidP="00962210">
            <w:pPr>
              <w:jc w:val="both"/>
            </w:pPr>
            <w:r>
              <w:t>X</w:t>
            </w:r>
            <w:r w:rsidRPr="00082323">
              <w:rPr>
                <w:vertAlign w:val="subscript"/>
              </w:rPr>
              <w:t>1</w:t>
            </w:r>
          </w:p>
        </w:tc>
        <w:tc>
          <w:tcPr>
            <w:tcW w:w="1107" w:type="dxa"/>
          </w:tcPr>
          <w:p w14:paraId="22CBA6EB" w14:textId="3B5EB5FB" w:rsidR="00CB16BD" w:rsidRDefault="00082323" w:rsidP="00962210">
            <w:pPr>
              <w:jc w:val="both"/>
            </w:pPr>
            <w:r>
              <w:t>X</w:t>
            </w:r>
            <w:r w:rsidRPr="00082323">
              <w:rPr>
                <w:vertAlign w:val="subscript"/>
              </w:rPr>
              <w:t>2</w:t>
            </w:r>
          </w:p>
        </w:tc>
        <w:tc>
          <w:tcPr>
            <w:tcW w:w="1107" w:type="dxa"/>
          </w:tcPr>
          <w:p w14:paraId="79CF5025" w14:textId="0D749694" w:rsidR="00CB16BD" w:rsidRDefault="00082323" w:rsidP="00CB16BD">
            <w:pPr>
              <w:jc w:val="both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107" w:type="dxa"/>
          </w:tcPr>
          <w:p w14:paraId="2142A649" w14:textId="34BCB92D" w:rsidR="00CB16BD" w:rsidRDefault="00082323" w:rsidP="00962210">
            <w:pPr>
              <w:jc w:val="both"/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107" w:type="dxa"/>
          </w:tcPr>
          <w:p w14:paraId="14F20854" w14:textId="1A1AA36D" w:rsidR="00CB16BD" w:rsidRDefault="00082323" w:rsidP="00962210">
            <w:pPr>
              <w:jc w:val="both"/>
            </w:pPr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107" w:type="dxa"/>
          </w:tcPr>
          <w:p w14:paraId="24362EC5" w14:textId="0DE77FE6" w:rsidR="00CB16BD" w:rsidRDefault="00082323" w:rsidP="00962210">
            <w:pPr>
              <w:jc w:val="both"/>
            </w:pPr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107" w:type="dxa"/>
          </w:tcPr>
          <w:p w14:paraId="4DAD1481" w14:textId="052262B7" w:rsidR="00CB16BD" w:rsidRDefault="00082323" w:rsidP="00962210">
            <w:pPr>
              <w:jc w:val="both"/>
            </w:pPr>
            <w:r>
              <w:t>X</w:t>
            </w:r>
            <w:r w:rsidRPr="00082323">
              <w:rPr>
                <w:vertAlign w:val="subscript"/>
              </w:rPr>
              <w:t>7</w:t>
            </w:r>
          </w:p>
        </w:tc>
      </w:tr>
      <w:tr w:rsidR="001656FD" w14:paraId="0D9E08E7" w14:textId="77777777" w:rsidTr="001656FD">
        <w:tc>
          <w:tcPr>
            <w:tcW w:w="1107" w:type="dxa"/>
          </w:tcPr>
          <w:p w14:paraId="70D32CD7" w14:textId="735AA011" w:rsidR="001656FD" w:rsidRDefault="001656FD" w:rsidP="00962210">
            <w:pPr>
              <w:jc w:val="both"/>
            </w:pPr>
            <w:r>
              <w:t>1</w:t>
            </w:r>
          </w:p>
        </w:tc>
        <w:tc>
          <w:tcPr>
            <w:tcW w:w="1107" w:type="dxa"/>
          </w:tcPr>
          <w:p w14:paraId="706C2432" w14:textId="6F1C34A9" w:rsidR="001656FD" w:rsidRDefault="001656FD" w:rsidP="00962210">
            <w:pPr>
              <w:jc w:val="both"/>
            </w:pPr>
            <w:r>
              <w:t>2020</w:t>
            </w:r>
          </w:p>
        </w:tc>
        <w:tc>
          <w:tcPr>
            <w:tcW w:w="1107" w:type="dxa"/>
          </w:tcPr>
          <w:p w14:paraId="7FB5882C" w14:textId="5BBDBFF3" w:rsidR="001656FD" w:rsidRDefault="001656FD" w:rsidP="00962210">
            <w:pPr>
              <w:jc w:val="both"/>
            </w:pPr>
            <w:r>
              <w:t>165</w:t>
            </w:r>
          </w:p>
        </w:tc>
        <w:tc>
          <w:tcPr>
            <w:tcW w:w="1107" w:type="dxa"/>
          </w:tcPr>
          <w:p w14:paraId="7236037B" w14:textId="1B80F858" w:rsidR="001656FD" w:rsidRDefault="001656FD" w:rsidP="00962210">
            <w:pPr>
              <w:jc w:val="both"/>
            </w:pPr>
            <w:r>
              <w:t>661</w:t>
            </w:r>
          </w:p>
        </w:tc>
        <w:tc>
          <w:tcPr>
            <w:tcW w:w="1107" w:type="dxa"/>
          </w:tcPr>
          <w:p w14:paraId="1D307D7F" w14:textId="1F3C574E" w:rsidR="001656FD" w:rsidRDefault="001656FD" w:rsidP="00962210">
            <w:pPr>
              <w:jc w:val="both"/>
            </w:pPr>
            <w:r>
              <w:t>5.9</w:t>
            </w:r>
          </w:p>
        </w:tc>
        <w:tc>
          <w:tcPr>
            <w:tcW w:w="1107" w:type="dxa"/>
          </w:tcPr>
          <w:p w14:paraId="684B35B2" w14:textId="1B590F8D" w:rsidR="001656FD" w:rsidRDefault="001656FD" w:rsidP="00962210">
            <w:pPr>
              <w:jc w:val="both"/>
            </w:pPr>
            <w:r>
              <w:t>1.6</w:t>
            </w:r>
          </w:p>
        </w:tc>
        <w:tc>
          <w:tcPr>
            <w:tcW w:w="1107" w:type="dxa"/>
            <w:vAlign w:val="bottom"/>
          </w:tcPr>
          <w:p w14:paraId="2857CF39" w14:textId="499CEC64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82.5</w:t>
            </w:r>
          </w:p>
        </w:tc>
        <w:tc>
          <w:tcPr>
            <w:tcW w:w="1107" w:type="dxa"/>
          </w:tcPr>
          <w:p w14:paraId="4BB58437" w14:textId="66060743" w:rsidR="001656FD" w:rsidRDefault="00ED1262" w:rsidP="00962210">
            <w:pPr>
              <w:jc w:val="both"/>
            </w:pPr>
            <w:r>
              <w:t>86</w:t>
            </w:r>
          </w:p>
        </w:tc>
      </w:tr>
      <w:tr w:rsidR="001656FD" w14:paraId="28FADFF4" w14:textId="77777777" w:rsidTr="001656FD">
        <w:tc>
          <w:tcPr>
            <w:tcW w:w="1107" w:type="dxa"/>
          </w:tcPr>
          <w:p w14:paraId="02C82E02" w14:textId="76BBA7F4" w:rsidR="001656FD" w:rsidRDefault="001656FD" w:rsidP="00962210">
            <w:pPr>
              <w:jc w:val="both"/>
            </w:pPr>
            <w:r>
              <w:t>2</w:t>
            </w:r>
          </w:p>
        </w:tc>
        <w:tc>
          <w:tcPr>
            <w:tcW w:w="1107" w:type="dxa"/>
          </w:tcPr>
          <w:p w14:paraId="5499BD05" w14:textId="281D3188" w:rsidR="001656FD" w:rsidRDefault="001656FD" w:rsidP="00962210">
            <w:pPr>
              <w:jc w:val="both"/>
            </w:pPr>
            <w:r>
              <w:t>2020</w:t>
            </w:r>
          </w:p>
        </w:tc>
        <w:tc>
          <w:tcPr>
            <w:tcW w:w="1107" w:type="dxa"/>
          </w:tcPr>
          <w:p w14:paraId="28F54ECC" w14:textId="1979A58C" w:rsidR="001656FD" w:rsidRDefault="001656FD" w:rsidP="00962210">
            <w:pPr>
              <w:jc w:val="both"/>
            </w:pPr>
            <w:r>
              <w:t>255</w:t>
            </w:r>
          </w:p>
        </w:tc>
        <w:tc>
          <w:tcPr>
            <w:tcW w:w="1107" w:type="dxa"/>
          </w:tcPr>
          <w:p w14:paraId="65DCBAC1" w14:textId="3DC40303" w:rsidR="001656FD" w:rsidRDefault="001656FD" w:rsidP="00962210">
            <w:pPr>
              <w:jc w:val="both"/>
            </w:pPr>
            <w:r>
              <w:t>675</w:t>
            </w:r>
          </w:p>
        </w:tc>
        <w:tc>
          <w:tcPr>
            <w:tcW w:w="1107" w:type="dxa"/>
          </w:tcPr>
          <w:p w14:paraId="5FF5655D" w14:textId="68EE0A0C" w:rsidR="001656FD" w:rsidRDefault="001656FD" w:rsidP="00962210">
            <w:pPr>
              <w:jc w:val="both"/>
            </w:pPr>
            <w:r>
              <w:t>7</w:t>
            </w:r>
          </w:p>
        </w:tc>
        <w:tc>
          <w:tcPr>
            <w:tcW w:w="1107" w:type="dxa"/>
          </w:tcPr>
          <w:p w14:paraId="643E8629" w14:textId="42B66512" w:rsidR="001656FD" w:rsidRDefault="001656FD" w:rsidP="00962210">
            <w:pPr>
              <w:jc w:val="both"/>
            </w:pPr>
            <w:r>
              <w:t>5</w:t>
            </w:r>
          </w:p>
        </w:tc>
        <w:tc>
          <w:tcPr>
            <w:tcW w:w="1107" w:type="dxa"/>
            <w:vAlign w:val="bottom"/>
          </w:tcPr>
          <w:p w14:paraId="4DADC9E1" w14:textId="24259E88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127.5</w:t>
            </w:r>
          </w:p>
        </w:tc>
        <w:tc>
          <w:tcPr>
            <w:tcW w:w="1107" w:type="dxa"/>
          </w:tcPr>
          <w:p w14:paraId="1F26A7AA" w14:textId="10519013" w:rsidR="001656FD" w:rsidRDefault="00ED1262" w:rsidP="00962210">
            <w:pPr>
              <w:jc w:val="both"/>
            </w:pPr>
            <w:r>
              <w:t>84</w:t>
            </w:r>
          </w:p>
        </w:tc>
      </w:tr>
      <w:tr w:rsidR="001656FD" w14:paraId="728ECDE1" w14:textId="77777777" w:rsidTr="001656FD">
        <w:tc>
          <w:tcPr>
            <w:tcW w:w="1107" w:type="dxa"/>
          </w:tcPr>
          <w:p w14:paraId="3B6E5A26" w14:textId="18273E8B" w:rsidR="001656FD" w:rsidRDefault="001656FD" w:rsidP="00962210">
            <w:pPr>
              <w:jc w:val="both"/>
            </w:pPr>
            <w:r>
              <w:t>3</w:t>
            </w:r>
          </w:p>
        </w:tc>
        <w:tc>
          <w:tcPr>
            <w:tcW w:w="1107" w:type="dxa"/>
          </w:tcPr>
          <w:p w14:paraId="13853AB9" w14:textId="0301E4E2" w:rsidR="001656FD" w:rsidRDefault="001656FD" w:rsidP="00962210">
            <w:pPr>
              <w:jc w:val="both"/>
            </w:pPr>
            <w:r>
              <w:t>2014</w:t>
            </w:r>
          </w:p>
        </w:tc>
        <w:tc>
          <w:tcPr>
            <w:tcW w:w="1107" w:type="dxa"/>
          </w:tcPr>
          <w:p w14:paraId="792A99A7" w14:textId="6AD09E49" w:rsidR="001656FD" w:rsidRDefault="001656FD" w:rsidP="00962210">
            <w:pPr>
              <w:jc w:val="both"/>
            </w:pPr>
            <w:r>
              <w:t>266</w:t>
            </w:r>
          </w:p>
        </w:tc>
        <w:tc>
          <w:tcPr>
            <w:tcW w:w="1107" w:type="dxa"/>
          </w:tcPr>
          <w:p w14:paraId="7255A2B0" w14:textId="23B46907" w:rsidR="001656FD" w:rsidRDefault="001656FD" w:rsidP="00962210">
            <w:pPr>
              <w:jc w:val="both"/>
            </w:pPr>
            <w:r>
              <w:t>675</w:t>
            </w:r>
          </w:p>
        </w:tc>
        <w:tc>
          <w:tcPr>
            <w:tcW w:w="1107" w:type="dxa"/>
          </w:tcPr>
          <w:p w14:paraId="5A4F2010" w14:textId="0F046FD7" w:rsidR="001656FD" w:rsidRDefault="001656FD" w:rsidP="00962210">
            <w:pPr>
              <w:jc w:val="both"/>
            </w:pPr>
            <w:r>
              <w:t>7</w:t>
            </w:r>
          </w:p>
        </w:tc>
        <w:tc>
          <w:tcPr>
            <w:tcW w:w="1107" w:type="dxa"/>
          </w:tcPr>
          <w:p w14:paraId="288DF5D5" w14:textId="6A503D00" w:rsidR="001656FD" w:rsidRDefault="001656FD" w:rsidP="00962210">
            <w:pPr>
              <w:jc w:val="both"/>
            </w:pPr>
            <w:r>
              <w:t>3.9</w:t>
            </w:r>
          </w:p>
        </w:tc>
        <w:tc>
          <w:tcPr>
            <w:tcW w:w="1107" w:type="dxa"/>
            <w:vAlign w:val="bottom"/>
          </w:tcPr>
          <w:p w14:paraId="691CB50F" w14:textId="523F97F4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107" w:type="dxa"/>
          </w:tcPr>
          <w:p w14:paraId="0D5AE1A2" w14:textId="2410F09C" w:rsidR="001656FD" w:rsidRDefault="00ED1262" w:rsidP="00962210">
            <w:pPr>
              <w:jc w:val="both"/>
            </w:pPr>
            <w:r>
              <w:t>85</w:t>
            </w:r>
          </w:p>
        </w:tc>
      </w:tr>
      <w:tr w:rsidR="001656FD" w14:paraId="6B193F9A" w14:textId="77777777" w:rsidTr="001656FD">
        <w:tc>
          <w:tcPr>
            <w:tcW w:w="1107" w:type="dxa"/>
          </w:tcPr>
          <w:p w14:paraId="6B7D1C42" w14:textId="34971A90" w:rsidR="001656FD" w:rsidRDefault="001656FD" w:rsidP="00962210">
            <w:pPr>
              <w:jc w:val="both"/>
            </w:pPr>
            <w:r>
              <w:t>4</w:t>
            </w:r>
          </w:p>
        </w:tc>
        <w:tc>
          <w:tcPr>
            <w:tcW w:w="1107" w:type="dxa"/>
          </w:tcPr>
          <w:p w14:paraId="39B202FE" w14:textId="7AB66799" w:rsidR="001656FD" w:rsidRDefault="001656FD" w:rsidP="00962210">
            <w:pPr>
              <w:jc w:val="both"/>
            </w:pPr>
            <w:r>
              <w:t>1960</w:t>
            </w:r>
          </w:p>
        </w:tc>
        <w:tc>
          <w:tcPr>
            <w:tcW w:w="1107" w:type="dxa"/>
          </w:tcPr>
          <w:p w14:paraId="7D299D37" w14:textId="605539B9" w:rsidR="001656FD" w:rsidRDefault="001656FD" w:rsidP="00962210">
            <w:pPr>
              <w:jc w:val="both"/>
            </w:pPr>
            <w:r>
              <w:t>270</w:t>
            </w:r>
          </w:p>
        </w:tc>
        <w:tc>
          <w:tcPr>
            <w:tcW w:w="1107" w:type="dxa"/>
          </w:tcPr>
          <w:p w14:paraId="40814A1B" w14:textId="5B2DEA56" w:rsidR="001656FD" w:rsidRDefault="001656FD" w:rsidP="00962210">
            <w:pPr>
              <w:jc w:val="both"/>
            </w:pPr>
            <w:r>
              <w:t>900</w:t>
            </w:r>
          </w:p>
        </w:tc>
        <w:tc>
          <w:tcPr>
            <w:tcW w:w="1107" w:type="dxa"/>
          </w:tcPr>
          <w:p w14:paraId="3B04C2DA" w14:textId="384339C9" w:rsidR="001656FD" w:rsidRDefault="001656FD" w:rsidP="00962210">
            <w:pPr>
              <w:jc w:val="both"/>
            </w:pPr>
            <w:r>
              <w:t>3</w:t>
            </w:r>
          </w:p>
        </w:tc>
        <w:tc>
          <w:tcPr>
            <w:tcW w:w="1107" w:type="dxa"/>
          </w:tcPr>
          <w:p w14:paraId="40B40541" w14:textId="2341248F" w:rsidR="001656FD" w:rsidRDefault="001656FD" w:rsidP="00962210">
            <w:pPr>
              <w:jc w:val="both"/>
            </w:pPr>
            <w:r>
              <w:t>8</w:t>
            </w:r>
          </w:p>
        </w:tc>
        <w:tc>
          <w:tcPr>
            <w:tcW w:w="1107" w:type="dxa"/>
            <w:vAlign w:val="bottom"/>
          </w:tcPr>
          <w:p w14:paraId="553A6335" w14:textId="6CB54F98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107" w:type="dxa"/>
          </w:tcPr>
          <w:p w14:paraId="3BFCC4DE" w14:textId="38EB63FE" w:rsidR="001656FD" w:rsidRDefault="00ED1262" w:rsidP="00962210">
            <w:pPr>
              <w:jc w:val="both"/>
            </w:pPr>
            <w:r>
              <w:t>89</w:t>
            </w:r>
          </w:p>
        </w:tc>
      </w:tr>
      <w:tr w:rsidR="001656FD" w14:paraId="0A56E5C2" w14:textId="77777777" w:rsidTr="001656FD">
        <w:tc>
          <w:tcPr>
            <w:tcW w:w="1107" w:type="dxa"/>
          </w:tcPr>
          <w:p w14:paraId="42A9F7AC" w14:textId="23E2C567" w:rsidR="001656FD" w:rsidRDefault="001656FD" w:rsidP="00962210">
            <w:pPr>
              <w:jc w:val="both"/>
            </w:pPr>
            <w:r>
              <w:t>5</w:t>
            </w:r>
          </w:p>
        </w:tc>
        <w:tc>
          <w:tcPr>
            <w:tcW w:w="1107" w:type="dxa"/>
          </w:tcPr>
          <w:p w14:paraId="0D8F5DB9" w14:textId="42B14CF3" w:rsidR="001656FD" w:rsidRDefault="001656FD" w:rsidP="00962210">
            <w:pPr>
              <w:jc w:val="both"/>
            </w:pPr>
            <w:r>
              <w:t>1870</w:t>
            </w:r>
          </w:p>
        </w:tc>
        <w:tc>
          <w:tcPr>
            <w:tcW w:w="1107" w:type="dxa"/>
          </w:tcPr>
          <w:p w14:paraId="500B4CAF" w14:textId="40945AEE" w:rsidR="001656FD" w:rsidRDefault="001656FD" w:rsidP="00962210">
            <w:pPr>
              <w:jc w:val="both"/>
            </w:pPr>
            <w:r>
              <w:t>185</w:t>
            </w:r>
          </w:p>
        </w:tc>
        <w:tc>
          <w:tcPr>
            <w:tcW w:w="1107" w:type="dxa"/>
          </w:tcPr>
          <w:p w14:paraId="5C89C48B" w14:textId="0B83D94F" w:rsidR="001656FD" w:rsidRDefault="001656FD" w:rsidP="00962210">
            <w:pPr>
              <w:jc w:val="both"/>
            </w:pPr>
            <w:r>
              <w:t>850</w:t>
            </w:r>
          </w:p>
        </w:tc>
        <w:tc>
          <w:tcPr>
            <w:tcW w:w="1107" w:type="dxa"/>
          </w:tcPr>
          <w:p w14:paraId="2C45E2B6" w14:textId="060CB415" w:rsidR="001656FD" w:rsidRDefault="001656FD" w:rsidP="00962210">
            <w:pPr>
              <w:jc w:val="both"/>
            </w:pPr>
            <w:r>
              <w:t>4</w:t>
            </w:r>
          </w:p>
        </w:tc>
        <w:tc>
          <w:tcPr>
            <w:tcW w:w="1107" w:type="dxa"/>
          </w:tcPr>
          <w:p w14:paraId="10172E45" w14:textId="15244995" w:rsidR="001656FD" w:rsidRDefault="001656FD" w:rsidP="00962210">
            <w:pPr>
              <w:jc w:val="both"/>
            </w:pPr>
            <w:r>
              <w:t>4.8</w:t>
            </w:r>
          </w:p>
        </w:tc>
        <w:tc>
          <w:tcPr>
            <w:tcW w:w="1107" w:type="dxa"/>
            <w:vAlign w:val="bottom"/>
          </w:tcPr>
          <w:p w14:paraId="6456D1D9" w14:textId="02BB5FE7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92.5</w:t>
            </w:r>
          </w:p>
        </w:tc>
        <w:tc>
          <w:tcPr>
            <w:tcW w:w="1107" w:type="dxa"/>
          </w:tcPr>
          <w:p w14:paraId="71BD684A" w14:textId="3967E084" w:rsidR="001656FD" w:rsidRDefault="00ED1262" w:rsidP="00962210">
            <w:pPr>
              <w:jc w:val="both"/>
            </w:pPr>
            <w:r>
              <w:t>90</w:t>
            </w:r>
          </w:p>
        </w:tc>
      </w:tr>
      <w:tr w:rsidR="001656FD" w14:paraId="12DD489A" w14:textId="77777777" w:rsidTr="001656FD">
        <w:tc>
          <w:tcPr>
            <w:tcW w:w="1107" w:type="dxa"/>
          </w:tcPr>
          <w:p w14:paraId="42B8F527" w14:textId="4DBBD802" w:rsidR="001656FD" w:rsidRDefault="001656FD" w:rsidP="00962210">
            <w:pPr>
              <w:jc w:val="both"/>
            </w:pPr>
            <w:r>
              <w:t>6</w:t>
            </w:r>
          </w:p>
        </w:tc>
        <w:tc>
          <w:tcPr>
            <w:tcW w:w="1107" w:type="dxa"/>
          </w:tcPr>
          <w:p w14:paraId="4CA1C36A" w14:textId="26E1D421" w:rsidR="001656FD" w:rsidRDefault="001656FD" w:rsidP="00962210">
            <w:pPr>
              <w:jc w:val="both"/>
            </w:pPr>
            <w:r>
              <w:t>1800</w:t>
            </w:r>
          </w:p>
        </w:tc>
        <w:tc>
          <w:tcPr>
            <w:tcW w:w="1107" w:type="dxa"/>
          </w:tcPr>
          <w:p w14:paraId="74D2A913" w14:textId="16712572" w:rsidR="001656FD" w:rsidRDefault="001656FD" w:rsidP="00962210">
            <w:pPr>
              <w:jc w:val="both"/>
            </w:pPr>
            <w:r>
              <w:t>195</w:t>
            </w:r>
          </w:p>
        </w:tc>
        <w:tc>
          <w:tcPr>
            <w:tcW w:w="1107" w:type="dxa"/>
          </w:tcPr>
          <w:p w14:paraId="50AD2980" w14:textId="5C346D09" w:rsidR="001656FD" w:rsidRDefault="001656FD" w:rsidP="00962210">
            <w:pPr>
              <w:jc w:val="both"/>
            </w:pPr>
            <w:r>
              <w:t>590</w:t>
            </w:r>
          </w:p>
        </w:tc>
        <w:tc>
          <w:tcPr>
            <w:tcW w:w="1107" w:type="dxa"/>
          </w:tcPr>
          <w:p w14:paraId="1E1DE70C" w14:textId="306537DC" w:rsidR="001656FD" w:rsidRDefault="001656FD" w:rsidP="00962210">
            <w:pPr>
              <w:jc w:val="both"/>
            </w:pPr>
            <w:r>
              <w:t>3</w:t>
            </w:r>
          </w:p>
        </w:tc>
        <w:tc>
          <w:tcPr>
            <w:tcW w:w="1107" w:type="dxa"/>
          </w:tcPr>
          <w:p w14:paraId="7C357F23" w14:textId="2C27A57B" w:rsidR="001656FD" w:rsidRDefault="001656FD" w:rsidP="00962210">
            <w:pPr>
              <w:jc w:val="both"/>
            </w:pPr>
            <w:r>
              <w:t>4</w:t>
            </w:r>
          </w:p>
        </w:tc>
        <w:tc>
          <w:tcPr>
            <w:tcW w:w="1107" w:type="dxa"/>
            <w:vAlign w:val="bottom"/>
          </w:tcPr>
          <w:p w14:paraId="2B5B625E" w14:textId="695AC0C3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97.5</w:t>
            </w:r>
          </w:p>
        </w:tc>
        <w:tc>
          <w:tcPr>
            <w:tcW w:w="1107" w:type="dxa"/>
          </w:tcPr>
          <w:p w14:paraId="6BD98557" w14:textId="611CE83D" w:rsidR="001656FD" w:rsidRDefault="00ED1262" w:rsidP="00962210">
            <w:pPr>
              <w:jc w:val="both"/>
            </w:pPr>
            <w:r>
              <w:t>87</w:t>
            </w:r>
          </w:p>
        </w:tc>
      </w:tr>
      <w:tr w:rsidR="001656FD" w14:paraId="53333651" w14:textId="77777777" w:rsidTr="001656FD">
        <w:tc>
          <w:tcPr>
            <w:tcW w:w="1107" w:type="dxa"/>
          </w:tcPr>
          <w:p w14:paraId="4E37084C" w14:textId="3A5AAB87" w:rsidR="001656FD" w:rsidRDefault="001656FD" w:rsidP="00962210">
            <w:pPr>
              <w:jc w:val="both"/>
            </w:pPr>
            <w:r>
              <w:t>7</w:t>
            </w:r>
          </w:p>
        </w:tc>
        <w:tc>
          <w:tcPr>
            <w:tcW w:w="1107" w:type="dxa"/>
          </w:tcPr>
          <w:p w14:paraId="304628F9" w14:textId="4093C543" w:rsidR="001656FD" w:rsidRDefault="001656FD" w:rsidP="00962210">
            <w:pPr>
              <w:jc w:val="both"/>
            </w:pPr>
            <w:r>
              <w:t>1711</w:t>
            </w:r>
          </w:p>
        </w:tc>
        <w:tc>
          <w:tcPr>
            <w:tcW w:w="1107" w:type="dxa"/>
          </w:tcPr>
          <w:p w14:paraId="0E9E9860" w14:textId="0DB636BF" w:rsidR="001656FD" w:rsidRDefault="001656FD" w:rsidP="00962210">
            <w:pPr>
              <w:jc w:val="both"/>
            </w:pPr>
            <w:r>
              <w:t>201</w:t>
            </w:r>
          </w:p>
        </w:tc>
        <w:tc>
          <w:tcPr>
            <w:tcW w:w="1107" w:type="dxa"/>
          </w:tcPr>
          <w:p w14:paraId="75484C06" w14:textId="6247DB18" w:rsidR="001656FD" w:rsidRDefault="001656FD" w:rsidP="00962210">
            <w:pPr>
              <w:jc w:val="both"/>
            </w:pPr>
            <w:r>
              <w:t>663</w:t>
            </w:r>
          </w:p>
        </w:tc>
        <w:tc>
          <w:tcPr>
            <w:tcW w:w="1107" w:type="dxa"/>
          </w:tcPr>
          <w:p w14:paraId="71998860" w14:textId="361CCF89" w:rsidR="001656FD" w:rsidRDefault="001656FD" w:rsidP="00962210">
            <w:pPr>
              <w:jc w:val="both"/>
            </w:pPr>
            <w:r>
              <w:t>4</w:t>
            </w:r>
          </w:p>
        </w:tc>
        <w:tc>
          <w:tcPr>
            <w:tcW w:w="1107" w:type="dxa"/>
          </w:tcPr>
          <w:p w14:paraId="2A11B101" w14:textId="08043D0C" w:rsidR="001656FD" w:rsidRDefault="001656FD" w:rsidP="00962210">
            <w:pPr>
              <w:jc w:val="both"/>
            </w:pPr>
            <w:r>
              <w:t>3.6</w:t>
            </w:r>
          </w:p>
        </w:tc>
        <w:tc>
          <w:tcPr>
            <w:tcW w:w="1107" w:type="dxa"/>
            <w:vAlign w:val="bottom"/>
          </w:tcPr>
          <w:p w14:paraId="03C03D06" w14:textId="59A1DA3F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100.5</w:t>
            </w:r>
          </w:p>
        </w:tc>
        <w:tc>
          <w:tcPr>
            <w:tcW w:w="1107" w:type="dxa"/>
          </w:tcPr>
          <w:p w14:paraId="00F1B180" w14:textId="2D066685" w:rsidR="001656FD" w:rsidRDefault="00ED1262" w:rsidP="00962210">
            <w:pPr>
              <w:jc w:val="both"/>
            </w:pPr>
            <w:r>
              <w:t>88</w:t>
            </w:r>
          </w:p>
        </w:tc>
      </w:tr>
      <w:tr w:rsidR="001656FD" w14:paraId="6B9518A2" w14:textId="77777777" w:rsidTr="001656FD">
        <w:tc>
          <w:tcPr>
            <w:tcW w:w="1107" w:type="dxa"/>
          </w:tcPr>
          <w:p w14:paraId="32C15493" w14:textId="43733BF9" w:rsidR="001656FD" w:rsidRDefault="001656FD" w:rsidP="00962210">
            <w:pPr>
              <w:jc w:val="both"/>
            </w:pPr>
            <w:r>
              <w:t>8</w:t>
            </w:r>
          </w:p>
        </w:tc>
        <w:tc>
          <w:tcPr>
            <w:tcW w:w="1107" w:type="dxa"/>
          </w:tcPr>
          <w:p w14:paraId="3DD652A9" w14:textId="5321C804" w:rsidR="001656FD" w:rsidRDefault="001656FD" w:rsidP="00962210">
            <w:pPr>
              <w:jc w:val="both"/>
            </w:pPr>
            <w:r>
              <w:t>1800</w:t>
            </w:r>
          </w:p>
        </w:tc>
        <w:tc>
          <w:tcPr>
            <w:tcW w:w="1107" w:type="dxa"/>
          </w:tcPr>
          <w:p w14:paraId="622DED44" w14:textId="225EF6EF" w:rsidR="001656FD" w:rsidRDefault="001656FD" w:rsidP="00962210">
            <w:pPr>
              <w:jc w:val="both"/>
            </w:pPr>
            <w:r>
              <w:t>250</w:t>
            </w:r>
          </w:p>
        </w:tc>
        <w:tc>
          <w:tcPr>
            <w:tcW w:w="1107" w:type="dxa"/>
          </w:tcPr>
          <w:p w14:paraId="16F43BAC" w14:textId="79AD05FA" w:rsidR="001656FD" w:rsidRDefault="001656FD" w:rsidP="00962210">
            <w:pPr>
              <w:jc w:val="both"/>
            </w:pPr>
            <w:r>
              <w:t>875</w:t>
            </w:r>
          </w:p>
        </w:tc>
        <w:tc>
          <w:tcPr>
            <w:tcW w:w="1107" w:type="dxa"/>
          </w:tcPr>
          <w:p w14:paraId="32A1F387" w14:textId="0A5281BB" w:rsidR="001656FD" w:rsidRDefault="001656FD" w:rsidP="00962210">
            <w:pPr>
              <w:jc w:val="both"/>
            </w:pPr>
            <w:r>
              <w:t>0</w:t>
            </w:r>
          </w:p>
        </w:tc>
        <w:tc>
          <w:tcPr>
            <w:tcW w:w="1107" w:type="dxa"/>
          </w:tcPr>
          <w:p w14:paraId="0A0844CF" w14:textId="25A6B546" w:rsidR="001656FD" w:rsidRDefault="001656FD" w:rsidP="00962210">
            <w:pPr>
              <w:jc w:val="both"/>
            </w:pPr>
            <w:r>
              <w:t>6</w:t>
            </w:r>
          </w:p>
        </w:tc>
        <w:tc>
          <w:tcPr>
            <w:tcW w:w="1107" w:type="dxa"/>
            <w:vAlign w:val="bottom"/>
          </w:tcPr>
          <w:p w14:paraId="7A44669A" w14:textId="313E98D3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07" w:type="dxa"/>
          </w:tcPr>
          <w:p w14:paraId="2D2124FF" w14:textId="6997C78B" w:rsidR="001656FD" w:rsidRDefault="00ED1262" w:rsidP="00962210">
            <w:pPr>
              <w:jc w:val="both"/>
            </w:pPr>
            <w:r>
              <w:t>88</w:t>
            </w:r>
          </w:p>
        </w:tc>
      </w:tr>
      <w:tr w:rsidR="001656FD" w14:paraId="047A36F9" w14:textId="77777777" w:rsidTr="001656FD">
        <w:tc>
          <w:tcPr>
            <w:tcW w:w="1107" w:type="dxa"/>
          </w:tcPr>
          <w:p w14:paraId="497BE6F2" w14:textId="36D0A8CF" w:rsidR="001656FD" w:rsidRDefault="001656FD" w:rsidP="00962210">
            <w:pPr>
              <w:jc w:val="both"/>
            </w:pPr>
            <w:r>
              <w:t>9</w:t>
            </w:r>
          </w:p>
        </w:tc>
        <w:tc>
          <w:tcPr>
            <w:tcW w:w="1107" w:type="dxa"/>
          </w:tcPr>
          <w:p w14:paraId="3157A037" w14:textId="7F58B3DE" w:rsidR="001656FD" w:rsidRDefault="001656FD" w:rsidP="00962210">
            <w:pPr>
              <w:jc w:val="both"/>
            </w:pPr>
            <w:r>
              <w:t>2011</w:t>
            </w:r>
          </w:p>
        </w:tc>
        <w:tc>
          <w:tcPr>
            <w:tcW w:w="1107" w:type="dxa"/>
          </w:tcPr>
          <w:p w14:paraId="09AA30B4" w14:textId="3033F57C" w:rsidR="001656FD" w:rsidRDefault="001656FD" w:rsidP="00962210">
            <w:pPr>
              <w:jc w:val="both"/>
            </w:pPr>
            <w:r>
              <w:t>182</w:t>
            </w:r>
          </w:p>
        </w:tc>
        <w:tc>
          <w:tcPr>
            <w:tcW w:w="1107" w:type="dxa"/>
          </w:tcPr>
          <w:p w14:paraId="611B313F" w14:textId="7DCB34FD" w:rsidR="001656FD" w:rsidRDefault="001656FD" w:rsidP="00962210">
            <w:pPr>
              <w:jc w:val="both"/>
            </w:pPr>
            <w:r>
              <w:t>710</w:t>
            </w:r>
          </w:p>
        </w:tc>
        <w:tc>
          <w:tcPr>
            <w:tcW w:w="1107" w:type="dxa"/>
          </w:tcPr>
          <w:p w14:paraId="6B3D1F24" w14:textId="1A4796F0" w:rsidR="001656FD" w:rsidRDefault="001656FD" w:rsidP="00962210">
            <w:pPr>
              <w:jc w:val="both"/>
            </w:pPr>
            <w:r>
              <w:t>2.4</w:t>
            </w:r>
          </w:p>
        </w:tc>
        <w:tc>
          <w:tcPr>
            <w:tcW w:w="1107" w:type="dxa"/>
          </w:tcPr>
          <w:p w14:paraId="22E09F71" w14:textId="1A33B971" w:rsidR="001656FD" w:rsidRDefault="001656FD" w:rsidP="00962210">
            <w:pPr>
              <w:jc w:val="both"/>
            </w:pPr>
            <w:r>
              <w:t>7.7</w:t>
            </w:r>
          </w:p>
        </w:tc>
        <w:tc>
          <w:tcPr>
            <w:tcW w:w="1107" w:type="dxa"/>
            <w:vAlign w:val="bottom"/>
          </w:tcPr>
          <w:p w14:paraId="1E51732A" w14:textId="4979ACBF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107" w:type="dxa"/>
          </w:tcPr>
          <w:p w14:paraId="35BBE62E" w14:textId="7ECF076B" w:rsidR="001656FD" w:rsidRDefault="00ED1262" w:rsidP="00962210">
            <w:pPr>
              <w:jc w:val="both"/>
            </w:pPr>
            <w:r>
              <w:t>86</w:t>
            </w:r>
          </w:p>
        </w:tc>
      </w:tr>
      <w:tr w:rsidR="001656FD" w14:paraId="68C34ED6" w14:textId="77777777" w:rsidTr="001656FD">
        <w:tc>
          <w:tcPr>
            <w:tcW w:w="1107" w:type="dxa"/>
          </w:tcPr>
          <w:p w14:paraId="543E53EF" w14:textId="27B45F08" w:rsidR="001656FD" w:rsidRDefault="001656FD" w:rsidP="00962210">
            <w:pPr>
              <w:jc w:val="both"/>
            </w:pPr>
            <w:r>
              <w:t>10</w:t>
            </w:r>
          </w:p>
        </w:tc>
        <w:tc>
          <w:tcPr>
            <w:tcW w:w="1107" w:type="dxa"/>
          </w:tcPr>
          <w:p w14:paraId="7626CD17" w14:textId="08F936F3" w:rsidR="001656FD" w:rsidRDefault="001656FD" w:rsidP="00962210">
            <w:pPr>
              <w:jc w:val="both"/>
            </w:pPr>
            <w:r>
              <w:t>1875</w:t>
            </w:r>
          </w:p>
        </w:tc>
        <w:tc>
          <w:tcPr>
            <w:tcW w:w="1107" w:type="dxa"/>
          </w:tcPr>
          <w:p w14:paraId="4996E051" w14:textId="545D5489" w:rsidR="001656FD" w:rsidRDefault="001656FD" w:rsidP="00962210">
            <w:pPr>
              <w:jc w:val="both"/>
            </w:pPr>
            <w:r>
              <w:t>175</w:t>
            </w:r>
          </w:p>
        </w:tc>
        <w:tc>
          <w:tcPr>
            <w:tcW w:w="1107" w:type="dxa"/>
          </w:tcPr>
          <w:p w14:paraId="3C287218" w14:textId="77BCC0C6" w:rsidR="001656FD" w:rsidRDefault="001656FD" w:rsidP="00962210">
            <w:pPr>
              <w:jc w:val="both"/>
            </w:pPr>
            <w:r>
              <w:t>600</w:t>
            </w:r>
          </w:p>
        </w:tc>
        <w:tc>
          <w:tcPr>
            <w:tcW w:w="1107" w:type="dxa"/>
          </w:tcPr>
          <w:p w14:paraId="76ADE76B" w14:textId="47762AE9" w:rsidR="001656FD" w:rsidRDefault="001656FD" w:rsidP="00962210">
            <w:pPr>
              <w:jc w:val="both"/>
            </w:pPr>
            <w:r>
              <w:t>4.3</w:t>
            </w:r>
          </w:p>
        </w:tc>
        <w:tc>
          <w:tcPr>
            <w:tcW w:w="1107" w:type="dxa"/>
          </w:tcPr>
          <w:p w14:paraId="0893F8DF" w14:textId="4D5DE6A9" w:rsidR="001656FD" w:rsidRDefault="001656FD" w:rsidP="00962210">
            <w:pPr>
              <w:jc w:val="both"/>
            </w:pPr>
            <w:r>
              <w:t>6</w:t>
            </w:r>
          </w:p>
        </w:tc>
        <w:tc>
          <w:tcPr>
            <w:tcW w:w="1107" w:type="dxa"/>
            <w:vAlign w:val="bottom"/>
          </w:tcPr>
          <w:p w14:paraId="2FBF4660" w14:textId="5BE4E9E9" w:rsidR="001656FD" w:rsidRDefault="001656FD" w:rsidP="00962210">
            <w:pPr>
              <w:jc w:val="both"/>
            </w:pPr>
            <w:r>
              <w:rPr>
                <w:rFonts w:ascii="Calibri" w:eastAsia="Times New Roman" w:hAnsi="Calibri" w:cs="Times New Roman"/>
                <w:color w:val="000000"/>
              </w:rPr>
              <w:t>87.5</w:t>
            </w:r>
          </w:p>
        </w:tc>
        <w:tc>
          <w:tcPr>
            <w:tcW w:w="1107" w:type="dxa"/>
          </w:tcPr>
          <w:p w14:paraId="57FB8FAA" w14:textId="675C9199" w:rsidR="001656FD" w:rsidRDefault="00ED1262" w:rsidP="00962210">
            <w:pPr>
              <w:jc w:val="both"/>
            </w:pPr>
            <w:r>
              <w:t>97</w:t>
            </w:r>
          </w:p>
        </w:tc>
      </w:tr>
    </w:tbl>
    <w:p w14:paraId="1B672839" w14:textId="77777777" w:rsidR="00D7248B" w:rsidRPr="00E575FD" w:rsidRDefault="00D7248B" w:rsidP="00962210">
      <w:pPr>
        <w:jc w:val="both"/>
      </w:pPr>
    </w:p>
    <w:sectPr w:rsidR="00D7248B" w:rsidRPr="00E575FD" w:rsidSect="00D9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0D60"/>
    <w:multiLevelType w:val="hybridMultilevel"/>
    <w:tmpl w:val="7B7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70"/>
    <w:rsid w:val="0006026B"/>
    <w:rsid w:val="00082323"/>
    <w:rsid w:val="000A4239"/>
    <w:rsid w:val="000A7270"/>
    <w:rsid w:val="0016314B"/>
    <w:rsid w:val="001656FD"/>
    <w:rsid w:val="00181323"/>
    <w:rsid w:val="001A716A"/>
    <w:rsid w:val="001D268F"/>
    <w:rsid w:val="001E5148"/>
    <w:rsid w:val="00390495"/>
    <w:rsid w:val="0039726F"/>
    <w:rsid w:val="004574CA"/>
    <w:rsid w:val="005B77BA"/>
    <w:rsid w:val="00662A73"/>
    <w:rsid w:val="006D2C2C"/>
    <w:rsid w:val="007543A4"/>
    <w:rsid w:val="007A05CF"/>
    <w:rsid w:val="007E0462"/>
    <w:rsid w:val="00810566"/>
    <w:rsid w:val="00850A0B"/>
    <w:rsid w:val="00962210"/>
    <w:rsid w:val="009C6E92"/>
    <w:rsid w:val="00A739ED"/>
    <w:rsid w:val="00AC4922"/>
    <w:rsid w:val="00B0224D"/>
    <w:rsid w:val="00B10A10"/>
    <w:rsid w:val="00B57E20"/>
    <w:rsid w:val="00BA0910"/>
    <w:rsid w:val="00C16D2E"/>
    <w:rsid w:val="00C549F4"/>
    <w:rsid w:val="00CB16BD"/>
    <w:rsid w:val="00D11DF3"/>
    <w:rsid w:val="00D7248B"/>
    <w:rsid w:val="00D9092D"/>
    <w:rsid w:val="00DD01DB"/>
    <w:rsid w:val="00DF0659"/>
    <w:rsid w:val="00E1313D"/>
    <w:rsid w:val="00E53627"/>
    <w:rsid w:val="00E575FD"/>
    <w:rsid w:val="00ED1262"/>
    <w:rsid w:val="00EE37FC"/>
    <w:rsid w:val="00F445CB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83458"/>
  <w14:defaultImageDpi w14:val="300"/>
  <w15:docId w15:val="{85079AB5-42F0-42DC-B2E5-FFC6529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23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4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D2E"/>
    <w:pPr>
      <w:ind w:left="720"/>
      <w:contextualSpacing/>
    </w:pPr>
  </w:style>
  <w:style w:type="table" w:styleId="TableGrid">
    <w:name w:val="Table Grid"/>
    <w:basedOn w:val="TableNormal"/>
    <w:uiPriority w:val="59"/>
    <w:rsid w:val="00CB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4239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DefaultParagraphFont"/>
    <w:rsid w:val="000A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Mukherjee</dc:creator>
  <cp:keywords/>
  <dc:description/>
  <cp:lastModifiedBy>Jacob Hartzer</cp:lastModifiedBy>
  <cp:revision>11</cp:revision>
  <dcterms:created xsi:type="dcterms:W3CDTF">2017-04-12T02:05:00Z</dcterms:created>
  <dcterms:modified xsi:type="dcterms:W3CDTF">2017-04-17T02:31:00Z</dcterms:modified>
</cp:coreProperties>
</file>