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13.png" ContentType="image/png"/>
  <Override PartName="/word/media/rId111.png" ContentType="image/png"/>
  <Override PartName="/word/media/rId80.png" ContentType="image/png"/>
  <Override PartName="/word/media/rId89.png" ContentType="image/png"/>
  <Override PartName="/word/media/rId118.png" ContentType="image/png"/>
  <Override PartName="/word/media/rId116.png" ContentType="image/png"/>
  <Override PartName="/word/media/rId97.jpg" ContentType="image/jpeg"/>
  <Override PartName="/word/media/rId39.jpg" ContentType="image/jpeg"/>
  <Override PartName="/word/media/rId42.jpg" ContentType="image/jpeg"/>
  <Override PartName="/word/media/rId59.jpg" ContentType="image/jpe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Magalie, Candice, Cao Li et Anjélica.</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End w:id="21"/>
    <w:bookmarkStart w:id="22" w:name="glossaire"/>
    <w:p>
      <w:pPr>
        <w:pStyle w:val="Heading1"/>
      </w:pPr>
      <w:r>
        <w:t xml:space="preserve">Glossaire</w:t>
      </w:r>
    </w:p>
    <w:p>
      <w:pPr>
        <w:pStyle w:val="FirstParagraph"/>
      </w:pPr>
      <w:r>
        <w:t xml:space="preserve">AUC : Area Under the Curve. Calcul de l’air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Spectroscopy.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pures.</w:t>
      </w:r>
    </w:p>
    <w:p>
      <w:pPr>
        <w:pStyle w:val="BodyText"/>
      </w:pPr>
      <w:r>
        <w:t xml:space="preserve">PACE : Plateforme d’Analyse Chimique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Spectroscopy.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Spectroscopy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détaillerais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 peuvent se lire dans l’ordre d’intérêt du lecteur.</w:t>
      </w:r>
    </w:p>
    <w:bookmarkEnd w:id="23"/>
    <w:bookmarkStart w:id="49"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platerforme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dès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reviendront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 plateforme Recherche Data Gouv. Ce module facilitera la production de</w:t>
      </w:r>
      <w:r>
        <w:t xml:space="preserve"> </w:t>
      </w:r>
      <w:r>
        <w:rPr>
          <w:iCs/>
          <w:i/>
        </w:rPr>
        <w:t xml:space="preserve">data paper</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Rmarkdown et sur la création de package, j’ai pu intégrer la génération de rapport automatisé dans le package</w:t>
      </w:r>
      <w:r>
        <w:rPr>
          <w:rStyle w:val="FootnoteReference"/>
        </w:rPr>
        <w:footnoteReference w:id="32"/>
      </w:r>
      <w:r>
        <w:t xml:space="preserve"> </w:t>
      </w:r>
      <w:r>
        <w:t xml:space="preserve">qui est un premier pas vers l’écriture automatisée des data paper.</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templates clé en main. Ceci permettra de favoriser l’écriture de rapport par des logiciels libres et d’améliorer la reproductibilité de la science.</w:t>
      </w:r>
    </w:p>
    <w:bookmarkEnd w:id="38"/>
    <w:bookmarkStart w:id="47"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principaux est dû à la contamination de la ligne et de l’instrument par l’échantillon précédent. Nous pouvons analyser ces expériences pour repérer les erreurs commises.</w:t>
      </w:r>
    </w:p>
    <w:bookmarkStart w:id="44"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figure</w:t>
      </w:r>
      <w:r>
        <w:t xml:space="preserve"> </w:t>
      </w:r>
      <w:r>
        <w:t xml:space="preserve">??</w:t>
      </w:r>
      <w:r>
        <w:t xml:space="preserve">),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CaptionedFigure"/>
      </w:pPr>
      <w:bookmarkStart w:id="43" w:name="poule2"/>
      <w:r>
        <w:drawing>
          <wp:inline>
            <wp:extent cx="5334000" cy="4000500"/>
            <wp:effectExtent b="0" l="0" r="0" t="0"/>
            <wp:docPr descr="Sonde à proximité de la mangeoire." title="" id="1" name="Picture"/>
            <a:graphic>
              <a:graphicData uri="http://schemas.openxmlformats.org/drawingml/2006/picture">
                <pic:pic>
                  <pic:nvPicPr>
                    <pic:cNvPr descr="images/poule2.jpg" id="0"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bookmarkEnd w:id="43"/>
    </w:p>
    <w:p>
      <w:pPr>
        <w:pStyle w:val="ImageCaption"/>
      </w:pPr>
      <w:r>
        <w:t xml:space="preserve">Sonde à proximité de la mangeoire.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potentiels contaminations intra et inter échantillons.</w:t>
      </w:r>
    </w:p>
    <w:p>
      <w:pPr>
        <w:pStyle w:val="BodyText"/>
      </w:pPr>
      <w:r>
        <w:t xml:space="preserve">Bien que la réalisation de cette expérience est statistiquement discutable, elle a été réalisée en tout début de la période de stage et m’a permis la réflexion sur comment intégrer mieux la planification d’expériences.</w:t>
      </w:r>
    </w:p>
    <w:bookmarkEnd w:id="44"/>
    <w:bookmarkStart w:id="45"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5"/>
    <w:bookmarkStart w:id="46"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O3 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ventilée</w:t>
      </w:r>
      <w:r>
        <w:t xml:space="preserve">”</w:t>
      </w:r>
      <w:r>
        <w:t xml:space="preserve"> </w:t>
      </w:r>
      <w:r>
        <w:t xml:space="preserve">et</w:t>
      </w:r>
      <w:r>
        <w:t xml:space="preserve"> </w:t>
      </w:r>
      <w:r>
        <w:t xml:space="preserve">“</w:t>
      </w:r>
      <w:r>
        <w:t xml:space="preserve">plante témoin non-ventilée</w:t>
      </w:r>
      <w:r>
        <w:t xml:space="preserve">”</w:t>
      </w:r>
      <w:r>
        <w:t xml:space="preserve">. D’un autre côté, nous comparons un blanc non-ventilé à des plantes ventilées. Au regard de débit d’air pure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pertinentes pour mettre en avant les difficultés à coller à la théorie des plans d’expériences d’une part et pour mieux comprendre les multiples capacités de l’instrument PTR-ToF-MS.</w:t>
      </w:r>
    </w:p>
    <w:bookmarkEnd w:id="46"/>
    <w:bookmarkEnd w:id="47"/>
    <w:bookmarkStart w:id="48"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spectroscopie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8"/>
    <w:bookmarkEnd w:id="49"/>
    <w:bookmarkStart w:id="88"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 d’information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traces.</w:t>
      </w:r>
    </w:p>
    <w:bookmarkStart w:id="54"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50"/>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51"/>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isomères</w:t>
      </w:r>
      <w:r>
        <w:rPr>
          <w:rStyle w:val="FootnoteReference"/>
        </w:rPr>
        <w:footnoteReference w:id="52"/>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3"/>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promise à un bel avenir.</w:t>
      </w:r>
    </w:p>
    <w:bookmarkEnd w:id="54"/>
    <w:bookmarkStart w:id="62"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5"/>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l’échantillons (</w:t>
      </w:r>
      <w:r>
        <w:rPr>
          <w:iCs/>
          <w:i/>
        </w:rPr>
        <w:t xml:space="preserve">Proton-Transfer-Reaction</w:t>
      </w:r>
      <w:r>
        <w:t xml:space="preserve">).</w:t>
      </w:r>
    </w:p>
    <w:p>
      <w:pPr>
        <w:pStyle w:val="CaptionedFigure"/>
      </w:pPr>
      <w:bookmarkStart w:id="57"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6"/>
                    <a:stretch>
                      <a:fillRect/>
                    </a:stretch>
                  </pic:blipFill>
                  <pic:spPr bwMode="auto">
                    <a:xfrm>
                      <a:off x="0" y="0"/>
                      <a:ext cx="3686475" cy="1876926"/>
                    </a:xfrm>
                    <a:prstGeom prst="rect">
                      <a:avLst/>
                    </a:prstGeom>
                    <a:noFill/>
                    <a:ln w="9525">
                      <a:noFill/>
                      <a:headEnd/>
                      <a:tailEnd/>
                    </a:ln>
                  </pic:spPr>
                </pic:pic>
              </a:graphicData>
            </a:graphic>
          </wp:inline>
        </w:drawing>
      </w:r>
      <w:bookmarkEnd w:id="57"/>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8"/>
      </w:r>
      <w:r>
        <w:t xml:space="preserve">, il n’y a quasiment pas de fragmentation moléculaire. C’est une ionisation douce, comme en ESI fréquemment utilisée en LC-MS. En revanche les ions ont</w:t>
      </w:r>
      <w:r>
        <w:t xml:space="preserve"> </w:t>
      </w:r>
      <w:r>
        <w:t xml:space="preserve">“</w:t>
      </w:r>
      <w:r>
        <w:t xml:space="preserve">une unité de masse molaire de plus</w:t>
      </w:r>
      <w:r>
        <w:t xml:space="preserve">”</w:t>
      </w:r>
      <w:r>
        <w:t xml:space="preserve">(un proton) que les molécules initiales.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 dépend du taux de protonation de la molécule M. Sous forme d’ions, l’échantillon peut être focalisé par un champ électromagnétique généré par un quadripole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Après étalonnage, une conversion</w:t>
      </w:r>
      <w:r>
        <w:t xml:space="preserve"> </w:t>
      </w:r>
      <w:r>
        <w:rPr>
          <w:iCs/>
          <w:i/>
        </w:rPr>
        <w:t xml:space="preserve">temps de vol</w:t>
      </w:r>
      <w:r>
        <w:t xml:space="preserve"> </w:t>
      </w:r>
      <w:r>
        <w:t xml:space="preserve">en</w:t>
      </w:r>
      <w:r>
        <w:t xml:space="preserve"> </w:t>
      </w:r>
      <w:r>
        <w:rPr>
          <w:iCs/>
          <w:i/>
        </w:rPr>
        <w:t xml:space="preserve">masse</w:t>
      </w:r>
      <w:r>
        <w:t xml:space="preserve"> </w:t>
      </w:r>
      <w:r>
        <w:t xml:space="preserve">permet de connaître l’intensité de chaque masse d’un échantillon.</w:t>
      </w:r>
    </w:p>
    <w:p>
      <w:pPr>
        <w:pStyle w:val="CaptionedFigure"/>
      </w:pPr>
      <w:bookmarkStart w:id="60"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9"/>
                    <a:stretch>
                      <a:fillRect/>
                    </a:stretch>
                  </pic:blipFill>
                  <pic:spPr bwMode="auto">
                    <a:xfrm>
                      <a:off x="0" y="0"/>
                      <a:ext cx="2084832" cy="1935480"/>
                    </a:xfrm>
                    <a:prstGeom prst="rect">
                      <a:avLst/>
                    </a:prstGeom>
                    <a:noFill/>
                    <a:ln w="9525">
                      <a:noFill/>
                      <a:headEnd/>
                      <a:tailEnd/>
                    </a:ln>
                  </pic:spPr>
                </pic:pic>
              </a:graphicData>
            </a:graphic>
          </wp:inline>
        </w:drawing>
      </w:r>
      <w:bookmarkEnd w:id="60"/>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61">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2"/>
    <w:bookmarkStart w:id="71" w:name="présentation-des-spectres"/>
    <w:p>
      <w:pPr>
        <w:pStyle w:val="Heading2"/>
      </w:pPr>
      <w:r>
        <w:rPr>
          <w:rStyle w:val="SectionNumber"/>
        </w:rPr>
        <w:t xml:space="preserve">2.3</w:t>
      </w:r>
      <w:r>
        <w:tab/>
      </w:r>
      <w:r>
        <w:t xml:space="preserve">Présentation des spectres</w:t>
      </w:r>
    </w:p>
    <w:p>
      <w:pPr>
        <w:pStyle w:val="CaptionedFigure"/>
      </w:pPr>
      <w:bookmarkStart w:id="64"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63"/>
                    <a:stretch>
                      <a:fillRect/>
                    </a:stretch>
                  </pic:blipFill>
                  <pic:spPr bwMode="auto">
                    <a:xfrm>
                      <a:off x="0" y="0"/>
                      <a:ext cx="5334000" cy="3867150"/>
                    </a:xfrm>
                    <a:prstGeom prst="rect">
                      <a:avLst/>
                    </a:prstGeom>
                    <a:noFill/>
                    <a:ln w="9525">
                      <a:noFill/>
                      <a:headEnd/>
                      <a:tailEnd/>
                    </a:ln>
                  </pic:spPr>
                </pic:pic>
              </a:graphicData>
            </a:graphic>
          </wp:inline>
        </w:drawing>
      </w:r>
      <w:bookmarkEnd w:id="64"/>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5">
        <w:r>
          <w:rPr>
            <w:rStyle w:val="Hyperlink"/>
          </w:rPr>
          <w:t xml:space="preserve">ici</w:t>
        </w:r>
      </w:hyperlink>
      <w:r>
        <w:rPr>
          <w:rStyle w:val="FootnoteReference"/>
        </w:rPr>
        <w:footnoteReference w:id="66"/>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isotopes se regroupent autour des masses unitaires, soumis à une loi central limite locale. Cela s’explique facilement au regard de la masse exacte des atomes composants les COV (H, C, O pour l’essentiel) sur le</w:t>
      </w:r>
      <w:r>
        <w:t xml:space="preserve"> </w:t>
      </w:r>
      <w:hyperlink r:id="rId67">
        <w:r>
          <w:rPr>
            <w:rStyle w:val="Hyperlink"/>
          </w:rPr>
          <w:t xml:space="preserve">tableau de Mendeleiev</w:t>
        </w:r>
      </w:hyperlink>
      <w:r>
        <w:rPr>
          <w:rStyle w:val="FootnoteReference"/>
        </w:rPr>
        <w:footnoteReference w:id="68"/>
      </w:r>
      <w:r>
        <w:t xml:space="preserve">. Il y a plusieurs ordres de grandeur</w:t>
      </w:r>
      <w:r>
        <w:rPr>
          <w:rStyle w:val="FootnoteReference"/>
        </w:rPr>
        <w:footnoteReference w:id="70"/>
      </w:r>
      <w:r>
        <w:t xml:space="preserve"> </w:t>
      </w:r>
      <w:r>
        <w:t xml:space="preserve">entre les pics très intenses et ceux faibles. Cette intensité ne présage rien quand à l’importance de ce pic dans l’analyse.</w:t>
      </w:r>
    </w:p>
    <w:p>
      <w:pPr>
        <w:pStyle w:val="BodyText"/>
      </w:pPr>
      <w:r>
        <w:t xml:space="preserve">La plage spectral de l’instrument est de 70 à 500 g/mol. Cela est limité pour des raisons techniques alors qu’il y a de nombreuses molécules d’intérêts de masses inférieures à 70g/mol. En revanche la limite fixée pour les molécules volatiles et de 300 g/mol. Ces considérations prises en compte, nous obtenons pour chaque spectre un vecteur brute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 nous générons ainsi des dizaines, voir des milliers, de spectres. Ceci étant, nous pouvons dès à présent percevoir les problèmes liés aux temps de calculs que nous allons rencontrer et la nécessité de développer des outils optimisés pour analyser de tels objets.</w:t>
      </w:r>
    </w:p>
    <w:bookmarkEnd w:id="71"/>
    <w:bookmarkStart w:id="76"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exhaustif de la chaîne -omic. Il se concentre sur l’analyse des petites molécules, les</w:t>
      </w:r>
      <w:r>
        <w:t xml:space="preserve"> </w:t>
      </w:r>
      <w:r>
        <w:rPr>
          <w:iCs/>
          <w:i/>
        </w:rPr>
        <w:t xml:space="preserve">métabolites</w:t>
      </w:r>
      <w:r>
        <w:t xml:space="preserve">, produites par un système biologique. Les deux domaines d’analyses sont la résonance magnétique nucléaire (NMR) et la spectroscopie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w:t>
      </w:r>
      <w:r>
        <w:rPr>
          <w:rStyle w:val="FootnoteReference"/>
        </w:rPr>
        <w:footnoteReference w:id="72"/>
      </w:r>
      <w:r>
        <w:t xml:space="preserve"> </w:t>
      </w:r>
      <w:r>
        <w:t xml:space="preserve">existent. Il est légitime de se poser la question de la nécessité d’utilisation des deux techniques</w:t>
      </w:r>
      <w:r>
        <w:rPr>
          <w:rStyle w:val="FootnoteReference"/>
        </w:rPr>
        <w:footnoteReference w:id="73"/>
      </w:r>
      <w:r>
        <w:t xml:space="preserve">.</w:t>
      </w:r>
    </w:p>
    <w:p>
      <w:pPr>
        <w:pStyle w:val="BodyText"/>
      </w:pPr>
      <w:r>
        <w:t xml:space="preserve">Premièrement, la GC-MS accumule les COV dans des pièges chimiques</w:t>
      </w:r>
      <w:r>
        <w:rPr>
          <w:rStyle w:val="FootnoteReference"/>
        </w:rPr>
        <w:footnoteReference w:id="74"/>
      </w:r>
      <w:r>
        <w:t xml:space="preserve"> </w:t>
      </w:r>
      <w:r>
        <w:t xml:space="preserve">puis les analyses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 ces spectres sont additionnés les uns aux autres sur des durées d’acquisitions plus longues</w:t>
      </w:r>
      <w:r>
        <w:rPr>
          <w:rStyle w:val="FootnoteReference"/>
        </w:rPr>
        <w:footnoteReference w:id="75"/>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collecté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chimiomètrie (largement utilisée pour l’analyse des spectres optiques) ; ou en utilisant des packages destinés à d’autres méthodes (MALDIquant conçu pour le traitement des spectres MALDI-ToF)</w:t>
      </w:r>
    </w:p>
    <w:bookmarkEnd w:id="76"/>
    <w:bookmarkStart w:id="87"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9"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7"/>
      </w:r>
      <w:r>
        <w:t xml:space="preserve"> </w:t>
      </w:r>
      <w:r>
        <w:t xml:space="preserve">pour les utilisateurs pressés d’analyser</w:t>
      </w:r>
      <w:r>
        <w:t xml:space="preserve"> </w:t>
      </w:r>
      <w:r>
        <w:rPr>
          <w:iCs/>
          <w:i/>
        </w:rPr>
        <w:t xml:space="preserve">leurs</w:t>
      </w:r>
      <w:r>
        <w:t xml:space="preserve"> </w:t>
      </w:r>
      <w:r>
        <w:t xml:space="preserve">données sous R sans avoir besoin d’avoir 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importées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 Les détails à propos de l’alignement des spectres sont données dans la section</w:t>
      </w:r>
      <w:r>
        <w:t xml:space="preserve"> </w:t>
      </w:r>
      <w:r>
        <w:t xml:space="preserve">3.1</w:t>
      </w:r>
      <w:r>
        <w:t xml:space="preserve">. Pour l’étape de réduction, j’ai défini empiriquement de supprimer chaque colonne (masse) qui ne possédait aucune ligne (intensité) supérieur à un seuil. Ce seuil est calculé pour chaque jeu de donnée comme égale à 20 fois l’écart-type médian de chaque masse</w:t>
      </w:r>
      <w:r>
        <w:rPr>
          <w:rStyle w:val="FootnoteReference"/>
        </w:rPr>
        <w:footnoteReference w:id="78"/>
      </w:r>
      <w:r>
        <w:t xml:space="preserve">. Il est probable que cette étape de réduction peut être optimisée d’avantage mais je reviens sur les perspectives d’améliorations du package dans la section dédiée,</w:t>
      </w:r>
      <w:r>
        <w:t xml:space="preserve"> </w:t>
      </w:r>
      <w:r>
        <w:t xml:space="preserve">2.5.4</w:t>
      </w:r>
      <w:r>
        <w:t xml:space="preserve">.</w:t>
      </w:r>
    </w:p>
    <w:p>
      <w:pPr>
        <w:pStyle w:val="BodyText"/>
      </w:pPr>
      <w:r>
        <w:t xml:space="preserve">Passé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9"/>
    <w:bookmarkStart w:id="83"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d'une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81"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80"/>
                    <a:stretch>
                      <a:fillRect/>
                    </a:stretch>
                  </pic:blipFill>
                  <pic:spPr bwMode="auto">
                    <a:xfrm>
                      <a:off x="0" y="0"/>
                      <a:ext cx="5334000" cy="2140144"/>
                    </a:xfrm>
                    <a:prstGeom prst="rect">
                      <a:avLst/>
                    </a:prstGeom>
                    <a:noFill/>
                    <a:ln w="9525">
                      <a:noFill/>
                      <a:headEnd/>
                      <a:tailEnd/>
                    </a:ln>
                  </pic:spPr>
                </pic:pic>
              </a:graphicData>
            </a:graphic>
          </wp:inline>
        </w:drawing>
      </w:r>
      <w:bookmarkEnd w:id="81"/>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expérimentale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2">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 grandement ce module.</w:t>
      </w:r>
    </w:p>
    <w:bookmarkEnd w:id="83"/>
    <w:bookmarkStart w:id="85" w:name="X605da4605268d9c8580e35fe9c01a9f19c3216a"/>
    <w:p>
      <w:pPr>
        <w:pStyle w:val="Heading3"/>
      </w:pPr>
      <w:r>
        <w:rPr>
          <w:rStyle w:val="SectionNumber"/>
        </w:rPr>
        <w:t xml:space="preserve">2.5.3</w:t>
      </w:r>
      <w:r>
        <w:tab/>
      </w:r>
      <w:r>
        <w:t xml:space="preserve">Étalonnage, regression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exponentielles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4">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5"/>
    <w:bookmarkStart w:id="86"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sandwitch entre l’ouverture de toutes les datas et la fermeture des données. Cette maladresse occupe de la RAM inutilement et ralentie beaucoup cette étape. Pour autant, toucher à la fonction qui importe les données et les mets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très performante pour détecter les pics (</w:t>
      </w:r>
      <w:r>
        <w:t xml:space="preserve">2.5.1</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principales défauts avant de le proposer aux collègues des autres centres de recherche avec qui nous avons des contacts. Les retours sur les quelques démonstrations effectuées sont très positives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6"/>
    <w:bookmarkEnd w:id="87"/>
    <w:bookmarkEnd w:id="88"/>
    <w:bookmarkStart w:id="126"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 Le début de ce stage m’a permis de reprendre ce travail avec des idées nouvelles que je présenterais dans une première partie. La deuxième partie présente l’utilisation de la chimiométrie pour l’analyse de donnée, d’abords avec la PCA puis avec deux méthodes moins connues, l’ICA et la MCR qui ont l’avantage chacune d’essayer de décomposer les données en produits pures.</w:t>
      </w:r>
    </w:p>
    <w:bookmarkStart w:id="91" w:name="alignmnt"/>
    <w:p>
      <w:pPr>
        <w:pStyle w:val="Heading2"/>
      </w:pPr>
      <w:r>
        <w:rPr>
          <w:rStyle w:val="SectionNumber"/>
        </w:rPr>
        <w:t xml:space="preserve">3.1</w:t>
      </w:r>
      <w:r>
        <w:tab/>
      </w:r>
      <w:r>
        <w:t xml:space="preserve">Alignement et sélection de variable</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 Par ailleurs, la fonction créé des pics négatifs qui faussent le calcul de l’AUC.</w:t>
      </w:r>
    </w:p>
    <w:p>
      <w:pPr>
        <w:pStyle w:val="CaptionedFigure"/>
      </w:pPr>
      <w:bookmarkStart w:id="90"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bookmarkEnd w:id="90"/>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supprimer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a effectué avec un ordinateur de bureau. Pour autant, la solution que j’ai trouvé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chimiomètriciens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fonctionnelles pour les jeu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91"/>
    <w:bookmarkStart w:id="104" w:name="analyses-chimiométriques"/>
    <w:p>
      <w:pPr>
        <w:pStyle w:val="Heading2"/>
      </w:pPr>
      <w:r>
        <w:rPr>
          <w:rStyle w:val="SectionNumber"/>
        </w:rPr>
        <w:t xml:space="preserve">3.2</w:t>
      </w:r>
      <w:r>
        <w:tab/>
      </w:r>
      <w:r>
        <w:t xml:space="preserve">Analyses Chimiométriques</w:t>
      </w:r>
    </w:p>
    <w:bookmarkStart w:id="96"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2">
        <w:r>
          <w:rPr>
            <w:rStyle w:val="Hyperlink"/>
          </w:rPr>
          <w:t xml:space="preserve">ACP</w:t>
        </w:r>
      </w:hyperlink>
      <w:r>
        <w:rPr>
          <w:rStyle w:val="FootnoteReference"/>
        </w:rPr>
        <w:footnoteReference w:id="93"/>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 ici. Il décrit le jeu de donnée utilisé dans la section</w:t>
      </w:r>
      <w:r>
        <w:t xml:space="preserve"> </w:t>
      </w:r>
      <w:r>
        <w:t xml:space="preserve">1.3.3</w:t>
      </w:r>
      <w:r>
        <w:t xml:space="preserve"> </w:t>
      </w:r>
      <w:r>
        <w:t xml:space="preserve">et y sera commenté dans cette même section. L’ACP peut être appliqué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utilisé depuis</w:t>
      </w:r>
      <w:r>
        <w:t xml:space="preserve"> </w:t>
      </w:r>
      <w:hyperlink r:id="rId94">
        <w:r>
          <w:rPr>
            <w:rStyle w:val="Hyperlink"/>
          </w:rPr>
          <w:t xml:space="preserve">longtemps</w:t>
        </w:r>
      </w:hyperlink>
      <w:r>
        <w:rPr>
          <w:rStyle w:val="FootnoteReference"/>
        </w:rPr>
        <w:footnoteReference w:id="95"/>
      </w:r>
      <w:r>
        <w:t xml:space="preserve">.</w:t>
      </w:r>
    </w:p>
    <w:bookmarkEnd w:id="96"/>
    <w:bookmarkStart w:id="100" w:name="multivariate-curve-resolution-mcr"/>
    <w:p>
      <w:pPr>
        <w:pStyle w:val="Heading3"/>
      </w:pPr>
      <w:r>
        <w:rPr>
          <w:rStyle w:val="SectionNumber"/>
        </w:rPr>
        <w:t xml:space="preserve">3.2.2</w:t>
      </w:r>
      <w:r>
        <w:tab/>
      </w:r>
      <w:r>
        <w:t xml:space="preserve">Multivariate Curve Resolution (MCR)</w:t>
      </w:r>
    </w:p>
    <w:p>
      <w:pPr>
        <w:pStyle w:val="CaptionedFigure"/>
      </w:pPr>
      <w:bookmarkStart w:id="98"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7"/>
                    <a:stretch>
                      <a:fillRect/>
                    </a:stretch>
                  </pic:blipFill>
                  <pic:spPr bwMode="auto">
                    <a:xfrm>
                      <a:off x="0" y="0"/>
                      <a:ext cx="5334000" cy="3640389"/>
                    </a:xfrm>
                    <a:prstGeom prst="rect">
                      <a:avLst/>
                    </a:prstGeom>
                    <a:noFill/>
                    <a:ln w="9525">
                      <a:noFill/>
                      <a:headEnd/>
                      <a:tailEnd/>
                    </a:ln>
                  </pic:spPr>
                </pic:pic>
              </a:graphicData>
            </a:graphic>
          </wp:inline>
        </w:drawing>
      </w:r>
      <w:bookmarkEnd w:id="98"/>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pures.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pures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9"/>
      </w:r>
      <w:r>
        <w:t xml:space="preserve">. Les étapes de l’équation sont décrites dans l’article précédemment citée.</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pure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pures et leure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 de la matrice alignée. Cependant, avec un ordinateur de bureau, les calculs sont assez long.</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pures. Pour autant, les deux approches sont différentes et génèrent parfois des incompréhensions entre les communautés.</w:t>
      </w:r>
    </w:p>
    <w:bookmarkEnd w:id="100"/>
    <w:bookmarkStart w:id="103"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principale de l’ICA est de retrouver les</w:t>
      </w:r>
      <w:r>
        <w:t xml:space="preserve"> </w:t>
      </w:r>
      <w:r>
        <w:rPr>
          <w:iCs/>
          <w:i/>
        </w:rPr>
        <w:t xml:space="preserve">signals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signals sources indépendant,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1"/>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2">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3"/>
    <w:bookmarkEnd w:id="104"/>
    <w:bookmarkStart w:id="122"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5">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6">
        <w:r>
          <w:rPr>
            <w:rStyle w:val="Hyperlink"/>
            <w:bCs/>
            <w:b/>
          </w:rPr>
          <w:t xml:space="preserve">rnirs</w:t>
        </w:r>
      </w:hyperlink>
      <w:r>
        <w:rPr>
          <w:rStyle w:val="FootnoteReference"/>
        </w:rPr>
        <w:footnoteReference w:id="107"/>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8">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pures de la MCR que nous allons voir par la suite.</w:t>
      </w:r>
    </w:p>
    <w:bookmarkStart w:id="110"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9"/>
      </w:r>
      <w:r>
        <w:t xml:space="preserve"> </w:t>
      </w:r>
      <w:r>
        <w:t xml:space="preserve">pour ajuster le nombre de composés est de procéder comme avec une ACP, c’est à 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10"/>
    <w:bookmarkStart w:id="115" w:name="anaalm"/>
    <w:p>
      <w:pPr>
        <w:pStyle w:val="Heading3"/>
      </w:pPr>
      <w:r>
        <w:rPr>
          <w:rStyle w:val="SectionNumber"/>
        </w:rPr>
        <w:t xml:space="preserve">3.3.2</w:t>
      </w:r>
      <w:r>
        <w:tab/>
      </w:r>
      <w:r>
        <w:t xml:space="preserve">Suivi de la floraison</w:t>
      </w:r>
    </w:p>
    <w:p>
      <w:pPr>
        <w:pStyle w:val="CaptionedFigure"/>
      </w:pPr>
      <w:bookmarkStart w:id="112"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11"/>
                    <a:stretch>
                      <a:fillRect/>
                    </a:stretch>
                  </pic:blipFill>
                  <pic:spPr bwMode="auto">
                    <a:xfrm>
                      <a:off x="0" y="0"/>
                      <a:ext cx="5334000" cy="3556000"/>
                    </a:xfrm>
                    <a:prstGeom prst="rect">
                      <a:avLst/>
                    </a:prstGeom>
                    <a:noFill/>
                    <a:ln w="9525">
                      <a:noFill/>
                      <a:headEnd/>
                      <a:tailEnd/>
                    </a:ln>
                  </pic:spPr>
                </pic:pic>
              </a:graphicData>
            </a:graphic>
          </wp:inline>
        </w:drawing>
      </w:r>
      <w:bookmarkEnd w:id="112"/>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4"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3"/>
                    <a:stretch>
                      <a:fillRect/>
                    </a:stretch>
                  </pic:blipFill>
                  <pic:spPr bwMode="auto">
                    <a:xfrm>
                      <a:off x="0" y="0"/>
                      <a:ext cx="5334000" cy="3556000"/>
                    </a:xfrm>
                    <a:prstGeom prst="rect">
                      <a:avLst/>
                    </a:prstGeom>
                    <a:noFill/>
                    <a:ln w="9525">
                      <a:noFill/>
                      <a:headEnd/>
                      <a:tailEnd/>
                    </a:ln>
                  </pic:spPr>
                </pic:pic>
              </a:graphicData>
            </a:graphic>
          </wp:inline>
        </w:drawing>
      </w:r>
      <w:bookmarkEnd w:id="114"/>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n’avons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 ces artefacts, nous pouvons interpréter les phénomènes. La composante n°2 (en bleu nuit) est monotone décroissante. Ces composés sont ceux de la pollution extérieure à notre système biologique et chassés par le flux d’air zéro en quelques heures. Les composés n°5 et 4 (jaune et vert) sont ceux du bourgeons avec l’alternance phase de nuit/phase de jour (levé du soleil : 07h24). La floraison a très probablement eu lieu au alentour de 14h. Nous avons deux indices qui laissent penser ça. Premièrement, les cinétiques de composés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5"/>
    <w:bookmarkStart w:id="121" w:name="analav"/>
    <w:p>
      <w:pPr>
        <w:pStyle w:val="Heading3"/>
      </w:pPr>
      <w:r>
        <w:rPr>
          <w:rStyle w:val="SectionNumber"/>
        </w:rPr>
        <w:t xml:space="preserve">3.3.3</w:t>
      </w:r>
      <w:r>
        <w:tab/>
      </w:r>
      <w:r>
        <w:t xml:space="preserve">Analyse de l’émission journalière des lavandes</w:t>
      </w:r>
    </w:p>
    <w:p>
      <w:pPr>
        <w:pStyle w:val="CaptionedFigure"/>
      </w:pPr>
      <w:bookmarkStart w:id="117"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6"/>
                    <a:stretch>
                      <a:fillRect/>
                    </a:stretch>
                  </pic:blipFill>
                  <pic:spPr bwMode="auto">
                    <a:xfrm>
                      <a:off x="0" y="0"/>
                      <a:ext cx="5334000" cy="3556000"/>
                    </a:xfrm>
                    <a:prstGeom prst="rect">
                      <a:avLst/>
                    </a:prstGeom>
                    <a:noFill/>
                    <a:ln w="9525">
                      <a:noFill/>
                      <a:headEnd/>
                      <a:tailEnd/>
                    </a:ln>
                  </pic:spPr>
                </pic:pic>
              </a:graphicData>
            </a:graphic>
          </wp:inline>
        </w:drawing>
      </w:r>
      <w:bookmarkEnd w:id="117"/>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19"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8"/>
                    <a:stretch>
                      <a:fillRect/>
                    </a:stretch>
                  </pic:blipFill>
                  <pic:spPr bwMode="auto">
                    <a:xfrm>
                      <a:off x="0" y="0"/>
                      <a:ext cx="5334000" cy="6667500"/>
                    </a:xfrm>
                    <a:prstGeom prst="rect">
                      <a:avLst/>
                    </a:prstGeom>
                    <a:noFill/>
                    <a:ln w="9525">
                      <a:noFill/>
                      <a:headEnd/>
                      <a:tailEnd/>
                    </a:ln>
                  </pic:spPr>
                </pic:pic>
              </a:graphicData>
            </a:graphic>
          </wp:inline>
        </w:drawing>
      </w:r>
      <w:bookmarkEnd w:id="119"/>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20"/>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levé (en jaune) et le couché (en bleu) du soleil. Le levé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 alentour de 15h. La composante 4 suit un profil d’émission différent de la composante 2. L’émission des COV arrive en 2h à un maximal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1"/>
    <w:bookmarkEnd w:id="122"/>
    <w:bookmarkStart w:id="125"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123">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 de données, notamment pour détecter les outliers.</w:t>
      </w:r>
      <w:r>
        <w:br/>
      </w:r>
      <w:r>
        <w:t xml:space="preserve">Ensuite, il reste un travail, probablement à effectuer en commun avec les membres de Chemhouse, pour optimiser les analyses MCR et</w:t>
      </w:r>
      <w:r>
        <w:t xml:space="preserve"> </w:t>
      </w:r>
      <w:hyperlink r:id="rId108">
        <w:r>
          <w:rPr>
            <w:rStyle w:val="Hyperlink"/>
          </w:rPr>
          <w:t xml:space="preserve">ICA</w:t>
        </w:r>
      </w:hyperlink>
      <w:r>
        <w:rPr>
          <w:rStyle w:val="FootnoteReference"/>
        </w:rPr>
        <w:footnoteReference w:id="124"/>
      </w:r>
      <w:r>
        <w:t xml:space="preserve"> </w:t>
      </w:r>
      <w:r>
        <w:t xml:space="preserve">puis en croissant les résultats de l’analyses biologiques avec les spectres pures(MCR) et les signals sources(ICA) afin de définir au plus juste quel algorithme décrit le mieux les lois naturelles.</w:t>
      </w:r>
    </w:p>
    <w:bookmarkEnd w:id="125"/>
    <w:bookmarkEnd w:id="126"/>
    <w:bookmarkStart w:id="205"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le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7"/>
      </w:r>
      <w:r>
        <w:t xml:space="preserve">. Pour autant, ces contraintes font parties du métier et l’analyste doit savoir si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4" w:name="refs"/>
    <w:bookmarkStart w:id="129"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8">
        <w:r>
          <w:rPr>
            <w:rStyle w:val="Hyperlink"/>
          </w:rPr>
          <w:t xml:space="preserve">https://doi.org/10.37917/ijeee.11.1.1</w:t>
        </w:r>
      </w:hyperlink>
      <w:r>
        <w:t xml:space="preserve">.</w:t>
      </w:r>
    </w:p>
    <w:bookmarkEnd w:id="129"/>
    <w:bookmarkStart w:id="131"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30">
        <w:r>
          <w:rPr>
            <w:rStyle w:val="Hyperlink"/>
          </w:rPr>
          <w:t xml:space="preserve">http://www.legrog.org/jeux/rotting-christ/rotting-christ-fr</w:t>
        </w:r>
      </w:hyperlink>
      <w:r>
        <w:t xml:space="preserve">.</w:t>
      </w:r>
    </w:p>
    <w:bookmarkEnd w:id="131"/>
    <w:bookmarkStart w:id="133"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2">
        <w:r>
          <w:rPr>
            <w:rStyle w:val="Hyperlink"/>
          </w:rPr>
          <w:t xml:space="preserve">https://www-elsevier-com.inee.bib.cnrs.fr/books/advances-in-gas-phase-ion-chemistry/babcock/978-0-444-50929-1</w:t>
        </w:r>
      </w:hyperlink>
      <w:r>
        <w:t xml:space="preserve">.</w:t>
      </w:r>
    </w:p>
    <w:bookmarkEnd w:id="133"/>
    <w:bookmarkStart w:id="135"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4">
        <w:r>
          <w:rPr>
            <w:rStyle w:val="Hyperlink"/>
          </w:rPr>
          <w:t xml:space="preserve">https://doi.org/10.1021/ac0498260</w:t>
        </w:r>
      </w:hyperlink>
      <w:r>
        <w:t xml:space="preserve">.</w:t>
      </w:r>
    </w:p>
    <w:bookmarkEnd w:id="135"/>
    <w:bookmarkStart w:id="137"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6">
        <w:r>
          <w:rPr>
            <w:rStyle w:val="Hyperlink"/>
          </w:rPr>
          <w:t xml:space="preserve">https://doi.org/10.5334/jors.bu</w:t>
        </w:r>
      </w:hyperlink>
      <w:r>
        <w:t xml:space="preserve">.</w:t>
      </w:r>
    </w:p>
    <w:bookmarkEnd w:id="137"/>
    <w:bookmarkStart w:id="139"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8">
        <w:r>
          <w:rPr>
            <w:rStyle w:val="Hyperlink"/>
          </w:rPr>
          <w:t xml:space="preserve">https://doi.org/10.1016/j.ijms.2009.11.007</w:t>
        </w:r>
      </w:hyperlink>
      <w:r>
        <w:t xml:space="preserve">.</w:t>
      </w:r>
    </w:p>
    <w:bookmarkEnd w:id="139"/>
    <w:bookmarkStart w:id="141"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40">
        <w:r>
          <w:rPr>
            <w:rStyle w:val="Hyperlink"/>
          </w:rPr>
          <w:t xml:space="preserve">https://doi.org/10.1016/j.snb.2010.11.044</w:t>
        </w:r>
      </w:hyperlink>
      <w:r>
        <w:t xml:space="preserve">.</w:t>
      </w:r>
    </w:p>
    <w:bookmarkEnd w:id="141"/>
    <w:bookmarkStart w:id="143"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2">
        <w:r>
          <w:rPr>
            <w:rStyle w:val="Hyperlink"/>
          </w:rPr>
          <w:t xml:space="preserve">https://doi.org/10.1049/ip-f-2.1993.0054</w:t>
        </w:r>
      </w:hyperlink>
      <w:r>
        <w:t xml:space="preserve">.</w:t>
      </w:r>
    </w:p>
    <w:bookmarkEnd w:id="143"/>
    <w:bookmarkStart w:id="145"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4">
        <w:r>
          <w:rPr>
            <w:rStyle w:val="Hyperlink"/>
          </w:rPr>
          <w:t xml:space="preserve">https://doi.org/10.5194/amt-14-133-2021</w:t>
        </w:r>
      </w:hyperlink>
      <w:r>
        <w:t xml:space="preserve">.</w:t>
      </w:r>
    </w:p>
    <w:bookmarkEnd w:id="145"/>
    <w:bookmarkStart w:id="147"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6">
        <w:r>
          <w:rPr>
            <w:rStyle w:val="Hyperlink"/>
          </w:rPr>
          <w:t xml:space="preserve">https://doi.org/10.1002/jms.4317</w:t>
        </w:r>
      </w:hyperlink>
      <w:r>
        <w:t xml:space="preserve">.</w:t>
      </w:r>
    </w:p>
    <w:bookmarkEnd w:id="147"/>
    <w:bookmarkStart w:id="149"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8">
        <w:r>
          <w:rPr>
            <w:rStyle w:val="Hyperlink"/>
          </w:rPr>
          <w:t xml:space="preserve">https://doi.org/10.1016/j.ijms.2005.09.008</w:t>
        </w:r>
      </w:hyperlink>
      <w:r>
        <w:t xml:space="preserve">.</w:t>
      </w:r>
    </w:p>
    <w:bookmarkEnd w:id="149"/>
    <w:bookmarkStart w:id="151"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50">
        <w:r>
          <w:rPr>
            <w:rStyle w:val="Hyperlink"/>
          </w:rPr>
          <w:t xml:space="preserve">https://doi.org/10.18129/B9.bioc.rhdf5</w:t>
        </w:r>
      </w:hyperlink>
      <w:r>
        <w:t xml:space="preserve">.</w:t>
      </w:r>
    </w:p>
    <w:bookmarkEnd w:id="151"/>
    <w:bookmarkStart w:id="153"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2">
        <w:r>
          <w:rPr>
            <w:rStyle w:val="Hyperlink"/>
          </w:rPr>
          <w:t xml:space="preserve">https://doi.org/10.1016/j.jasms.2010.02.006</w:t>
        </w:r>
      </w:hyperlink>
      <w:r>
        <w:t xml:space="preserve">.</w:t>
      </w:r>
    </w:p>
    <w:bookmarkEnd w:id="153"/>
    <w:bookmarkStart w:id="155"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4">
        <w:r>
          <w:rPr>
            <w:rStyle w:val="Hyperlink"/>
          </w:rPr>
          <w:t xml:space="preserve">https://tel.archives-ouvertes.fr/tel-00675866</w:t>
        </w:r>
      </w:hyperlink>
      <w:r>
        <w:t xml:space="preserve">.</w:t>
      </w:r>
    </w:p>
    <w:bookmarkEnd w:id="155"/>
    <w:bookmarkStart w:id="156"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6"/>
    <w:bookmarkStart w:id="158"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7">
        <w:r>
          <w:rPr>
            <w:rStyle w:val="Hyperlink"/>
          </w:rPr>
          <w:t xml:space="preserve">https://doi.org/10.1016/0168-1176(95)04294-U</w:t>
        </w:r>
      </w:hyperlink>
      <w:r>
        <w:t xml:space="preserve">.</w:t>
      </w:r>
    </w:p>
    <w:bookmarkEnd w:id="158"/>
    <w:bookmarkStart w:id="160"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9">
        <w:r>
          <w:rPr>
            <w:rStyle w:val="Hyperlink"/>
          </w:rPr>
          <w:t xml:space="preserve">https://doi.org/10.5194/amt-8-3903-2015</w:t>
        </w:r>
      </w:hyperlink>
      <w:r>
        <w:t xml:space="preserve">.</w:t>
      </w:r>
    </w:p>
    <w:bookmarkEnd w:id="160"/>
    <w:bookmarkStart w:id="162"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61">
        <w:r>
          <w:rPr>
            <w:rStyle w:val="Hyperlink"/>
          </w:rPr>
          <w:t xml:space="preserve">https://doi.org/10.1016/B978-0-444-63638-6.00014-0</w:t>
        </w:r>
      </w:hyperlink>
      <w:r>
        <w:t xml:space="preserve">.</w:t>
      </w:r>
    </w:p>
    <w:bookmarkEnd w:id="162"/>
    <w:bookmarkStart w:id="164"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3">
        <w:r>
          <w:rPr>
            <w:rStyle w:val="Hyperlink"/>
          </w:rPr>
          <w:t xml:space="preserve">https://doi.org/10.1002/rcm.2405</w:t>
        </w:r>
      </w:hyperlink>
      <w:r>
        <w:t xml:space="preserve">.</w:t>
      </w:r>
    </w:p>
    <w:bookmarkEnd w:id="164"/>
    <w:bookmarkStart w:id="166"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5">
        <w:r>
          <w:rPr>
            <w:rStyle w:val="Hyperlink"/>
          </w:rPr>
          <w:t xml:space="preserve">https://doi.org/10.1016/j.ijms.2009.07.005</w:t>
        </w:r>
      </w:hyperlink>
      <w:r>
        <w:t xml:space="preserve">.</w:t>
      </w:r>
    </w:p>
    <w:bookmarkEnd w:id="166"/>
    <w:bookmarkStart w:id="168"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7">
        <w:r>
          <w:rPr>
            <w:rStyle w:val="Hyperlink"/>
          </w:rPr>
          <w:t xml:space="preserve">https://doi.org/10.1016/B978-0-444-63638-6.00002-4</w:t>
        </w:r>
      </w:hyperlink>
      <w:r>
        <w:t xml:space="preserve">.</w:t>
      </w:r>
    </w:p>
    <w:bookmarkEnd w:id="168"/>
    <w:bookmarkStart w:id="170"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9">
        <w:r>
          <w:rPr>
            <w:rStyle w:val="Hyperlink"/>
          </w:rPr>
          <w:t xml:space="preserve">https://doi.org/10.1039/C4AY00571F</w:t>
        </w:r>
      </w:hyperlink>
      <w:r>
        <w:t xml:space="preserve">.</w:t>
      </w:r>
    </w:p>
    <w:bookmarkEnd w:id="170"/>
    <w:bookmarkStart w:id="172"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71">
        <w:r>
          <w:rPr>
            <w:rStyle w:val="Hyperlink"/>
          </w:rPr>
          <w:t xml:space="preserve">https://doi.org/10.1021/acs.analchem.8b02641</w:t>
        </w:r>
      </w:hyperlink>
      <w:r>
        <w:t xml:space="preserve">.</w:t>
      </w:r>
    </w:p>
    <w:bookmarkEnd w:id="172"/>
    <w:bookmarkStart w:id="174"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3">
        <w:r>
          <w:rPr>
            <w:rStyle w:val="Hyperlink"/>
          </w:rPr>
          <w:t xml:space="preserve">https://doi.org/10.1016/B978-0-444-63638-6.00003-6</w:t>
        </w:r>
      </w:hyperlink>
      <w:r>
        <w:t xml:space="preserve">.</w:t>
      </w:r>
    </w:p>
    <w:bookmarkEnd w:id="174"/>
    <w:bookmarkStart w:id="176"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5">
        <w:r>
          <w:rPr>
            <w:rStyle w:val="Hyperlink"/>
          </w:rPr>
          <w:t xml:space="preserve">https://doi.org/10.1016/0168-1176(94)03965-8</w:t>
        </w:r>
      </w:hyperlink>
      <w:r>
        <w:t xml:space="preserve">.</w:t>
      </w:r>
    </w:p>
    <w:bookmarkEnd w:id="176"/>
    <w:bookmarkStart w:id="178"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7">
        <w:r>
          <w:rPr>
            <w:rStyle w:val="Hyperlink"/>
          </w:rPr>
          <w:t xml:space="preserve">https://doi.org/10.1016/S0168-1176(97)00281-4</w:t>
        </w:r>
      </w:hyperlink>
      <w:r>
        <w:t xml:space="preserve">.</w:t>
      </w:r>
    </w:p>
    <w:bookmarkEnd w:id="178"/>
    <w:bookmarkStart w:id="180"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9">
        <w:r>
          <w:rPr>
            <w:rStyle w:val="Hyperlink"/>
          </w:rPr>
          <w:t xml:space="preserve">https://doi.org/10.1016/0168-1176(93)87031-M</w:t>
        </w:r>
      </w:hyperlink>
      <w:r>
        <w:t xml:space="preserve">.</w:t>
      </w:r>
    </w:p>
    <w:bookmarkEnd w:id="180"/>
    <w:bookmarkStart w:id="182"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81">
        <w:r>
          <w:rPr>
            <w:rStyle w:val="Hyperlink"/>
          </w:rPr>
          <w:t xml:space="preserve">https://doi.org/10.1039/A827347Z</w:t>
        </w:r>
      </w:hyperlink>
      <w:r>
        <w:t xml:space="preserve">.</w:t>
      </w:r>
    </w:p>
    <w:bookmarkEnd w:id="182"/>
    <w:bookmarkStart w:id="183"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3"/>
    <w:bookmarkStart w:id="185"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4">
        <w:r>
          <w:rPr>
            <w:rStyle w:val="Hyperlink"/>
          </w:rPr>
          <w:t xml:space="preserve">https://doi.org/10.1016/j.aca.2018.06.056</w:t>
        </w:r>
      </w:hyperlink>
      <w:r>
        <w:t xml:space="preserve">.</w:t>
      </w:r>
    </w:p>
    <w:bookmarkEnd w:id="185"/>
    <w:bookmarkStart w:id="187"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6">
        <w:r>
          <w:rPr>
            <w:rStyle w:val="Hyperlink"/>
          </w:rPr>
          <w:t xml:space="preserve">https://doi.org/10.1186/s12859-018-2116-3</w:t>
        </w:r>
      </w:hyperlink>
      <w:r>
        <w:t xml:space="preserve">.</w:t>
      </w:r>
    </w:p>
    <w:bookmarkEnd w:id="187"/>
    <w:bookmarkStart w:id="189"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8">
        <w:r>
          <w:rPr>
            <w:rStyle w:val="Hyperlink"/>
          </w:rPr>
          <w:t xml:space="preserve">https://doi.org/10.1016/j.chemolab.2010.10.003</w:t>
        </w:r>
      </w:hyperlink>
      <w:r>
        <w:t xml:space="preserve">.</w:t>
      </w:r>
    </w:p>
    <w:bookmarkEnd w:id="189"/>
    <w:bookmarkStart w:id="191"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90">
        <w:r>
          <w:rPr>
            <w:rStyle w:val="Hyperlink"/>
          </w:rPr>
          <w:t xml:space="preserve">https://www.sciencedirect.com/bookseries/data-handling-in-science-and-technology/vol/30/suppl/C</w:t>
        </w:r>
      </w:hyperlink>
      <w:r>
        <w:t xml:space="preserve">.</w:t>
      </w:r>
    </w:p>
    <w:bookmarkEnd w:id="191"/>
    <w:bookmarkStart w:id="193"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2">
        <w:r>
          <w:rPr>
            <w:rStyle w:val="Hyperlink"/>
          </w:rPr>
          <w:t xml:space="preserve">https://doi.org/10.1016/j.trac.2013.03.013</w:t>
        </w:r>
      </w:hyperlink>
      <w:r>
        <w:t xml:space="preserve">.</w:t>
      </w:r>
    </w:p>
    <w:bookmarkEnd w:id="193"/>
    <w:bookmarkStart w:id="195"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4">
        <w:r>
          <w:rPr>
            <w:rStyle w:val="Hyperlink"/>
          </w:rPr>
          <w:t xml:space="preserve">https://doi.org/10.1016/j.trac.2015.02.001</w:t>
        </w:r>
      </w:hyperlink>
      <w:r>
        <w:t xml:space="preserve">.</w:t>
      </w:r>
    </w:p>
    <w:bookmarkEnd w:id="195"/>
    <w:bookmarkStart w:id="197"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6">
        <w:r>
          <w:rPr>
            <w:rStyle w:val="Hyperlink"/>
          </w:rPr>
          <w:t xml:space="preserve">https://doi.org/10.1016/B978-0-444-63638-6.00007-3</w:t>
        </w:r>
      </w:hyperlink>
      <w:r>
        <w:t xml:space="preserve">.</w:t>
      </w:r>
    </w:p>
    <w:bookmarkEnd w:id="197"/>
    <w:bookmarkStart w:id="199"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8">
        <w:r>
          <w:rPr>
            <w:rStyle w:val="Hyperlink"/>
          </w:rPr>
          <w:t xml:space="preserve">https://doi.org/10.1016/j.ijms.2007.01.009</w:t>
        </w:r>
      </w:hyperlink>
      <w:r>
        <w:t xml:space="preserve">.</w:t>
      </w:r>
    </w:p>
    <w:bookmarkEnd w:id="199"/>
    <w:bookmarkStart w:id="201"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200">
        <w:r>
          <w:rPr>
            <w:rStyle w:val="Hyperlink"/>
          </w:rPr>
          <w:t xml:space="preserve">https://doi.org/10.1016/j.trac.2008.01.009</w:t>
        </w:r>
      </w:hyperlink>
      <w:r>
        <w:t xml:space="preserve">.</w:t>
      </w:r>
    </w:p>
    <w:bookmarkEnd w:id="201"/>
    <w:bookmarkStart w:id="203"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2">
        <w:r>
          <w:rPr>
            <w:rStyle w:val="Hyperlink"/>
          </w:rPr>
          <w:t xml:space="preserve">https://doi.org/10.1007/s11306-014-0683-5</w:t>
        </w:r>
      </w:hyperlink>
      <w:r>
        <w:t xml:space="preserve">.</w:t>
      </w:r>
    </w:p>
    <w:bookmarkEnd w:id="203"/>
    <w:bookmarkEnd w:id="204"/>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50">
    <w:p>
      <w:pPr>
        <w:pStyle w:val="FootnoteText"/>
      </w:pPr>
      <w:r>
        <w:rPr>
          <w:rStyle w:val="FootnoteReference"/>
        </w:rPr>
        <w:footnoteRef/>
      </w:r>
      <w:r>
        <w:t xml:space="preserve"> </w:t>
      </w:r>
      <w:r>
        <w:t xml:space="preserve">avec des remerciements incroyables</w:t>
      </w:r>
    </w:p>
  </w:footnote>
  <w:footnote w:id="51">
    <w:p>
      <w:pPr>
        <w:pStyle w:val="FootnoteText"/>
      </w:pPr>
      <w:r>
        <w:rPr>
          <w:rStyle w:val="FootnoteReference"/>
        </w:rPr>
        <w:footnoteRef/>
      </w:r>
      <w:r>
        <w:t xml:space="preserve"> </w:t>
      </w:r>
      <w:r>
        <w:t xml:space="preserve">molécules possédant un nombre de nucléons identique.</w:t>
      </w:r>
    </w:p>
  </w:footnote>
  <w:footnote w:id="52">
    <w:p>
      <w:pPr>
        <w:pStyle w:val="FootnoteText"/>
      </w:pPr>
      <w:r>
        <w:rPr>
          <w:rStyle w:val="FootnoteReference"/>
        </w:rPr>
        <w:footnoteRef/>
      </w:r>
      <w:r>
        <w:t xml:space="preserve"> </w:t>
      </w:r>
      <w:r>
        <w:t xml:space="preserve">molécules partageant la même formule brute mais avec un agencement tridimensionnel différent.</w:t>
      </w:r>
    </w:p>
  </w:footnote>
  <w:footnote w:id="53">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5">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8">
    <w:p>
      <w:pPr>
        <w:pStyle w:val="FootnoteText"/>
      </w:pPr>
      <w:r>
        <w:rPr>
          <w:rStyle w:val="FootnoteReference"/>
        </w:rPr>
        <w:footnoteRef/>
      </w:r>
      <w:r>
        <w:t xml:space="preserve"> </w:t>
      </w:r>
      <w:r>
        <w:t xml:space="preserve">comme c’est le cas en ionisation électronique fréquemment utilisée en GC-MS.</w:t>
      </w:r>
    </w:p>
  </w:footnote>
  <w:footnote w:id="66">
    <w:p>
      <w:pPr>
        <w:pStyle w:val="FootnoteText"/>
      </w:pPr>
      <w:r>
        <w:rPr>
          <w:rStyle w:val="FootnoteReference"/>
        </w:rPr>
        <w:footnoteRef/>
      </w:r>
      <w:r>
        <w:t xml:space="preserve"> </w:t>
      </w:r>
      <w:r>
        <w:t xml:space="preserve">il faut télécharger le fichier puis l’ouvrir avec un navigateur internet.</w:t>
      </w:r>
    </w:p>
  </w:footnote>
  <w:footnote w:id="68">
    <w:p>
      <w:pPr>
        <w:pStyle w:val="FootnoteText"/>
      </w:pPr>
      <w:r>
        <w:rPr>
          <w:rStyle w:val="FootnoteReference"/>
        </w:rPr>
        <w:footnoteRef/>
      </w:r>
      <w:r>
        <w:t xml:space="preserve"> </w:t>
      </w:r>
      <w:hyperlink r:id="rId69">
        <w:r>
          <w:rPr>
            <w:rStyle w:val="Hyperlink"/>
          </w:rPr>
          <w:t xml:space="preserve">https://www.youtube.com/watch?v=0lNuTSz6KVM</w:t>
        </w:r>
      </w:hyperlink>
    </w:p>
  </w:footnote>
  <w:footnote w:id="70">
    <w:p>
      <w:pPr>
        <w:pStyle w:val="FootnoteText"/>
      </w:pPr>
      <w:r>
        <w:rPr>
          <w:rStyle w:val="FootnoteReference"/>
        </w:rPr>
        <w:footnoteRef/>
      </w:r>
      <w:r>
        <w:t xml:space="preserve"> </w:t>
      </w:r>
      <w:r>
        <w:t xml:space="preserve">entre 10 et 10</w:t>
      </w:r>
      <w:r>
        <w:rPr>
          <w:vertAlign w:val="superscript"/>
        </w:rPr>
        <w:t xml:space="preserve">6</w:t>
      </w:r>
    </w:p>
  </w:footnote>
  <w:footnote w:id="72">
    <w:p>
      <w:pPr>
        <w:pStyle w:val="FootnoteText"/>
      </w:pPr>
      <w:r>
        <w:rPr>
          <w:rStyle w:val="FootnoteReference"/>
        </w:rPr>
        <w:footnoteRef/>
      </w:r>
      <w:r>
        <w:t xml:space="preserve"> </w:t>
      </w:r>
      <w:r>
        <w:t xml:space="preserve">MZmine pour n’en citer qu’un</w:t>
      </w:r>
    </w:p>
  </w:footnote>
  <w:footnote w:id="73">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4">
    <w:p>
      <w:pPr>
        <w:pStyle w:val="FootnoteText"/>
      </w:pPr>
      <w:r>
        <w:rPr>
          <w:rStyle w:val="FootnoteReference"/>
        </w:rPr>
        <w:footnoteRef/>
      </w:r>
      <w:r>
        <w:t xml:space="preserve"> </w:t>
      </w:r>
      <w:r>
        <w:t xml:space="preserve">qui se présentent sous différentes formes en fonction des utilisation</w:t>
      </w:r>
    </w:p>
  </w:footnote>
  <w:footnote w:id="75">
    <w:p>
      <w:pPr>
        <w:pStyle w:val="FootnoteText"/>
      </w:pPr>
      <w:r>
        <w:rPr>
          <w:rStyle w:val="FootnoteReference"/>
        </w:rPr>
        <w:footnoteRef/>
      </w:r>
      <w:r>
        <w:t xml:space="preserve"> </w:t>
      </w:r>
      <w:r>
        <w:t xml:space="preserve">typiquement de l’ordre d’une à trente secondes</w:t>
      </w:r>
    </w:p>
  </w:footnote>
  <w:footnote w:id="77">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8">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3">
    <w:p>
      <w:pPr>
        <w:pStyle w:val="FootnoteText"/>
      </w:pPr>
      <w:r>
        <w:rPr>
          <w:rStyle w:val="FootnoteReference"/>
        </w:rPr>
        <w:footnoteRef/>
      </w:r>
      <w:r>
        <w:t xml:space="preserve"> </w:t>
      </w:r>
      <w:r>
        <w:t xml:space="preserve">Wikipédia est un haut lieu de la science ouverte</w:t>
      </w:r>
    </w:p>
  </w:footnote>
  <w:footnote w:id="95">
    <w:p>
      <w:pPr>
        <w:pStyle w:val="FootnoteText"/>
      </w:pPr>
      <w:r>
        <w:rPr>
          <w:rStyle w:val="FootnoteReference"/>
        </w:rPr>
        <w:footnoteRef/>
      </w:r>
      <w:r>
        <w:t xml:space="preserve"> </w:t>
      </w:r>
      <w:r>
        <w:t xml:space="preserve">très probablement depuis le GFSV 2014</w:t>
      </w:r>
    </w:p>
  </w:footnote>
  <w:footnote w:id="99">
    <w:p>
      <w:pPr>
        <w:pStyle w:val="FootnoteText"/>
      </w:pPr>
      <w:r>
        <w:rPr>
          <w:rStyle w:val="FootnoteReference"/>
        </w:rPr>
        <w:footnoteRef/>
      </w:r>
      <w:r>
        <w:t xml:space="preserve"> </w:t>
      </w:r>
      <w:r>
        <w:t xml:space="preserve">et dont nous ne connaissons rien.</w:t>
      </w:r>
    </w:p>
  </w:footnote>
  <w:footnote w:id="101">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7">
    <w:p>
      <w:pPr>
        <w:pStyle w:val="FootnoteText"/>
      </w:pPr>
      <w:r>
        <w:rPr>
          <w:rStyle w:val="FootnoteReference"/>
        </w:rPr>
        <w:footnoteRef/>
      </w:r>
      <w:r>
        <w:t xml:space="preserve"> </w:t>
      </w:r>
      <w:r>
        <w:t xml:space="preserve">écrit par Mathieu Lesnoff du Cirad de Montpellier</w:t>
      </w:r>
    </w:p>
  </w:footnote>
  <w:footnote w:id="109">
    <w:p>
      <w:pPr>
        <w:pStyle w:val="FootnoteText"/>
      </w:pPr>
      <w:r>
        <w:rPr>
          <w:rStyle w:val="FootnoteReference"/>
        </w:rPr>
        <w:footnoteRef/>
      </w:r>
      <w:r>
        <w:t xml:space="preserve"> </w:t>
      </w:r>
      <w:r>
        <w:t xml:space="preserve">mais dont je n’ai pas la source.</w:t>
      </w:r>
    </w:p>
  </w:footnote>
  <w:footnote w:id="120">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4">
    <w:p>
      <w:pPr>
        <w:pStyle w:val="FootnoteText"/>
      </w:pPr>
      <w:r>
        <w:rPr>
          <w:rStyle w:val="FootnoteReference"/>
        </w:rPr>
        <w:footnoteRef/>
      </w:r>
      <w:r>
        <w:t xml:space="preserve"> </w:t>
      </w:r>
      <w:r>
        <w:t xml:space="preserve">ici le rapport de l’analyse effectuée par Douglas Rutledge.</w:t>
      </w:r>
    </w:p>
  </w:footnote>
  <w:footnote w:id="127">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113" Target="media/rId113.png" /><Relationship Type="http://schemas.openxmlformats.org/officeDocument/2006/relationships/image" Id="rId111" Target="media/rId11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18" Target="media/rId118.png" /><Relationship Type="http://schemas.openxmlformats.org/officeDocument/2006/relationships/image" Id="rId116" Target="media/rId116.png" /><Relationship Type="http://schemas.openxmlformats.org/officeDocument/2006/relationships/image" Id="rId97" Target="media/rId97.jp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59" Target="media/rId59.jpg" /><Relationship Type="http://schemas.openxmlformats.org/officeDocument/2006/relationships/image" Id="rId56" Target="media/rId56.png" /><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2021-08-31T09:51:44Z</dcterms:created>
  <dcterms:modified xsi:type="dcterms:W3CDTF">2021-08-31T09:51:44Z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