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520"/>
        <w:gridCol w:w="283"/>
        <w:gridCol w:w="3402"/>
      </w:tblGrid>
      <w:tr>
        <w:tc>
          <w:tcPr>
            <w:tcW w:type="dxa" w:w="652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240" w:line="860" w:lineRule="exact"/>
            </w:pPr>
            <w:r>
              <w:rPr>
                <w:rFonts w:ascii="Arial" w:hAnsi="Arial" w:eastAsia="Alibaba PuHuiTi B" w:cs="Arial"/>
                <w:b/>
                <w:i w:val="0"/>
                <w:color w:val="000000"/>
                <w:sz w:val="72"/>
              </w:rPr>
              <w:t>师嘉文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8"/>
              </w:rPr>
              <w:t>｜</w:t>
            </w: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8"/>
              </w:rPr>
              <w:t>AI Native 产品经理</w:t>
            </w:r>
          </w:p>
          <w:p>
            <w:pPr>
              <w:keepNext w:val="0"/>
              <w:keepLines/>
              <w:spacing w:before="0" w:after="16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【核心优势】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3年+ AIGC 产品与设计经验。具备极强的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业务拆解与技术边界判断力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，擅长用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Eval（评测）思维与人机协同机制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兜住 AI 的不确定性。独立完成 1 个月 0→1 的付费买断 AI 产品，能将 AI 能力推进到真实业务交付，而非停留在 Demo。</w:t>
            </w:r>
          </w:p>
          <w:p>
            <w:pPr>
              <w:keepNext w:val="0"/>
              <w:keepLines/>
              <w:spacing w:before="0" w:after="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北京 · 13932349275 · shijiawenniu1@gmail.com · 作品集：jia-wen-shi.github.io</w:t>
            </w:r>
          </w:p>
        </w:tc>
        <w:tc>
          <w:tcPr>
            <w:tcW w:type="dxa" w:w="28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 w:val="0"/>
              <w:keepLines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60000" cy="2700000"/>
                  <wp:docPr id="1" name="Picture 1" descr="师嘉文彩色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eg"/>
                          <pic:cNvPicPr/>
                        </pic:nvPicPr>
                        <pic:blipFill>
                          <a:blip r:embed="rId10"/>
                          <a:srcRect l="26000" r="26000" t="8000" b="32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/>
        <w:spacing w:before="0" w:after="0" w:line="3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293"/>
        <w:gridCol w:w="510"/>
        <w:gridCol w:w="3402"/>
      </w:tblGrid>
      <w:tr>
        <w:tc>
          <w:tcPr>
            <w:tcW w:type="dxa" w:w="629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100" w:line="34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3"/>
              </w:rPr>
              <w:t>项目经历</w:t>
            </w:r>
          </w:p>
          <w:p>
            <w:pPr>
              <w:keepNext/>
              <w:keepLines/>
              <w:spacing w:before="0" w:after="20" w:line="32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4"/>
              </w:rPr>
              <w:t>地毯主图 AI 生成平台｜</w:t>
            </w:r>
          </w:p>
          <w:p>
            <w:pPr>
              <w:keepNext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独立产品负责人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2026.05 启动 · 1 个月 0→1 上线 · 付费买断交付约 ￥3 万 · 已完成验收</w:t>
            </w:r>
          </w:p>
          <w:p>
            <w:pPr>
              <w:keepNext w:val="0"/>
              <w:keepLines/>
              <w:spacing w:before="0" w:after="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核心优势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：极强的业务切口判断力与技术选型能力，擅长用机制设计解决大模型输出不稳定的问题。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【业务判断】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拆解电商设计链路，发现主图单价高、有流量权限且需生成能力；SKU/详情套版即可、无需二次审核。果断只做主图，砍掉SKU/详情——把钱花在价值链最贵环节，而非做全套。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【范围取舍】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与客户评估后放弃“整套链接大系统”：大系统重，员工需大改工作模式，采纳成本过高。转为嵌入现有流程的“最小切口”（运营直接测款），MVP一次验收通过。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【AI边界与 Eval 设计】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不盲目选型，横向实测 Image 2.0、Nano Banana 2.0 Pro、即梦 5.0 及 ComfyUI。通过真实商品样本对比（评测集），定义“商品保真度、场景自然度、物理合理性、单张可用成本”等指标；识别出“过度写实、物理漏洞、调优周期长”等失败模式，最终基于1个月交付约束选定 Image 2.0。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【产品机制与人机协同】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将 Eval 结论转化为产品规则：采用“确定性+随机性”分层（商品图生图锁死保真，场景留随机）；建立“三角度场景比对+人工采用”的 Human-in-the-loop 闭环，并限制修图轮次防过拟合；核心提示词封装代码端，前端仅开放追加。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【验证与结果】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提示词固定时一次可用率约 80%（测试期10张约8张通过）；单张耗时从“1天2张”降至约 5分钟；综合成本约 5元/张 vs 外包150元/张；付费买断约 ￥3万，交付验收后无返修；AI辅助完成前后端开发（React/TS、Node.js、Supabase）。</w:t>
            </w:r>
          </w:p>
        </w:tc>
        <w:tc>
          <w:tcPr>
            <w:tcW w:type="dxa" w:w="51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100" w:line="34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3"/>
              </w:rPr>
              <w:t>专业技能</w:t>
            </w: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1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业务判断与评测（Eval）：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16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业务链路拆解、MVP 边界定义、模型评测与选型、失败模式识别、评测集与指标设计（可用率/保真度/成本）、Human-in-the-loop 机制设计。</w:t>
            </w: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2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AI 边界与人机协同：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16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Tool Calling、MCP、Agent Skills、n8n；引用校验、人工兜底、风控边界设计。</w:t>
            </w: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3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AI 辅助落地：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16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Cursor、Claude Code；前后端全栈开发、API 对接（React/TS、Node.js/Fastify、Supabase）。</w:t>
            </w: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4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多模态与视觉生产：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16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GPT Image、Nano Banana Pro、即梦、Midjourney、Seedance、Runway、ComfyUI、Stable Diffusion。</w:t>
            </w:r>
          </w:p>
        </w:tc>
      </w:tr>
    </w:tbl>
    <w:p>
      <w:pPr>
        <w:spacing w:before="0" w:after="0" w:line="20" w:lineRule="exact"/>
      </w:pPr>
      <w:r>
        <w:rPr>
          <w:rFonts w:ascii="Arial" w:hAnsi="Arial" w:eastAsia="Alibaba PuHuiTi R" w:cs="Arial"/>
          <w:b w:val="0"/>
          <w:i w:val="0"/>
          <w:color w:val="141414"/>
          <w:sz w:val="2"/>
        </w:rPr>
      </w: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293"/>
        <w:gridCol w:w="510"/>
        <w:gridCol w:w="3402"/>
      </w:tblGrid>
      <w:tr>
        <w:tc>
          <w:tcPr>
            <w:tcW w:type="dxa" w:w="629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20" w:line="32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4"/>
              </w:rPr>
              <w:t>PMOS AI 产品工作台｜</w:t>
            </w:r>
          </w:p>
          <w:p>
            <w:pPr>
              <w:keepNext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产品方法编排与独立实现（个人项目）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网页端产品 · 已完成完整 PRD 与核心功能开发</w:t>
            </w:r>
          </w:p>
          <w:p>
            <w:pPr>
              <w:keepNext w:val="0"/>
              <w:keepLines/>
              <w:spacing w:before="0" w:after="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核心优势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：具备复杂的 Agent 工作流（Workflow）拆解能力，对 AI 幻觉有极强的防御与兜底（Eval）设计能力，能把模糊的方法论产品化为可执行的系统。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【业务与流程定义】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针对个人 AI 产品经理“项目过程难沉淀、上下文难对齐、分析结论难追溯”的痛点，将模糊的方法论拆解为从调研到复盘的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8 阶段工作台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。明确定义各阶段的输入、产出与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人工确认条件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，拒绝 AI 黑盒生成。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【范围取舍】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放弃“全自动 Agent”设想，首版限定为“单人本机网页端”。区分“模型生成、人工采用、阶段验收”三种状态，用可控的流程换取复杂长上下文任务的稳定性。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【AI 边界与 Eval 设计】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在真实测试中识别出大模型典型的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“引用幻觉”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（将交接/报告 ID 误认为来源 ID）。在 PRD 中定义“引用来源准确性”与“跨项目数据隔离”指标；强制要求分析结果必须区分“事实、推断与假设”，并关联证据版本。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【产品机制与人机协同】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设计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“引用类型代码校验拦截 + 人工追问修正”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的强制闭环；建立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上下游依赖复核机制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（上游变更后，下游产物强制标记“需复核”）；未确认的版本绝不静默进入下游。通过工程机制硬性约束 AI 输出的可溯源性。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【验证与结果】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独立完成整套高颗粒度产品需求文档（PRD）与网页端核心功能开发；跑通了“发现 Badcase → 代码级拦截 → 人工修正”的闭环，沉淀了 Agent 复杂工作流的设计规范。</w:t>
            </w:r>
          </w:p>
          <w:p>
            <w:pPr>
              <w:keepNext w:val="0"/>
              <w:keepLines/>
              <w:spacing w:before="0" w:after="0" w:line="227" w:lineRule="exact"/>
            </w:pPr>
          </w:p>
          <w:p>
            <w:pPr>
              <w:keepNext/>
              <w:keepLines/>
              <w:spacing w:before="0" w:after="20" w:line="32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4"/>
              </w:rPr>
              <w:t>EvoContent 半自动内容运营平台｜</w:t>
            </w:r>
          </w:p>
          <w:p>
            <w:pPr>
              <w:keepNext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需求分析、产品设计与独立实现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业务方案已交付 · 核心工作台功能已跑通</w:t>
            </w:r>
          </w:p>
          <w:p>
            <w:pPr>
              <w:keepNext w:val="0"/>
              <w:keepLines/>
              <w:spacing w:before="0" w:after="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核心优势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：具备 AI 自动化的克制力，能精准识别业务红线，用 Human-in-the-loop 机制平衡效率与平台风控风险。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【业务判断】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针对留学与移民团队的内容效率需求，梳理账号分层、人设、选题、审核链路。判断核心痛点在“高质量参考采集与初稿生成”，而非单纯的无脑批量分发。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【范围取舍】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判断“业务方案交业务方自研、自己只做核心工作台”更合理；在评估“自动发布”功能时，识别出触发平台风控的致命风险，权衡后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果断砍掉自动发布功能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，不盲目追求全自动。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【AI 边界与 Eval 设计】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识别出“机器直接分发易被平台封禁”的失败模式；在系统中定义内容生成的安全边界（敏感词校验、来源引用保留），确保 AI 生成的初稿具备可审查性。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【产品机制与人机协同】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设计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“人工发布+登记”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的安全机制；本地系统流程仅输出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“待审核草稿”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，将发布权限死死锁在人工手里（Human-in-the-loop），用可控性换取业务的绝对安全。</w:t>
            </w:r>
          </w:p>
          <w:p>
            <w:pPr>
              <w:keepNext w:val="0"/>
              <w:keepLines/>
              <w:spacing w:before="0" w:after="6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【验证与结果】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输出了可落地的完整业务方案（由业务方接手开发）；独立构建了覆盖“参考采集到待审核草稿”的核心工作台，验证了内容风控机制与半自动化流程的可行性。</w:t>
            </w:r>
          </w:p>
          <w:p>
            <w:pPr>
              <w:keepNext w:val="0"/>
              <w:keepLines/>
              <w:spacing w:before="0" w:after="0" w:line="227" w:lineRule="exact"/>
            </w:pPr>
          </w:p>
          <w:p>
            <w:pPr>
              <w:keepNext/>
              <w:keepLines/>
              <w:spacing w:before="0" w:after="20" w:line="32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4"/>
              </w:rPr>
              <w:t>实体门店 AI 经营助手｜</w:t>
            </w:r>
          </w:p>
          <w:p>
            <w:pPr>
              <w:keepNext/>
              <w:keepLines/>
              <w:spacing w:before="0" w:after="6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需求分析、产品设计与交互</w:t>
            </w:r>
          </w:p>
          <w:p>
            <w:pPr>
              <w:keepNext w:val="0"/>
              <w:keepLines/>
              <w:spacing w:before="0" w:after="60" w:line="2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独立完成 2 家北京实体商家的线下需求访谈，梳理经营看板、营销准备与回访流程，输出业务方案与交互原型。</w:t>
            </w:r>
          </w:p>
        </w:tc>
        <w:tc>
          <w:tcPr>
            <w:tcW w:type="dxa" w:w="51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100" w:line="34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3"/>
              </w:rPr>
              <w:t>工作经历</w:t>
            </w:r>
          </w:p>
          <w:p>
            <w:pPr>
              <w:keepNext/>
              <w:keepLines/>
              <w:spacing w:before="0" w:after="6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2"/>
              </w:rPr>
              <w:t>中科趋势·AIGC｜2024.03 – 至今</w:t>
            </w:r>
          </w:p>
          <w:p>
            <w:pPr>
              <w:keepNext w:val="0"/>
              <w:keepLines/>
              <w:spacing w:before="0" w:after="60" w:line="26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【流程自动化判断】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 判断 40+ 家企业 IP 定制是“高重复、可模板化”场景，封装 Nano Banana Pro 与 Seedance 接口，按甲方 Excel 需求批量生成不同配色视图与视频，人均产出从约 10 个/天提升至当日跑完，项目整体交付。</w:t>
            </w:r>
          </w:p>
          <w:p>
            <w:pPr>
              <w:keepNext w:val="0"/>
              <w:keepLines/>
              <w:spacing w:before="0" w:after="60" w:line="26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【需求与交付】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 将客户需求转化为制作方案与验收标准；独立完成中国联通 IP 贺岁视频，负责南方基金项目从需求沟通到成片交付。</w:t>
            </w:r>
          </w:p>
          <w:p>
            <w:pPr>
              <w:keepNext w:val="0"/>
              <w:keepLines/>
              <w:spacing w:before="0" w:after="60" w:line="26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【协作推进】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 牵头中国日报网《数字丝路》需求对接与制作；负责央视 AI“两弹一星”相关视频约 70% 的镜头制作。</w:t>
            </w:r>
          </w:p>
          <w:p>
            <w:pPr>
              <w:keepNext w:val="0"/>
              <w:keepLines/>
              <w:spacing w:before="0" w:after="0" w:line="227" w:lineRule="exact"/>
            </w:pPr>
          </w:p>
          <w:p>
            <w:pPr>
              <w:keepNext/>
              <w:keepLines/>
              <w:spacing w:before="0" w:after="6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2"/>
              </w:rPr>
              <w:t>科莱奥达电子商务｜设计｜2023.04 – 2023.10</w:t>
            </w:r>
          </w:p>
          <w:p>
            <w:pPr>
              <w:keepNext w:val="0"/>
              <w:keepLines/>
              <w:spacing w:before="0" w:after="60" w:line="26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【行业理解】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 负责地毯主图、详情页、3D渲染及图像处理，熟悉完整流程与成本结构，为后续地毯 AI 平台提供行业底座。</w:t>
            </w:r>
          </w:p>
          <w:p>
            <w:pPr>
              <w:keepNext w:val="0"/>
              <w:keepLines/>
              <w:spacing w:before="0" w:after="60" w:line="26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【流程标准】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 梳理渲染制作流程与质量标准，该标准在离职后仍被原团队沿用。</w:t>
            </w:r>
          </w:p>
          <w:p>
            <w:pPr>
              <w:keepNext w:val="0"/>
              <w:keepLines/>
              <w:spacing w:before="0" w:after="0" w:line="340" w:lineRule="exact"/>
            </w:pPr>
          </w:p>
          <w:p>
            <w:pPr>
              <w:keepNext/>
              <w:keepLines/>
              <w:spacing w:before="0" w:after="100" w:line="34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3"/>
              </w:rPr>
              <w:t>教育 / 奖项 / 社群</w:t>
            </w:r>
          </w:p>
          <w:p>
            <w:pPr>
              <w:keepNext w:val="0"/>
              <w:keepLines/>
              <w:spacing w:before="0" w:after="1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华北理工大学轻工学院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｜本科·工业设计｜2017–2021</w:t>
            </w:r>
          </w:p>
          <w:p>
            <w:pPr>
              <w:keepNext w:val="0"/>
              <w:keepLines/>
              <w:spacing w:before="0" w:after="1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奖项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：心宙共鸣奖（2025 24小时超创赛）、AI 先锋奖（2026 ACX超创赛）、河北省工业设计创新大赛优秀奖等。</w:t>
            </w:r>
          </w:p>
          <w:p>
            <w:pPr>
              <w:keepNext w:val="0"/>
              <w:keepLines/>
              <w:spacing w:before="0" w:after="160" w:line="27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社群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：NeuroLab 纽罗实验室（北京 AI 社群）发起与运营；约 200 人，近 20 场主题活动，持续收集一线业务需求。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850" w:bottom="850" w:left="850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rial" w:hAnsi="Arial" w:eastAsia="Alibaba PuHuiTi R" w:cs="Arial"/>
        <w:b w:val="0"/>
        <w:i w:val="0"/>
        <w:color w:val="141414"/>
        <w:sz w:val="2"/>
      </w:rPr>
    </w:r>
    <w:r>
      <w:pict>
        <v:rect id="ResumePaper" style="position:absolute;left:0;top:0;width:595.28pt;height:841.89pt;z-index:-251654144;mso-position-horizontal-relative:page;mso-position-vertical-relative:page" fillcolor="#FBF8F5" stroked="f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libaba PuHuiTi 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 w:eastAsia="Alibaba PuHuiTi R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Arial" w:hAnsi="Arial" w:eastAsia="Alibaba PuHuiTi R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 w:eastAsia="Alibaba PuHuiTi R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/>
    </w:pPr>
    <w:rPr>
      <w:rFonts w:asciiTheme="majorHAnsi" w:eastAsiaTheme="majorEastAsia" w:hAnsiTheme="majorHAnsi" w:cstheme="majorBidi" w:ascii="Arial" w:hAnsi="Arial" w:eastAsia="Alibaba PuHuiTi R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rFonts w:ascii="Arial" w:hAnsi="Arial" w:eastAsia="Alibaba PuHuiTi R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师嘉文｜AI Native 产品经理</dc:title>
  <dc:subject>个人简历</dc:subject>
  <dc:creator>师嘉文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