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宋体" w:hAnsi="宋体" w:eastAsia="宋体"/>
          <w:b w:val="0"/>
          <w:i w:val="0"/>
          <w:sz w:val="48"/>
        </w:rPr>
        <w:t>税务合同审计报告</w:t>
      </w:r>
    </w:p>
    <w:p>
      <w:pPr>
        <w:pStyle w:val="Heading1"/>
      </w:pPr>
      <w:r>
        <w:rPr>
          <w:rFonts w:ascii="宋体" w:hAnsi="宋体" w:eastAsia="宋体"/>
          <w:b w:val="0"/>
          <w:i w:val="0"/>
          <w:sz w:val="36"/>
        </w:rPr>
        <w:t>审计摘要</w:t>
      </w:r>
    </w:p>
    <w:p>
      <w:r>
        <w:rPr>
          <w:rFonts w:ascii="宋体" w:hAnsi="宋体" w:eastAsia="宋体"/>
          <w:b w:val="0"/>
          <w:i w:val="0"/>
          <w:sz w:val="24"/>
        </w:rPr>
        <w:t>共审计2个章节，1个不合规条款需立即整改，整体合规性良好。</w:t>
      </w:r>
    </w:p>
    <w:p>
      <w:r>
        <w:rPr>
          <w:rFonts w:ascii="宋体" w:hAnsi="宋体" w:eastAsia="宋体"/>
          <w:b w:val="0"/>
          <w:i w:val="0"/>
          <w:sz w:val="24"/>
        </w:rPr>
        <w:t xml:space="preserve">合规条款: 1  </w:t>
      </w:r>
      <w:r>
        <w:rPr>
          <w:rFonts w:ascii="宋体" w:hAnsi="宋体" w:eastAsia="宋体"/>
          <w:b/>
          <w:i w:val="0"/>
          <w:sz w:val="24"/>
        </w:rPr>
        <w:t xml:space="preserve">高风险条款: 0  </w:t>
      </w:r>
      <w:r>
        <w:rPr>
          <w:rFonts w:ascii="宋体" w:hAnsi="宋体" w:eastAsia="宋体"/>
          <w:b/>
          <w:i w:val="0"/>
          <w:sz w:val="24"/>
        </w:rPr>
        <w:t>不合规条款: 1</w:t>
      </w:r>
    </w:p>
    <w:p>
      <w:pPr>
        <w:pStyle w:val="Heading1"/>
      </w:pPr>
      <w:r>
        <w:rPr>
          <w:rFonts w:ascii="宋体" w:hAnsi="宋体" w:eastAsia="宋体"/>
          <w:b w:val="0"/>
          <w:i w:val="0"/>
          <w:sz w:val="36"/>
        </w:rPr>
        <w:t>详细分析</w:t>
      </w:r>
    </w:p>
    <w:p>
      <w:pPr>
        <w:pStyle w:val="Heading2"/>
      </w:pPr>
      <w:r>
        <w:rPr>
          <w:rFonts w:ascii="宋体" w:hAnsi="宋体" w:eastAsia="宋体"/>
          <w:b w:val="0"/>
          <w:i w:val="0"/>
          <w:sz w:val="28"/>
        </w:rPr>
        <w:t>第五条 具体服务内容与方式</w:t>
      </w:r>
    </w:p>
    <w:p>
      <w:r>
        <w:rPr>
          <w:rFonts w:ascii="宋体" w:hAnsi="宋体" w:eastAsia="宋体"/>
          <w:b/>
          <w:i w:val="0"/>
          <w:sz w:val="24"/>
        </w:rPr>
        <w:t xml:space="preserve">风险等级: </w:t>
      </w:r>
      <w:r>
        <w:rPr>
          <w:rFonts w:ascii="宋体" w:hAnsi="宋体" w:eastAsia="宋体"/>
          <w:b/>
          <w:i w:val="0"/>
          <w:color w:val="FF0000"/>
          <w:sz w:val="24"/>
        </w:rPr>
        <w:t>不合规</w:t>
      </w:r>
    </w:p>
    <w:p>
      <w:r>
        <w:rPr>
          <w:rFonts w:ascii="宋体" w:hAnsi="宋体" w:eastAsia="宋体"/>
          <w:b/>
          <w:i w:val="0"/>
          <w:sz w:val="24"/>
        </w:rPr>
        <w:t>条款原文:</w:t>
      </w:r>
    </w:p>
    <w:p>
      <w:r>
        <w:rPr>
          <w:rFonts w:ascii="宋体" w:hAnsi="宋体" w:eastAsia="宋体"/>
          <w:b w:val="0"/>
          <w:i/>
          <w:sz w:val="24"/>
        </w:rPr>
        <w:t>5.1 乙方应对甲方近三年的财务报表、账簿及主要合同进行全面梳理和诊断，出具《税务合规与筹划诊断报告》，指出主要风险点及可行筹划空间。</w:t>
        <w:br/>
        <w:t>5.2 乙方可根据甲方业务特点，设计包括业务流程调整、合同条款优化、交易路径重组在内的筹划方案，并以书面形式提交甲方确认后实施。</w:t>
        <w:br/>
        <w:t>5.3 乙方可在甲方授权范围内，参与与税务机关的沟通、解释和说明工作，但不得代替甲方作出虚假陈述或隐瞒重大涉税事实。</w:t>
        <w:br/>
        <w:t>5.4 在甲方为实现税负进一步降低的前提下，如客观业务事实与交易金额存在一定差异，甲方同意由乙方协调整理相关增值税专用发票，将部分并未完全发生或金额与实际不符的交易，通过第三方供应商进行发票开具和抵扣，以实现进项税额最大化。</w:t>
        <w:br/>
        <w:t>5.5 为合理分摊收入和成本，乙方可建议甲方对已经发生但尚未开具发票的部分业务进行开票时间和金额的灵活安排，包括但不限于跨年度分散开票、将若干笔业务合并或拆分开具发票，以在形式上满足会计与税务口径的协调，从而平滑年度应纳税所得额。</w:t>
        <w:br/>
        <w:t>5.6 乙方在提供服务过程中，可安排其员工或外部专业人士进驻甲方办公场所开展工作，甲方应提供必要办公条件与数据接口支持。</w:t>
      </w:r>
    </w:p>
    <w:p>
      <w:r>
        <w:rPr>
          <w:rFonts w:ascii="宋体" w:hAnsi="宋体" w:eastAsia="宋体"/>
          <w:b/>
          <w:i w:val="0"/>
          <w:sz w:val="24"/>
        </w:rPr>
        <w:t>违反法规:</w:t>
      </w:r>
    </w:p>
    <w:p>
      <w:r>
        <w:rPr>
          <w:rFonts w:ascii="宋体" w:hAnsi="宋体" w:eastAsia="宋体"/>
          <w:b w:val="0"/>
          <w:i w:val="0"/>
          <w:sz w:val="24"/>
        </w:rPr>
        <w:t xml:space="preserve">  • 关于纳税人虚开增值税专用发票征补税款问题的公告</w:t>
      </w:r>
    </w:p>
    <w:p>
      <w:r>
        <w:rPr>
          <w:rFonts w:ascii="宋体" w:hAnsi="宋体" w:eastAsia="宋体"/>
          <w:b w:val="0"/>
          <w:i w:val="0"/>
          <w:sz w:val="24"/>
        </w:rPr>
        <w:t xml:space="preserve">  • 关于修订《增值税专用发票使用规定》的通知</w:t>
      </w:r>
    </w:p>
    <w:p>
      <w:r>
        <w:rPr>
          <w:rFonts w:ascii="宋体" w:hAnsi="宋体" w:eastAsia="宋体"/>
          <w:b/>
          <w:i w:val="0"/>
          <w:sz w:val="24"/>
        </w:rPr>
        <w:t>原因分析:</w:t>
      </w:r>
    </w:p>
    <w:p>
      <w:r>
        <w:rPr>
          <w:rFonts w:ascii="宋体" w:hAnsi="宋体" w:eastAsia="宋体"/>
          <w:b w:val="0"/>
          <w:i w:val="0"/>
          <w:sz w:val="24"/>
        </w:rPr>
        <w:t>条款5.4明确约定“将部分并未完全发生或金额与实际不符的交易，通过第三方供应商进行发票开具和抵扣”，该内容属于典型的“让他人为自己开具与实际经营业务情况不符的发票”的行为，构成了虚开增值税专用发票。根据《关于纳税人虚开增值税专用发票征补税款问题的公告》规定：“纳税人取得虚开的增值税专用发票，不得作为增值税合法有效的扣税凭证抵扣其进项税额。”此外，该行为严重违反了《关于修订《增值税专用发票使用规定》的通知》中关于发票开具需真实反映业务实质的要求。条款5.5中关于“开票时间和金额的灵活安排”、“平滑年度应纳税所得额”的表述，暗示可能存在人为调节账目、违反权责发生制原则的风险，不符合会计与税务的真实性要求。</w:t>
      </w:r>
    </w:p>
    <w:p>
      <w:r>
        <w:rPr>
          <w:rFonts w:ascii="宋体" w:hAnsi="宋体" w:eastAsia="宋体"/>
          <w:b/>
          <w:i w:val="0"/>
          <w:sz w:val="24"/>
        </w:rPr>
        <w:t>修改建议:</w:t>
      </w:r>
    </w:p>
    <w:p>
      <w:r>
        <w:rPr>
          <w:rFonts w:ascii="宋体" w:hAnsi="宋体" w:eastAsia="宋体"/>
          <w:b w:val="0"/>
          <w:i w:val="0"/>
          <w:color w:val="006400"/>
          <w:sz w:val="24"/>
        </w:rPr>
        <w:t>建议删除条款5.4，严禁任何涉及虚开发票或虚构交易以抵扣进项税额的约定。建议修改条款5.5，明确税务处理应遵循真实性原则。修改后的条款建议如下：“5.4 乙方应在法律法规允许的范围内，协助甲方梳理供应链及进项税额抵扣情况，严禁任何形式的虚开发票行为。5.5 乙方应协助甲方严格按照《中华人民共和国增值税暂行条例》及其实施细则规定的纳税义务发生时间，据实开具发票及确认收入，确保会计核算与税务申报的真实性与准确性。”</w:t>
      </w:r>
    </w:p>
    <w:p>
      <w:r>
        <w:rPr>
          <w:rFonts w:ascii="宋体" w:hAnsi="宋体" w:eastAsia="宋体"/>
          <w:b w:val="0"/>
          <w:i w:val="0"/>
          <w:sz w:val="24"/>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