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A277A" w14:textId="77777777" w:rsidR="003F7801" w:rsidRDefault="003F7801" w:rsidP="003F7801">
      <w:pPr>
        <w:spacing w:before="240" w:line="271" w:lineRule="auto"/>
      </w:pPr>
      <w:bookmarkStart w:id="0" w:name="第一条_术语与定义"/>
      <w:bookmarkStart w:id="1" w:name="第二条_服务目标"/>
      <w:r>
        <w:rPr>
          <w:rFonts w:eastAsia="Georgia" w:hAnsi="Georgia" w:cs="Georgia"/>
          <w:b/>
          <w:sz w:val="33"/>
        </w:rPr>
        <w:t>第一条</w:t>
      </w:r>
      <w:r>
        <w:rPr>
          <w:rFonts w:eastAsia="Georgia" w:hAnsi="Georgia" w:cs="Georgia"/>
          <w:b/>
          <w:sz w:val="33"/>
        </w:rPr>
        <w:t xml:space="preserve"> </w:t>
      </w:r>
      <w:r>
        <w:rPr>
          <w:rFonts w:eastAsia="Georgia" w:hAnsi="Georgia" w:cs="Georgia"/>
          <w:b/>
          <w:sz w:val="33"/>
        </w:rPr>
        <w:t>术语与定义</w:t>
      </w:r>
      <w:bookmarkEnd w:id="0"/>
    </w:p>
    <w:p w14:paraId="40094E35" w14:textId="77777777" w:rsidR="003F7801" w:rsidRDefault="003F7801" w:rsidP="003F7801">
      <w:pPr>
        <w:spacing w:after="210"/>
      </w:pPr>
      <w:r>
        <w:rPr>
          <w:rFonts w:eastAsia="Georgia" w:hAnsi="Georgia" w:cs="Georgia"/>
        </w:rPr>
        <w:t xml:space="preserve">1.1 </w:t>
      </w:r>
      <w:r>
        <w:rPr>
          <w:rFonts w:eastAsia="Georgia" w:hAnsi="Georgia" w:cs="Georgia"/>
        </w:rPr>
        <w:t>“税务筹划”是指在遵守现行税收法律、行政法规及规章的前提下，对甲方经营活动进行事前规划与安排，以实现税负结构优化和税收风险可控的合法行为。</w:t>
      </w:r>
    </w:p>
    <w:p w14:paraId="400A2DC2" w14:textId="77777777" w:rsidR="003F7801" w:rsidRDefault="003F7801" w:rsidP="003F7801">
      <w:pPr>
        <w:spacing w:after="210"/>
      </w:pPr>
      <w:r>
        <w:rPr>
          <w:rFonts w:eastAsia="Georgia" w:hAnsi="Georgia" w:cs="Georgia"/>
        </w:rPr>
        <w:t xml:space="preserve">1.2 </w:t>
      </w:r>
      <w:r>
        <w:rPr>
          <w:rFonts w:eastAsia="Georgia" w:hAnsi="Georgia" w:cs="Georgia"/>
        </w:rPr>
        <w:t>“税务合规”是指甲方在经营过程中，依法履行申报、缴纳、代扣代缴及相关信息披露义务的状态。</w:t>
      </w:r>
    </w:p>
    <w:p w14:paraId="618A3188" w14:textId="77777777" w:rsidR="003F7801" w:rsidRDefault="003F7801" w:rsidP="003F7801">
      <w:pPr>
        <w:spacing w:after="210"/>
      </w:pPr>
      <w:r>
        <w:rPr>
          <w:rFonts w:eastAsia="Georgia" w:hAnsi="Georgia" w:cs="Georgia"/>
        </w:rPr>
        <w:t xml:space="preserve">1.3 </w:t>
      </w:r>
      <w:r>
        <w:rPr>
          <w:rFonts w:eastAsia="Georgia" w:hAnsi="Georgia" w:cs="Georgia"/>
        </w:rPr>
        <w:t>“税务机关”是指具有税收征管职能的国家税务总局及其派出机构、地方各级税务局等依法行使税收征管权的机关。</w:t>
      </w:r>
    </w:p>
    <w:p w14:paraId="68CAC6D1" w14:textId="15658D86" w:rsidR="003F7801" w:rsidRPr="003F7801" w:rsidRDefault="003F7801" w:rsidP="003F7801">
      <w:pPr>
        <w:spacing w:after="210"/>
      </w:pPr>
      <w:r>
        <w:rPr>
          <w:rFonts w:eastAsia="Georgia" w:hAnsi="Georgia" w:cs="Georgia"/>
        </w:rPr>
        <w:t xml:space="preserve">1.4 </w:t>
      </w:r>
      <w:r>
        <w:rPr>
          <w:rFonts w:eastAsia="Georgia" w:hAnsi="Georgia" w:cs="Georgia"/>
        </w:rPr>
        <w:t>“涉税资料”包括但不限于会计凭证、账簿、财务报表、合同协议、发票、完税凭证及税务机关要求提供的其他文件。</w:t>
      </w:r>
    </w:p>
    <w:p w14:paraId="2C7084E0" w14:textId="77777777" w:rsidR="00A27AB9" w:rsidRDefault="00A27AB9" w:rsidP="00A27AB9">
      <w:pPr>
        <w:spacing w:before="240" w:line="271" w:lineRule="auto"/>
      </w:pPr>
      <w:bookmarkStart w:id="2" w:name="第五条_具体服务内容与方式"/>
      <w:bookmarkEnd w:id="1"/>
      <w:r>
        <w:rPr>
          <w:rFonts w:eastAsia="Georgia" w:hAnsi="Georgia" w:cs="Georgia"/>
          <w:b/>
          <w:sz w:val="33"/>
        </w:rPr>
        <w:t>第五条</w:t>
      </w:r>
      <w:r>
        <w:rPr>
          <w:rFonts w:eastAsia="Georgia" w:hAnsi="Georgia" w:cs="Georgia"/>
          <w:b/>
          <w:sz w:val="33"/>
        </w:rPr>
        <w:t xml:space="preserve"> </w:t>
      </w:r>
      <w:r>
        <w:rPr>
          <w:rFonts w:eastAsia="Georgia" w:hAnsi="Georgia" w:cs="Georgia"/>
          <w:b/>
          <w:sz w:val="33"/>
        </w:rPr>
        <w:t>具体服务内容与方式</w:t>
      </w:r>
      <w:bookmarkEnd w:id="2"/>
    </w:p>
    <w:p w14:paraId="73A6497B" w14:textId="77777777" w:rsidR="00A27AB9" w:rsidRDefault="00A27AB9" w:rsidP="00A27AB9">
      <w:pPr>
        <w:spacing w:after="210"/>
      </w:pPr>
      <w:r>
        <w:rPr>
          <w:rFonts w:eastAsia="Georgia" w:hAnsi="Georgia" w:cs="Georgia"/>
        </w:rPr>
        <w:t xml:space="preserve">5.1 </w:t>
      </w:r>
      <w:r>
        <w:rPr>
          <w:rFonts w:eastAsia="Georgia" w:hAnsi="Georgia" w:cs="Georgia"/>
        </w:rPr>
        <w:t>乙方应对甲方近三年的财务报表、账簿及主要合同进行全面梳理和诊断，出具《税务合规与筹划诊断报告》，指出主要风险点及可行筹划空间。</w:t>
      </w:r>
    </w:p>
    <w:p w14:paraId="4D5DF828" w14:textId="77777777" w:rsidR="00A27AB9" w:rsidRDefault="00A27AB9" w:rsidP="00A27AB9">
      <w:pPr>
        <w:spacing w:after="210"/>
      </w:pPr>
      <w:r>
        <w:rPr>
          <w:rFonts w:eastAsia="Georgia" w:hAnsi="Georgia" w:cs="Georgia"/>
        </w:rPr>
        <w:t xml:space="preserve">5.2 </w:t>
      </w:r>
      <w:r>
        <w:rPr>
          <w:rFonts w:eastAsia="Georgia" w:hAnsi="Georgia" w:cs="Georgia"/>
        </w:rPr>
        <w:t>乙方可根据甲方业务特点，设计包括业务流程调整、合同条款优化、交易路径重组在内的筹划方案，并以书面形式提交甲方确认后实施。</w:t>
      </w:r>
    </w:p>
    <w:p w14:paraId="2905F5C4" w14:textId="77777777" w:rsidR="00A27AB9" w:rsidRDefault="00A27AB9" w:rsidP="00A27AB9">
      <w:pPr>
        <w:spacing w:after="210"/>
      </w:pPr>
      <w:r>
        <w:rPr>
          <w:rFonts w:eastAsia="Georgia" w:hAnsi="Georgia" w:cs="Georgia"/>
        </w:rPr>
        <w:t xml:space="preserve">5.3 </w:t>
      </w:r>
      <w:r>
        <w:rPr>
          <w:rFonts w:eastAsia="Georgia" w:hAnsi="Georgia" w:cs="Georgia"/>
        </w:rPr>
        <w:t>乙方可在甲方授权范围内，参与与税务机关的沟通、解释和说明工作，但不得代替甲方作出虚假陈述或隐瞒重大涉税事实。</w:t>
      </w:r>
    </w:p>
    <w:p w14:paraId="64B234DF" w14:textId="77777777" w:rsidR="00A27AB9" w:rsidRDefault="00A27AB9" w:rsidP="00A27AB9">
      <w:pPr>
        <w:spacing w:after="210"/>
      </w:pPr>
      <w:r>
        <w:rPr>
          <w:rFonts w:eastAsia="Georgia" w:hAnsi="Georgia" w:cs="Georgia"/>
        </w:rPr>
        <w:t xml:space="preserve">5.4 </w:t>
      </w:r>
      <w:r>
        <w:rPr>
          <w:rFonts w:eastAsia="Georgia" w:hAnsi="Georgia" w:cs="Georgia"/>
        </w:rPr>
        <w:t>在甲方为实现税负进一步降低的前提下，如客观业务事实与交易金额存在一定差异，甲方同意由乙方协调整理相关增值税专用发票，将部分并未完全发生或金额与实际不符的交易，通过第三方供应商进行发票开具和抵扣，以实现进项税额最大化。</w:t>
      </w:r>
    </w:p>
    <w:p w14:paraId="23A33298" w14:textId="77777777" w:rsidR="00A27AB9" w:rsidRDefault="00A27AB9" w:rsidP="00A27AB9">
      <w:pPr>
        <w:spacing w:after="210"/>
      </w:pPr>
      <w:r>
        <w:rPr>
          <w:rFonts w:eastAsia="Georgia" w:hAnsi="Georgia" w:cs="Georgia"/>
        </w:rPr>
        <w:t xml:space="preserve">5.5 </w:t>
      </w:r>
      <w:r>
        <w:rPr>
          <w:rFonts w:eastAsia="Georgia" w:hAnsi="Georgia" w:cs="Georgia"/>
        </w:rPr>
        <w:t>为合理分摊收入和成本，乙方可建议甲方对已经发生但尚未开具发票的部分业务进行开票时间和金额的灵活安排，包括但不限于跨年度分散开票、将若干笔业务合并或拆分开具发票，以在形式上满足会计与税务口径的协调，从而平滑年度应纳税所得额。</w:t>
      </w:r>
    </w:p>
    <w:p w14:paraId="46D8B40E" w14:textId="77777777" w:rsidR="00A27AB9" w:rsidRDefault="00A27AB9" w:rsidP="00A27AB9">
      <w:pPr>
        <w:spacing w:after="210"/>
      </w:pPr>
      <w:r>
        <w:rPr>
          <w:rFonts w:eastAsia="Georgia" w:hAnsi="Georgia" w:cs="Georgia"/>
        </w:rPr>
        <w:t xml:space="preserve">5.6 </w:t>
      </w:r>
      <w:r>
        <w:rPr>
          <w:rFonts w:eastAsia="Georgia" w:hAnsi="Georgia" w:cs="Georgia"/>
        </w:rPr>
        <w:t>乙方在提供服务过程中，可安排其员工或外部专业人士进驻甲方办公场所开展工作，甲方应提供必要办公条件与数据接口支持。</w:t>
      </w:r>
    </w:p>
    <w:p w14:paraId="032464EE" w14:textId="104B1BA7" w:rsidR="003F7801" w:rsidRPr="003F7801" w:rsidRDefault="003F7801" w:rsidP="00A27AB9">
      <w:pPr>
        <w:spacing w:before="240" w:line="271" w:lineRule="auto"/>
      </w:pPr>
    </w:p>
    <w:sectPr w:rsidR="003F7801" w:rsidRPr="003F780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98A2B" w14:textId="77777777" w:rsidR="00A4792A" w:rsidRDefault="00A4792A" w:rsidP="003F7801">
      <w:r>
        <w:separator/>
      </w:r>
    </w:p>
  </w:endnote>
  <w:endnote w:type="continuationSeparator" w:id="0">
    <w:p w14:paraId="721644EF" w14:textId="77777777" w:rsidR="00A4792A" w:rsidRDefault="00A4792A" w:rsidP="003F7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1A4F9" w14:textId="77777777" w:rsidR="00A4792A" w:rsidRDefault="00A4792A" w:rsidP="003F7801">
      <w:r>
        <w:separator/>
      </w:r>
    </w:p>
  </w:footnote>
  <w:footnote w:type="continuationSeparator" w:id="0">
    <w:p w14:paraId="6B9069D6" w14:textId="77777777" w:rsidR="00A4792A" w:rsidRDefault="00A4792A" w:rsidP="003F780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EFD"/>
    <w:rsid w:val="0000245F"/>
    <w:rsid w:val="003E61FC"/>
    <w:rsid w:val="003F7801"/>
    <w:rsid w:val="0047402E"/>
    <w:rsid w:val="00880C36"/>
    <w:rsid w:val="00A27AB9"/>
    <w:rsid w:val="00A4792A"/>
    <w:rsid w:val="00D40300"/>
    <w:rsid w:val="00DF0ABA"/>
    <w:rsid w:val="00F45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FB3F33"/>
  <w15:chartTrackingRefBased/>
  <w15:docId w15:val="{A7C78FE6-D5EF-41BA-83B1-F0490B9A3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
    <w:basedOn w:val="a1"/>
    <w:uiPriority w:val="99"/>
    <w:rsid w:val="0047402E"/>
    <w:pPr>
      <w:jc w:val="center"/>
    </w:pPr>
    <w:rPr>
      <w:rFonts w:ascii="Arial" w:hAnsi="Arial" w:cs="Arial"/>
      <w:kern w:val="0"/>
      <w:sz w:val="22"/>
    </w:rPr>
    <w:tblPr>
      <w:tblBorders>
        <w:top w:val="single" w:sz="12" w:space="0" w:color="auto"/>
        <w:bottom w:val="single" w:sz="12" w:space="0" w:color="auto"/>
      </w:tblBorders>
    </w:tblPr>
    <w:tcPr>
      <w:vAlign w:val="center"/>
    </w:tcPr>
    <w:tblStylePr w:type="firstRow">
      <w:tblPr/>
      <w:tcPr>
        <w:tcBorders>
          <w:bottom w:val="single" w:sz="12" w:space="0" w:color="auto"/>
        </w:tcBorders>
      </w:tcPr>
    </w:tblStylePr>
  </w:style>
  <w:style w:type="paragraph" w:styleId="a4">
    <w:name w:val="header"/>
    <w:basedOn w:val="a"/>
    <w:link w:val="a5"/>
    <w:uiPriority w:val="99"/>
    <w:unhideWhenUsed/>
    <w:rsid w:val="003F780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3F7801"/>
    <w:rPr>
      <w:sz w:val="18"/>
      <w:szCs w:val="18"/>
    </w:rPr>
  </w:style>
  <w:style w:type="paragraph" w:styleId="a6">
    <w:name w:val="footer"/>
    <w:basedOn w:val="a"/>
    <w:link w:val="a7"/>
    <w:uiPriority w:val="99"/>
    <w:unhideWhenUsed/>
    <w:rsid w:val="003F7801"/>
    <w:pPr>
      <w:tabs>
        <w:tab w:val="center" w:pos="4153"/>
        <w:tab w:val="right" w:pos="8306"/>
      </w:tabs>
      <w:snapToGrid w:val="0"/>
      <w:jc w:val="left"/>
    </w:pPr>
    <w:rPr>
      <w:sz w:val="18"/>
      <w:szCs w:val="18"/>
    </w:rPr>
  </w:style>
  <w:style w:type="character" w:customStyle="1" w:styleId="a7">
    <w:name w:val="页脚 字符"/>
    <w:basedOn w:val="a0"/>
    <w:link w:val="a6"/>
    <w:uiPriority w:val="99"/>
    <w:rsid w:val="003F780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110</Words>
  <Characters>633</Characters>
  <Application>Microsoft Office Word</Application>
  <DocSecurity>0</DocSecurity>
  <Lines>5</Lines>
  <Paragraphs>1</Paragraphs>
  <ScaleCrop>false</ScaleCrop>
  <Company/>
  <LinksUpToDate>false</LinksUpToDate>
  <CharactersWithSpaces>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JIAZ0012@e.ntu.edu.sg</dc:creator>
  <cp:keywords/>
  <dc:description/>
  <cp:lastModifiedBy>JIAZ0012@e.ntu.edu.sg</cp:lastModifiedBy>
  <cp:revision>4</cp:revision>
  <dcterms:created xsi:type="dcterms:W3CDTF">2026-04-01T10:46:00Z</dcterms:created>
  <dcterms:modified xsi:type="dcterms:W3CDTF">2026-04-01T11:20:00Z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f06e58ef-6797-4460-8aed-2d1b813af0ae</vt:lpwstr>
  </property>
</Properties>
</file>