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宋体" w:hAnsi="宋体" w:eastAsia="宋体"/>
          <w:b w:val="0"/>
          <w:i w:val="0"/>
          <w:sz w:val="48"/>
        </w:rPr>
        <w:t>税务合同审计报告</w:t>
      </w:r>
    </w:p>
    <w:p>
      <w:pPr>
        <w:pStyle w:val="Heading1"/>
      </w:pPr>
      <w:r>
        <w:rPr>
          <w:rFonts w:ascii="宋体" w:hAnsi="宋体" w:eastAsia="宋体"/>
          <w:b w:val="0"/>
          <w:i w:val="0"/>
          <w:sz w:val="36"/>
        </w:rPr>
        <w:t>审计摘要</w:t>
      </w:r>
    </w:p>
    <w:p>
      <w:r>
        <w:rPr>
          <w:rFonts w:ascii="宋体" w:hAnsi="宋体" w:eastAsia="宋体"/>
          <w:b w:val="0"/>
          <w:i w:val="0"/>
          <w:sz w:val="24"/>
        </w:rPr>
        <w:t>共审计2个章节，整体合规性良好。</w:t>
      </w:r>
    </w:p>
    <w:p>
      <w:r>
        <w:rPr>
          <w:rFonts w:ascii="宋体" w:hAnsi="宋体" w:eastAsia="宋体"/>
          <w:b w:val="0"/>
          <w:i w:val="0"/>
          <w:sz w:val="24"/>
        </w:rPr>
        <w:t xml:space="preserve">合规条款: 2  </w:t>
      </w:r>
      <w:r>
        <w:rPr>
          <w:rFonts w:ascii="宋体" w:hAnsi="宋体" w:eastAsia="宋体"/>
          <w:b/>
          <w:i w:val="0"/>
          <w:sz w:val="24"/>
        </w:rPr>
        <w:t xml:space="preserve">高风险条款: 0  </w:t>
      </w:r>
      <w:r>
        <w:rPr>
          <w:rFonts w:ascii="宋体" w:hAnsi="宋体" w:eastAsia="宋体"/>
          <w:b/>
          <w:i w:val="0"/>
          <w:sz w:val="24"/>
        </w:rPr>
        <w:t>不合规条款: 0</w:t>
      </w:r>
    </w:p>
    <w:p>
      <w:pPr>
        <w:pStyle w:val="Heading1"/>
      </w:pPr>
      <w:r>
        <w:rPr>
          <w:rFonts w:ascii="宋体" w:hAnsi="宋体" w:eastAsia="宋体"/>
          <w:b w:val="0"/>
          <w:i w:val="0"/>
          <w:sz w:val="36"/>
        </w:rPr>
        <w:t>详细分析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