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Style w:val="Title"/>
      <w:pPr>
        <w:spacing w:before="0" w:after="240" w:line="320" w:lineRule="auto"/>
        <w:jc w:val="center"/>
      </w:pPr>
      <w:r>
        <w:t xml:space="preserve">第六部分｜鉴证（Assurance）作用机制与改进路径</w:t>
      </w:r>
    </w:p>
    <w:p>
      <w:pPr>
        <w:spacing w:before="0" w:after="120" w:line="300" w:lineRule="auto"/>
        <w:pBdr>
          <w:bottom w:val="single" w:sz="8" w:space="2" w:color="B4C6E7"/>
        </w:pBdr>
      </w:pPr>
      <w:r>
        <w:t xml:space="preserve"/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color w:val="404040"/>
        </w:rPr>
        <w:t xml:space="preserve">所属主题：</w:t>
      </w:r>
      <w:r>
        <w:rPr>
          <w:b/>
          <w:color w:val="404040"/>
        </w:rPr>
        <w:t xml:space="preserve">环境审计模式与信息质量鉴证研究</w:t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color w:val="404040"/>
        </w:rPr>
        <w:t xml:space="preserve">研究视角：对照组研究视角——ESG 第三方鉴证案例与信息质量对比</w:t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color w:val="404040"/>
        </w:rPr>
        <w:t xml:space="preserve">案例组：</w:t>
      </w:r>
      <w:r>
        <w:rPr>
          <w:b/>
          <w:color w:val="404040"/>
        </w:rPr>
        <w:t xml:space="preserve">中国石化（Sinopec）</w:t>
      </w:r>
      <w:r>
        <w:rPr>
          <w:color w:val="404040"/>
        </w:rPr>
        <w:t xml:space="preserve">；对照组：</w:t>
      </w:r>
      <w:r>
        <w:rPr>
          <w:b/>
          <w:color w:val="404040"/>
        </w:rPr>
        <w:t xml:space="preserve">中国石油（PetroChina / CNPC）</w:t>
      </w:r>
      <w:r>
        <w:rPr>
          <w:color w:val="404040"/>
        </w:rPr>
        <w:t xml:space="preserve">、</w:t>
      </w:r>
      <w:r>
        <w:rPr>
          <w:b/>
          <w:color w:val="404040"/>
        </w:rPr>
        <w:t xml:space="preserve">Shell</w:t>
      </w:r>
      <w:r>
        <w:rPr>
          <w:color w:val="404040"/>
        </w:rPr>
        <w:t xml:space="preserve">、</w:t>
      </w:r>
      <w:r>
        <w:rPr>
          <w:b/>
          <w:color w:val="404040"/>
        </w:rPr>
        <w:t xml:space="preserve">BP</w:t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color w:val="404040"/>
        </w:rPr>
        <w:t xml:space="preserve">本文档为 PPT 底稿：前半为内容正文（可直接拆成要点），后半为分页脚本 + 讲稿 + 待核实数据清单</w:t>
      </w:r>
    </w:p>
    <w:p>
      <w:pPr>
        <w:spacing w:before="0" w:after="40" w:line="300" w:lineRule="auto"/>
        <w:pBdr>
          <w:bottom w:val="single" w:sz="8" w:space="2" w:color="B4C6E7"/>
        </w:pBdr>
      </w:pPr>
      <w:r>
        <w:t xml:space="preserve"/>
      </w:r>
    </w:p>
    <w:p>
      <w:pStyle w:val="Heading1"/>
      <w:keepNext/>
      <w:pPr>
        <w:spacing w:before="320" w:after="140" w:line="280" w:lineRule="auto"/>
        <w:pBdr>
          <w:bottom w:val="single" w:sz="8" w:space="2" w:color="B4C6E7"/>
        </w:pBdr>
      </w:pPr>
      <w:r>
        <w:t xml:space="preserve">0. 本部分在整体研究中的位置（承接前五部分）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部分</w:t>
            </w:r>
          </w:p>
        </w:tc>
        <w:tc>
          <w:tcPr>
            <w:tcW w:w="3008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研究内容</w:t>
            </w:r>
          </w:p>
        </w:tc>
        <w:tc>
          <w:tcPr>
            <w:tcW w:w="3008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与本部分的关系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1–2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环境审计模式演进、ESG 信息披露制度背景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提供"为什么要鉴证"的制度前提</w:t>
            </w:r>
          </w:p>
        </w:tc>
      </w:tr>
      <w:tr>
        <w:tc>
          <w:tcPr>
            <w:tcW w:w="3008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3–4</w:t>
            </w:r>
          </w:p>
        </w:tc>
        <w:tc>
          <w:tcPr>
            <w:tcW w:w="3008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信息质量评价维度（可靠性、可比性、完整性、及时性）</w:t>
            </w:r>
          </w:p>
        </w:tc>
        <w:tc>
          <w:tcPr>
            <w:tcW w:w="3008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提供"鉴证改善了什么"的评价标尺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案例与对照组信息质量对比（中石化 vs 中石油 / Shell / BP）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提供"鉴证 vs 未鉴证/鉴证程度不同"的实证差异</w:t>
            </w:r>
          </w:p>
        </w:tc>
      </w:tr>
      <w:tr>
        <w:tc>
          <w:tcPr>
            <w:tcW w:w="3008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6（本部分）</w:t>
            </w:r>
          </w:p>
        </w:tc>
        <w:tc>
          <w:tcPr>
            <w:tcW w:w="3008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鉴证为什么能起作用、怎么改进、有什么失效风险</w:t>
            </w:r>
          </w:p>
        </w:tc>
        <w:tc>
          <w:tcPr>
            <w:tcW w:w="3008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解释机制 + 给出改进路径 + 回答研究问题</w:t>
            </w:r>
          </w:p>
        </w:tc>
      </w:tr>
    </w:tbl>
    <w:p>
      <w:pPr>
        <w:spacing w:before="0" w:after="60" w:line="300" w:lineRule="auto"/>
      </w:pPr>
      <w:r>
        <w:t xml:space="preserve"/>
      </w:r>
    </w:p>
    <w:p>
      <w:pPr>
        <w:spacing w:before="0" w:after="110" w:line="300" w:lineRule="auto"/>
      </w:pPr>
      <w:r>
        <w:t xml:space="preserve">一句话定位：前五部分回答"</w:t>
      </w:r>
      <w:r>
        <w:rPr>
          <w:b/>
        </w:rPr>
        <w:t xml:space="preserve">有没有差异</w:t>
      </w:r>
      <w:r>
        <w:t xml:space="preserve">"，本部分回答"</w:t>
      </w:r>
      <w:r>
        <w:rPr>
          <w:b/>
        </w:rPr>
        <w:t xml:space="preserve">为什么有差异、差异靠什么维持、怎样才能真的有差异</w:t>
      </w:r>
      <w:r>
        <w:t xml:space="preserve">"。</w:t>
      </w:r>
    </w:p>
    <w:p>
      <w:pPr>
        <w:spacing w:before="0" w:after="40" w:line="300" w:lineRule="auto"/>
        <w:pBdr>
          <w:bottom w:val="single" w:sz="8" w:space="2" w:color="B4C6E7"/>
        </w:pBdr>
      </w:pPr>
      <w:r>
        <w:t xml:space="preserve"/>
      </w:r>
    </w:p>
    <w:p>
      <w:pStyle w:val="Heading1"/>
      <w:keepNext/>
      <w:pPr>
        <w:spacing w:before="320" w:after="140" w:line="280" w:lineRule="auto"/>
        <w:pBdr>
          <w:bottom w:val="single" w:sz="8" w:space="2" w:color="B4C6E7"/>
        </w:pBdr>
      </w:pPr>
      <w:r>
        <w:t xml:space="preserve">1. 从鉴证程序到披露改善的作用链条（核心机制）</w:t>
      </w:r>
    </w:p>
    <w:p>
      <w:pStyle w:val="Heading2"/>
      <w:keepNext/>
      <w:pPr>
        <w:spacing w:before="220" w:after="100" w:line="300" w:lineRule="auto"/>
      </w:pPr>
      <w:r>
        <w:t xml:space="preserve">1.1 完整链条（PPT 用横向流程图）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制度压力/利益相关方需求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   ↓（为什么需要）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企业聘请第三方机构对 ESG 报告中的选定指标实施鉴证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   ↓（鉴证做什么）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① 鉴证标准与保证等级设定（ISAE 3000 / AA1000AS，limited vs reasonable）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② 重要性（materiality）与鉴证范围确定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③ 证据收集：访谈、穿行测试、原始凭证核对、现场走访、数据系统取数、排放因子复核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④ 发现差错与偏差 → 出具管理层建议书（management letter）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   ↓（企业内部怎么接）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⑤ 数据口径统一、内控与台账整改、责任分工落实、复核层级增加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   ↓（结果）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⑥ 报告重述/更正 → 披露质量提升（可靠性↑、可比性↑、完整性↑）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   ↓（外部效应）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⑦ 信息可信度提升 → 投资者/监管/评级机构使用意愿↑ → 声誉与融资成本改善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   ↓（反馈）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⑧ 下一年度鉴证范围扩大 / 要求提高 → 循环强化</w:t>
      </w:r>
    </w:p>
    <w:p>
      <w:pPr>
        <w:spacing w:before="0" w:after="80" w:line="300" w:lineRule="auto"/>
      </w:pPr>
      <w:r>
        <w:t xml:space="preserve"/>
      </w:r>
    </w:p>
    <w:p>
      <w:pStyle w:val="Heading2"/>
      <w:keepNext/>
      <w:pPr>
        <w:spacing w:before="220" w:after="100" w:line="300" w:lineRule="auto"/>
      </w:pPr>
      <w:r>
        <w:t xml:space="preserve">1.2 三个关键传导环节（这三环断一环，链条就失效）</w:t>
      </w:r>
    </w:p>
    <w:p>
      <w:pPr>
        <w:spacing w:before="0" w:after="60" w:line="290" w:lineRule="auto"/>
        <w:ind w:left="360"/>
      </w:pPr>
      <w:r>
        <w:t xml:space="preserve">1. </w:t>
      </w:r>
      <w:r>
        <w:rPr>
          <w:b/>
        </w:rPr>
        <w:t xml:space="preserve">证据环</w:t>
      </w:r>
      <w:r>
        <w:t xml:space="preserve">：鉴证机构能否拿到独立、可追溯的原始数据（而非企业整理好的汇总表）。若只能拿到"二次加工数据"，鉴证退化为"核对格式"。</w:t>
      </w:r>
    </w:p>
    <w:p>
      <w:pPr>
        <w:spacing w:before="0" w:after="60" w:line="290" w:lineRule="auto"/>
        <w:ind w:left="360"/>
      </w:pPr>
      <w:r>
        <w:t xml:space="preserve">2. </w:t>
      </w:r>
      <w:r>
        <w:rPr>
          <w:b/>
        </w:rPr>
        <w:t xml:space="preserve">整改环</w:t>
      </w:r>
      <w:r>
        <w:t xml:space="preserve">：管理建议书是否被真正执行。鉴证的价值不体现在意见页，而体现在</w:t>
      </w:r>
      <w:r>
        <w:rPr>
          <w:b/>
        </w:rPr>
        <w:t xml:space="preserve">下一年度的数据基线是否被重建</w:t>
      </w:r>
      <w:r>
        <w:t xml:space="preserve">。</w:t>
      </w:r>
    </w:p>
    <w:p>
      <w:pPr>
        <w:spacing w:before="0" w:after="60" w:line="290" w:lineRule="auto"/>
        <w:ind w:left="360"/>
      </w:pPr>
      <w:r>
        <w:t xml:space="preserve">3. </w:t>
      </w:r>
      <w:r>
        <w:rPr>
          <w:b/>
        </w:rPr>
        <w:t xml:space="preserve">问责环</w:t>
      </w:r>
      <w:r>
        <w:t xml:space="preserve">：整改是否挂到具体岗位与考核。没有责任人的整改＝下一年重复同样的差错。</w:t>
      </w:r>
    </w:p>
    <w:p>
      <w:pStyle w:val="Heading2"/>
      <w:keepNext/>
      <w:pPr>
        <w:spacing w:before="220" w:after="100" w:line="300" w:lineRule="auto"/>
      </w:pPr>
      <w:r>
        <w:t xml:space="preserve">1.3 关键概念区分（答辩/PPT 必备，避免被问倒）</w:t>
      </w:r>
    </w:p>
    <w:p>
      <w:pPr>
        <w:spacing w:before="0" w:after="60" w:line="290" w:lineRule="auto"/>
        <w:ind w:left="360"/>
      </w:pPr>
      <w:r>
        <w:t xml:space="preserve">• </w:t>
      </w:r>
      <w:r>
        <w:rPr>
          <w:b/>
        </w:rPr>
        <w:t xml:space="preserve">鉴证 ≠ 审计</w:t>
      </w:r>
      <w:r>
        <w:t xml:space="preserve">：ESG 鉴证多为 </w:t>
      </w:r>
      <w:r>
        <w:rPr>
          <w:b/>
        </w:rPr>
        <w:t xml:space="preserve">limited assurance（有限保证，"消极表述"：未发现重大错报）</w:t>
      </w:r>
      <w:r>
        <w:t xml:space="preserve">，程序以询问和分析性程序为主，证据强度显著低于财务报表审计的 reasonable assurance。</w:t>
      </w:r>
    </w:p>
    <w:p>
      <w:pPr>
        <w:spacing w:before="0" w:after="60" w:line="290" w:lineRule="auto"/>
        <w:ind w:left="360"/>
      </w:pPr>
      <w:r>
        <w:t xml:space="preserve">• </w:t>
      </w:r>
      <w:r>
        <w:rPr>
          <w:b/>
        </w:rPr>
        <w:t xml:space="preserve">鉴证 ≠ 咨询</w:t>
      </w:r>
      <w:r>
        <w:t xml:space="preserve">：同一机构不得既编报告又出鉴证意见（独立性要求）；实务中"协助编制 + 鉴证"同源是形式化的重要成因。</w:t>
      </w:r>
    </w:p>
    <w:p>
      <w:pPr>
        <w:spacing w:before="0" w:after="60" w:line="290" w:lineRule="auto"/>
        <w:ind w:left="360"/>
      </w:pPr>
      <w:r>
        <w:t xml:space="preserve">• </w:t>
      </w:r>
      <w:r>
        <w:rPr>
          <w:b/>
        </w:rPr>
        <w:t xml:space="preserve">鉴证 ≠ 评级</w:t>
      </w:r>
      <w:r>
        <w:t xml:space="preserve">：MSCI / 华证等评级是对披露与绩效的外部打分，不提供对数据准确性的保证。</w:t>
      </w:r>
    </w:p>
    <w:p>
      <w:pPr>
        <w:spacing w:before="0" w:after="40" w:line="300" w:lineRule="auto"/>
        <w:pBdr>
          <w:bottom w:val="single" w:sz="8" w:space="2" w:color="B4C6E7"/>
        </w:pBdr>
      </w:pPr>
      <w:r>
        <w:t xml:space="preserve"/>
      </w:r>
    </w:p>
    <w:p>
      <w:pStyle w:val="Heading1"/>
      <w:keepNext/>
      <w:pPr>
        <w:spacing w:before="320" w:after="140" w:line="280" w:lineRule="auto"/>
        <w:pBdr>
          <w:bottom w:val="single" w:sz="8" w:space="2" w:color="B4C6E7"/>
        </w:pBdr>
      </w:pPr>
      <w:r>
        <w:t xml:space="preserve">2. 数据收集与统计口径如何改善</w:t>
      </w:r>
    </w:p>
    <w:p>
      <w:pStyle w:val="Heading2"/>
      <w:keepNext/>
      <w:pPr>
        <w:spacing w:before="220" w:after="100" w:line="300" w:lineRule="auto"/>
      </w:pPr>
      <w:r>
        <w:t xml:space="preserve">2.1 现状问题（问题诊断，PPT 用"痛点条"呈现）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问题</w:t>
            </w:r>
          </w:p>
        </w:tc>
        <w:tc>
          <w:tcPr>
            <w:tcW w:w="3008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具体表现</w:t>
            </w:r>
          </w:p>
        </w:tc>
        <w:tc>
          <w:tcPr>
            <w:tcW w:w="3008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后果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口径不一致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温室气体用运营控制法 vs 股权比例法；范围二用 location-based vs market-based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跨企业、跨年度不可比</w:t>
            </w:r>
          </w:p>
        </w:tc>
      </w:tr>
      <w:tr>
        <w:tc>
          <w:tcPr>
            <w:tcW w:w="3008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边界漂移</w:t>
            </w:r>
          </w:p>
        </w:tc>
        <w:tc>
          <w:tcPr>
            <w:tcW w:w="3008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合并范围（子公司/联营/外包）逐年变化，未重述上年数据</w:t>
            </w:r>
          </w:p>
        </w:tc>
        <w:tc>
          <w:tcPr>
            <w:tcW w:w="3008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增长率失真，减排"看起来达标"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手工台账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Excel 逐级汇总，分子公司层层加总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易错、不可追溯、无法穿透</w:t>
            </w:r>
          </w:p>
        </w:tc>
      </w:tr>
      <w:tr>
        <w:tc>
          <w:tcPr>
            <w:tcW w:w="3008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定性为主</w:t>
            </w:r>
          </w:p>
        </w:tc>
        <w:tc>
          <w:tcPr>
            <w:tcW w:w="3008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"环保投入""绿色举措"多描述性表述</w:t>
            </w:r>
          </w:p>
        </w:tc>
        <w:tc>
          <w:tcPr>
            <w:tcW w:w="3008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不可验证，鉴证只能核"有没有说"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缺基准与目标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无历史基线、无 SBTi 类目标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无法判断改善真伪</w:t>
            </w:r>
          </w:p>
        </w:tc>
      </w:tr>
    </w:tbl>
    <w:p>
      <w:pPr>
        <w:spacing w:before="0" w:after="60" w:line="300" w:lineRule="auto"/>
      </w:pPr>
      <w:r>
        <w:t xml:space="preserve"/>
      </w:r>
    </w:p>
    <w:p>
      <w:pStyle w:val="Heading2"/>
      <w:keepNext/>
      <w:pPr>
        <w:spacing w:before="220" w:after="100" w:line="300" w:lineRule="auto"/>
      </w:pPr>
      <w:r>
        <w:t xml:space="preserve">2.2 改善路径（四条，从"能不能验"到"验得准"）</w:t>
      </w:r>
    </w:p>
    <w:p>
      <w:pPr>
        <w:spacing w:before="0" w:after="60" w:line="290" w:lineRule="auto"/>
        <w:ind w:left="360"/>
      </w:pPr>
      <w:r>
        <w:t xml:space="preserve">1. </w:t>
      </w:r>
      <w:r>
        <w:rPr>
          <w:b/>
        </w:rPr>
        <w:t xml:space="preserve">口径制度化</w:t>
      </w:r>
      <w:r>
        <w:t xml:space="preserve">：编制《ESG 数据管理手册》，逐指标定义（边界、计算方法、排放因子来源版本、单位、责任部门、取数系统），并把"上年度数据重述规则"写进去。</w:t>
      </w:r>
    </w:p>
    <w:p>
      <w:pPr>
        <w:spacing w:before="0" w:after="60" w:line="290" w:lineRule="auto"/>
        <w:ind w:left="360"/>
      </w:pPr>
      <w:r>
        <w:t xml:space="preserve">2. </w:t>
      </w:r>
      <w:r>
        <w:rPr>
          <w:b/>
        </w:rPr>
        <w:t xml:space="preserve">系统化取数</w:t>
      </w:r>
      <w:r>
        <w:t xml:space="preserve">：ERP / EMS / 能耗监测系统直连取数，替代手工汇总；保留原始凭证链条（可穿行测试）。KPIs 尽量做到"系统出数、一人录入、一人复核"。</w:t>
      </w:r>
    </w:p>
    <w:p>
      <w:pPr>
        <w:spacing w:before="0" w:after="60" w:line="290" w:lineRule="auto"/>
        <w:ind w:left="360"/>
      </w:pPr>
      <w:r>
        <w:t xml:space="preserve">3. </w:t>
      </w:r>
      <w:r>
        <w:rPr>
          <w:b/>
        </w:rPr>
        <w:t xml:space="preserve">数据层级化</w:t>
      </w:r>
      <w:r>
        <w:t xml:space="preserve">：集团—事业部—分子公司三级台账同构，指标可下钻到单厂/单装置，便于抽样鉴证。</w:t>
      </w:r>
    </w:p>
    <w:p>
      <w:pPr>
        <w:spacing w:before="0" w:after="60" w:line="290" w:lineRule="auto"/>
        <w:ind w:left="360"/>
      </w:pPr>
      <w:r>
        <w:t xml:space="preserve">4. </w:t>
      </w:r>
      <w:r>
        <w:rPr>
          <w:b/>
        </w:rPr>
        <w:t xml:space="preserve">可验证性设计</w:t>
      </w:r>
      <w:r>
        <w:t xml:space="preserve">：每个关键指标配"三件套"——定义 + 计算过程 + 支撑凭证。定性内容改为"可核对的行动 + 量化结果"。</w:t>
      </w:r>
    </w:p>
    <w:p>
      <w:pStyle w:val="Heading2"/>
      <w:keepNext/>
      <w:pPr>
        <w:spacing w:before="220" w:after="100" w:line="300" w:lineRule="auto"/>
      </w:pPr>
      <w:r>
        <w:t xml:space="preserve">2.3 案例映射（中石化 / 中石油）</w:t>
      </w:r>
    </w:p>
    <w:p>
      <w:pPr>
        <w:spacing w:before="0" w:after="60" w:line="290" w:lineRule="auto"/>
        <w:ind w:left="360"/>
      </w:pPr>
      <w:r>
        <w:t xml:space="preserve">• 中石化：集团层面统一的社会责任/ESG 指标体系与逐年扩围的环保数据披露（能耗、COD、SO₂、NOx、废水、温室气体），是"指标体系先行"的典型样本 → 说明口径统一是鉴证可行的前置条件。</w:t>
      </w:r>
    </w:p>
    <w:p>
      <w:pPr>
        <w:spacing w:before="0" w:after="60" w:line="290" w:lineRule="auto"/>
        <w:ind w:left="360"/>
      </w:pPr>
      <w:r>
        <w:t xml:space="preserve">• 中石油：同样建立集团统一的环境统计口径，但在</w:t>
      </w:r>
      <w:r>
        <w:rPr>
          <w:b/>
        </w:rPr>
        <w:t xml:space="preserve">披露指标颗粒度与年度可比性</w:t>
      </w:r>
      <w:r>
        <w:t xml:space="preserve">上与中石化存在差异 → 说明"口径统一程度"本身即信息质量差异的解释变量之一。</w:t>
      </w:r>
    </w:p>
    <w:p>
      <w:pPr>
        <w:spacing w:before="0" w:after="40" w:line="300" w:lineRule="auto"/>
        <w:pBdr>
          <w:bottom w:val="single" w:sz="8" w:space="2" w:color="B4C6E7"/>
        </w:pBdr>
      </w:pPr>
      <w:r>
        <w:t xml:space="preserve"/>
      </w:r>
    </w:p>
    <w:p>
      <w:pStyle w:val="Heading1"/>
      <w:keepNext/>
      <w:pPr>
        <w:spacing w:before="320" w:after="140" w:line="280" w:lineRule="auto"/>
        <w:pBdr>
          <w:bottom w:val="single" w:sz="8" w:space="2" w:color="B4C6E7"/>
        </w:pBdr>
      </w:pPr>
      <w:r>
        <w:t xml:space="preserve">3. 内部审核与责任分工如何改善</w:t>
      </w:r>
    </w:p>
    <w:p>
      <w:pStyle w:val="Heading2"/>
      <w:keepNext/>
      <w:pPr>
        <w:spacing w:before="220" w:after="100" w:line="300" w:lineRule="auto"/>
      </w:pPr>
      <w:r>
        <w:t xml:space="preserve">3.1 三层防线模型（PPT 画"三环同心"图）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w="1805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层级</w:t>
            </w:r>
          </w:p>
        </w:tc>
        <w:tc>
          <w:tcPr>
            <w:tcW w:w="1805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主体</w:t>
            </w:r>
          </w:p>
        </w:tc>
        <w:tc>
          <w:tcPr>
            <w:tcW w:w="1805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职责</w:t>
            </w:r>
          </w:p>
        </w:tc>
        <w:tc>
          <w:tcPr>
            <w:tcW w:w="1805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现状短板</w:t>
            </w:r>
          </w:p>
        </w:tc>
        <w:tc>
          <w:tcPr>
            <w:tcW w:w="1805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改善动作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第一层：业务/分子公司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生产、安环、能源管理部门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原始数据产生与初核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数据"谁产生谁填报"，无交叉校验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建立"填报—复核"双签，数据源系统固化</w:t>
            </w:r>
          </w:p>
        </w:tc>
      </w:tr>
      <w:tr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第二层：ESG/董办/财务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报告编制部门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汇总、口径审核、跨部门协调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常为"临时项目组"，报告期才组建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常设 ESG 数据管理岗 + 年度数据日历（data calendar）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第三层：内部审计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内审部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独立复核与测试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多数企业内审尚未把 ESG 数据纳入常规审计计划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把 ESG 关键指标纳入内审年度计划，出内审意见供鉴证机构依赖</w:t>
            </w:r>
          </w:p>
        </w:tc>
      </w:tr>
    </w:tbl>
    <w:p>
      <w:pPr>
        <w:spacing w:before="0" w:after="60" w:line="300" w:lineRule="auto"/>
      </w:pPr>
      <w:r>
        <w:t xml:space="preserve"/>
      </w:r>
    </w:p>
    <w:p>
      <w:pStyle w:val="Heading2"/>
      <w:keepNext/>
      <w:pPr>
        <w:spacing w:before="220" w:after="100" w:line="300" w:lineRule="auto"/>
      </w:pPr>
      <w:r>
        <w:t xml:space="preserve">3.2 责任分工的关键设计（避免"三不管"）</w:t>
      </w:r>
    </w:p>
    <w:p>
      <w:pPr>
        <w:spacing w:before="0" w:after="60" w:line="290" w:lineRule="auto"/>
        <w:ind w:left="360"/>
      </w:pPr>
      <w:r>
        <w:t xml:space="preserve">• </w:t>
      </w:r>
      <w:r>
        <w:rPr>
          <w:b/>
        </w:rPr>
        <w:t xml:space="preserve">主责 + 会签</w:t>
      </w:r>
      <w:r>
        <w:t xml:space="preserve">：每个指标一名 owner（数据主责部门）+ 一名会签人（口径审核）。</w:t>
      </w:r>
    </w:p>
    <w:p>
      <w:pPr>
        <w:spacing w:before="0" w:after="60" w:line="290" w:lineRule="auto"/>
        <w:ind w:left="360"/>
      </w:pPr>
      <w:r>
        <w:t xml:space="preserve">• </w:t>
      </w:r>
      <w:r>
        <w:rPr>
          <w:b/>
        </w:rPr>
        <w:t xml:space="preserve">数据日历</w:t>
      </w:r>
      <w:r>
        <w:t xml:space="preserve">：明确每个指标的取数截止日、复核日、提交日，与报告编制倒排。</w:t>
      </w:r>
    </w:p>
    <w:p>
      <w:pPr>
        <w:spacing w:before="0" w:after="60" w:line="290" w:lineRule="auto"/>
        <w:ind w:left="360"/>
      </w:pPr>
      <w:r>
        <w:t xml:space="preserve">• </w:t>
      </w:r>
      <w:r>
        <w:rPr>
          <w:b/>
        </w:rPr>
        <w:t xml:space="preserve">考核挂钩</w:t>
      </w:r>
      <w:r>
        <w:t xml:space="preserve">：数据差错率纳入部门/管理者考核，或与 ESG 绩效薪酬挂钩——这是"整改环"能否闭合的关键。</w:t>
      </w:r>
    </w:p>
    <w:p>
      <w:pPr>
        <w:spacing w:before="0" w:after="60" w:line="290" w:lineRule="auto"/>
        <w:ind w:left="360"/>
      </w:pPr>
      <w:r>
        <w:t xml:space="preserve">• </w:t>
      </w:r>
      <w:r>
        <w:rPr>
          <w:b/>
        </w:rPr>
        <w:t xml:space="preserve">董事会层面</w:t>
      </w:r>
      <w:r>
        <w:t xml:space="preserve">：ESG 委员会/审计委员会对报告真实性负责，形成自上而下的压力传导。</w:t>
      </w:r>
    </w:p>
    <w:p>
      <w:pStyle w:val="Heading2"/>
      <w:keepNext/>
      <w:pPr>
        <w:spacing w:before="220" w:after="100" w:line="300" w:lineRule="auto"/>
      </w:pPr>
      <w:r>
        <w:t xml:space="preserve">3.3 案例映射</w:t>
      </w:r>
    </w:p>
    <w:p>
      <w:pPr>
        <w:spacing w:before="0" w:after="60" w:line="290" w:lineRule="auto"/>
        <w:ind w:left="360"/>
      </w:pPr>
      <w:r>
        <w:t xml:space="preserve">• 中石化：设有董事会层面的可持续发展/ESG 治理架构，社会责任报告编制有跨部门协调机制 → 治理结构是"第二层防线"落地的组织基础。</w:t>
      </w:r>
    </w:p>
    <w:p>
      <w:pPr>
        <w:spacing w:before="0" w:after="60" w:line="290" w:lineRule="auto"/>
        <w:ind w:left="360"/>
      </w:pPr>
      <w:r>
        <w:t xml:space="preserve">• 中石油：同样具备董事会 ESG 治理安排，但</w:t>
      </w:r>
      <w:r>
        <w:rPr>
          <w:b/>
        </w:rPr>
        <w:t xml:space="preserve">部门间数据归口与内审介入程度</w:t>
      </w:r>
      <w:r>
        <w:t xml:space="preserve">差异，会影响鉴证机构可依赖的内部证据量。</w:t>
      </w:r>
    </w:p>
    <w:p>
      <w:pPr>
        <w:spacing w:before="0" w:after="60" w:line="290" w:lineRule="auto"/>
        <w:ind w:left="360"/>
      </w:pPr>
      <w:r>
        <w:t xml:space="preserve">• Shell / BP：董事会下设安全环境与可持续发展委员会（Shell: Safety, Environment and Sustainability Committee；BP 有 ESG/安全环境委员会），且把</w:t>
      </w:r>
      <w:r>
        <w:rPr>
          <w:b/>
        </w:rPr>
        <w:t xml:space="preserve">高管薪酬与减排指标挂钩</w:t>
      </w:r>
      <w:r>
        <w:t xml:space="preserve">（BP 曾将甲烷强度、排放目标纳入高管奖金指标）→ 责任分工从"谁填表"上升到"谁担责"。</w:t>
      </w:r>
    </w:p>
    <w:p>
      <w:pPr>
        <w:spacing w:before="0" w:after="40" w:line="300" w:lineRule="auto"/>
        <w:pBdr>
          <w:bottom w:val="single" w:sz="8" w:space="2" w:color="B4C6E7"/>
        </w:pBdr>
      </w:pPr>
      <w:r>
        <w:t xml:space="preserve"/>
      </w:r>
    </w:p>
    <w:p>
      <w:pStyle w:val="Heading1"/>
      <w:keepNext/>
      <w:pPr>
        <w:spacing w:before="320" w:after="140" w:line="280" w:lineRule="auto"/>
        <w:pBdr>
          <w:bottom w:val="single" w:sz="8" w:space="2" w:color="B4C6E7"/>
        </w:pBdr>
      </w:pPr>
      <w:r>
        <w:t xml:space="preserve">4. 差错识别、更正及反馈机制</w:t>
      </w:r>
    </w:p>
    <w:p>
      <w:pStyle w:val="Heading2"/>
      <w:keepNext/>
      <w:pPr>
        <w:spacing w:before="220" w:after="100" w:line="300" w:lineRule="auto"/>
      </w:pPr>
      <w:r>
        <w:t xml:space="preserve">4.1 差错从哪来（分类，便于 PPT 做成"四象限"）</w:t>
      </w:r>
    </w:p>
    <w:p>
      <w:pPr>
        <w:spacing w:before="0" w:after="60" w:line="290" w:lineRule="auto"/>
        <w:ind w:left="360"/>
      </w:pPr>
      <w:r>
        <w:t xml:space="preserve">1. </w:t>
      </w:r>
      <w:r>
        <w:rPr>
          <w:b/>
        </w:rPr>
        <w:t xml:space="preserve">计算类</w:t>
      </w:r>
      <w:r>
        <w:t xml:space="preserve">：排放因子版本错、单位换算错、重复计数（同一厂区在两条业务线重复纳入）。</w:t>
      </w:r>
    </w:p>
    <w:p>
      <w:pPr>
        <w:spacing w:before="0" w:after="60" w:line="290" w:lineRule="auto"/>
        <w:ind w:left="360"/>
      </w:pPr>
      <w:r>
        <w:t xml:space="preserve">2. </w:t>
      </w:r>
      <w:r>
        <w:rPr>
          <w:b/>
        </w:rPr>
        <w:t xml:space="preserve">边界类</w:t>
      </w:r>
      <w:r>
        <w:t xml:space="preserve">：新增/剥离子公司未同步调整，导致同比失真。</w:t>
      </w:r>
    </w:p>
    <w:p>
      <w:pPr>
        <w:spacing w:before="0" w:after="60" w:line="290" w:lineRule="auto"/>
        <w:ind w:left="360"/>
      </w:pPr>
      <w:r>
        <w:t xml:space="preserve">3. </w:t>
      </w:r>
      <w:r>
        <w:rPr>
          <w:b/>
        </w:rPr>
        <w:t xml:space="preserve">口径类</w:t>
      </w:r>
      <w:r>
        <w:t xml:space="preserve">：范围二市场法/地区法混用；废水指标 COD 与氨氮混填。</w:t>
      </w:r>
    </w:p>
    <w:p>
      <w:pPr>
        <w:spacing w:before="0" w:after="60" w:line="290" w:lineRule="auto"/>
        <w:ind w:left="360"/>
      </w:pPr>
      <w:r>
        <w:t xml:space="preserve">4. </w:t>
      </w:r>
      <w:r>
        <w:rPr>
          <w:b/>
        </w:rPr>
        <w:t xml:space="preserve">表述类</w:t>
      </w:r>
      <w:r>
        <w:t xml:space="preserve">：定性夸大、目标表述模糊（"持续降低"无量化）、把"计划"写成"已完成"。</w:t>
      </w:r>
    </w:p>
    <w:p>
      <w:pStyle w:val="Heading2"/>
      <w:keepNext/>
      <w:pPr>
        <w:spacing w:before="220" w:after="100" w:line="300" w:lineRule="auto"/>
      </w:pPr>
      <w:r>
        <w:t xml:space="preserve">4.2 机制设计（闭环四步）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识别（内审 + 鉴证发现 + 数据校验规则自动报警）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 → 分级（重大错报 / 一般偏差 / 表述瑕疵：按对使用者决策的影响分层）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 → 更正（报告内重述 + 更正说明；重大事项需公告或修订版报告）</w:t>
      </w:r>
    </w:p>
    <w:p>
      <w:shd w:val="clear" w:color="auto" w:fill="F4F4F4"/>
      <w:pPr>
        <w:spacing w:before="0" w:after="0" w:line="240" w:lineRule="auto"/>
        <w:ind w:left="120"/>
      </w:pPr>
      <w:r>
        <w:rPr>
          <w:rFonts w:ascii="Consolas" w:hAnsi="Consolas" w:eastAsia="Consolas"/>
          <w:sz w:val="17"/>
          <w:szCs w:val="17"/>
        </w:rPr>
        <w:t xml:space="preserve"> → 反馈（管理建议书 → 整改台账 → 责任部门 → 次年鉴证复核是否已改）</w:t>
      </w:r>
    </w:p>
    <w:p>
      <w:pPr>
        <w:spacing w:before="0" w:after="80" w:line="300" w:lineRule="auto"/>
      </w:pPr>
      <w:r>
        <w:t xml:space="preserve"/>
      </w:r>
    </w:p>
    <w:p>
      <w:pPr>
        <w:spacing w:before="0" w:after="110" w:line="300" w:lineRule="auto"/>
      </w:pPr>
      <w:r>
        <w:t xml:space="preserve">要点：</w:t>
      </w:r>
    </w:p>
    <w:p>
      <w:pPr>
        <w:spacing w:before="0" w:after="60" w:line="290" w:lineRule="auto"/>
        <w:ind w:left="360"/>
      </w:pPr>
      <w:r>
        <w:t xml:space="preserve">• </w:t>
      </w:r>
      <w:r>
        <w:rPr>
          <w:b/>
        </w:rPr>
        <w:t xml:space="preserve">重大性门槛要写死</w:t>
      </w:r>
      <w:r>
        <w:t xml:space="preserve">：例如"某类排放偏差超过 5% 即视为重大，需在报告中重述并说明原因"。</w:t>
      </w:r>
    </w:p>
    <w:p>
      <w:pPr>
        <w:spacing w:before="0" w:after="60" w:line="290" w:lineRule="auto"/>
        <w:ind w:left="360"/>
      </w:pPr>
      <w:r>
        <w:t xml:space="preserve">• </w:t>
      </w:r>
      <w:r>
        <w:rPr>
          <w:b/>
        </w:rPr>
        <w:t xml:space="preserve">更正必须留痕</w:t>
      </w:r>
      <w:r>
        <w:t xml:space="preserve">：修订版报告、更正说明、内部整改编号，形成可追溯档案。</w:t>
      </w:r>
    </w:p>
    <w:p>
      <w:pPr>
        <w:spacing w:before="0" w:after="60" w:line="290" w:lineRule="auto"/>
        <w:ind w:left="360"/>
      </w:pPr>
      <w:r>
        <w:t xml:space="preserve">• </w:t>
      </w:r>
      <w:r>
        <w:rPr>
          <w:b/>
        </w:rPr>
        <w:t xml:space="preserve">反馈必须闭环</w:t>
      </w:r>
      <w:r>
        <w:t xml:space="preserve">：管理建议书逐条编号 + 责任部门 + 完成时限 + 次年复核结论（"已整改/部分整改/未整改"三态），这条是判"形式化 vs 实质化"的最硬指标。</w:t>
      </w:r>
    </w:p>
    <w:p>
      <w:pStyle w:val="Heading2"/>
      <w:keepNext/>
      <w:pPr>
        <w:spacing w:before="220" w:after="100" w:line="300" w:lineRule="auto"/>
      </w:pPr>
      <w:r>
        <w:t xml:space="preserve">4.3 案例映射</w:t>
      </w:r>
    </w:p>
    <w:p>
      <w:pPr>
        <w:spacing w:before="0" w:after="60" w:line="290" w:lineRule="auto"/>
        <w:ind w:left="360"/>
      </w:pPr>
      <w:r>
        <w:t xml:space="preserve">• 中石化 / 中石油：均在报告中出现过</w:t>
      </w:r>
      <w:r>
        <w:rPr>
          <w:b/>
        </w:rPr>
        <w:t xml:space="preserve">上年数据重述/口径调整说明</w:t>
      </w:r>
      <w:r>
        <w:t xml:space="preserve">，可作为"更正机制存在但颗粒度有限"的证据（具体年份与条目见待核实清单）。</w:t>
      </w:r>
    </w:p>
    <w:p>
      <w:pPr>
        <w:spacing w:before="0" w:after="60" w:line="290" w:lineRule="auto"/>
        <w:ind w:left="360"/>
      </w:pPr>
      <w:r>
        <w:t xml:space="preserve">• BP：历史上因墨西哥湾事件后大规模计提与环境负债重估，报告数据出现多次重述，且鉴证范围随之调整 → 说明</w:t>
      </w:r>
      <w:r>
        <w:rPr>
          <w:b/>
        </w:rPr>
        <w:t xml:space="preserve">重大事件是更正机制的强外部触发器</w:t>
      </w:r>
      <w:r>
        <w:t xml:space="preserve">。</w:t>
      </w:r>
    </w:p>
    <w:p>
      <w:pPr>
        <w:spacing w:before="0" w:after="60" w:line="290" w:lineRule="auto"/>
        <w:ind w:left="360"/>
      </w:pPr>
      <w:r>
        <w:t xml:space="preserve">• Shell：因法院判决与战略调整（降低部分中期减排目标），披露目标口径发生变更并作说明 → 说明</w:t>
      </w:r>
      <w:r>
        <w:rPr>
          <w:b/>
        </w:rPr>
        <w:t xml:space="preserve">目标口径变更若无清晰更正说明，会直接损伤可比性</w:t>
      </w:r>
      <w:r>
        <w:t xml:space="preserve">。</w:t>
      </w:r>
    </w:p>
    <w:p>
      <w:pPr>
        <w:spacing w:before="0" w:after="40" w:line="300" w:lineRule="auto"/>
        <w:pBdr>
          <w:bottom w:val="single" w:sz="8" w:space="2" w:color="B4C6E7"/>
        </w:pBdr>
      </w:pPr>
      <w:r>
        <w:t xml:space="preserve"/>
      </w:r>
    </w:p>
    <w:p>
      <w:pStyle w:val="Heading1"/>
      <w:keepNext/>
      <w:pPr>
        <w:spacing w:before="320" w:after="140" w:line="280" w:lineRule="auto"/>
        <w:pBdr>
          <w:bottom w:val="single" w:sz="8" w:space="2" w:color="B4C6E7"/>
        </w:pBdr>
      </w:pPr>
      <w:r>
        <w:t xml:space="preserve">5. 鉴证范围对改善效果的影响</w:t>
      </w:r>
    </w:p>
    <w:p>
      <w:pStyle w:val="Heading2"/>
      <w:keepNext/>
      <w:pPr>
        <w:spacing w:before="220" w:after="100" w:line="300" w:lineRule="auto"/>
      </w:pPr>
      <w:r>
        <w:t xml:space="preserve">5.1 三个维度的"范围"（PPT 用三维坐标/雷达图）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w="2256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维度</w:t>
            </w:r>
          </w:p>
        </w:tc>
        <w:tc>
          <w:tcPr>
            <w:tcW w:w="2256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窄</w:t>
            </w:r>
          </w:p>
        </w:tc>
        <w:tc>
          <w:tcPr>
            <w:tcW w:w="2256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宽</w:t>
            </w:r>
          </w:p>
        </w:tc>
        <w:tc>
          <w:tcPr>
            <w:tcW w:w="2256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对改善效果的影响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指标覆盖</w:t>
            </w:r>
          </w:p>
        </w:tc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仅 1–2 个定量指标（如直接排放）</w:t>
            </w:r>
          </w:p>
        </w:tc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全部关键绩效指标 + 定性陈述</w:t>
            </w:r>
          </w:p>
        </w:tc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覆盖越宽，越能推动系统性数据治理；窄范围仅改善局部</w:t>
            </w:r>
          </w:p>
        </w:tc>
      </w:tr>
      <w:tr>
        <w:tc>
          <w:tcPr>
            <w:tcW w:w="2256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组织覆盖</w:t>
            </w:r>
          </w:p>
        </w:tc>
        <w:tc>
          <w:tcPr>
            <w:tcW w:w="2256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仅总部/合并层面汇总数</w:t>
            </w:r>
          </w:p>
        </w:tc>
        <w:tc>
          <w:tcPr>
            <w:tcW w:w="2256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抽样到分子公司、单厂、单装置</w:t>
            </w:r>
          </w:p>
        </w:tc>
        <w:tc>
          <w:tcPr>
            <w:tcW w:w="2256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下沉越深，差错发现率越高，整改越触及业务端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保证等级</w:t>
            </w:r>
          </w:p>
        </w:tc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Limited assurance（消极表述）</w:t>
            </w:r>
          </w:p>
        </w:tc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Reasonable assurance（积极表述）</w:t>
            </w:r>
          </w:p>
        </w:tc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等级越高，程序越实质，但成本与可操作性约束强</w:t>
            </w:r>
          </w:p>
        </w:tc>
      </w:tr>
    </w:tbl>
    <w:p>
      <w:pPr>
        <w:spacing w:before="0" w:after="60" w:line="300" w:lineRule="auto"/>
      </w:pPr>
      <w:r>
        <w:t xml:space="preserve"/>
      </w:r>
    </w:p>
    <w:p>
      <w:pStyle w:val="Heading2"/>
      <w:keepNext/>
      <w:pPr>
        <w:spacing w:before="220" w:after="100" w:line="300" w:lineRule="auto"/>
      </w:pPr>
      <w:r>
        <w:t xml:space="preserve">5.2 核心判断（本部分的一个"反常识点"，适合做 PPT 高亮页）</w:t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b/>
          <w:color w:val="404040"/>
        </w:rPr>
        <w:t xml:space="preserve">鉴证范围的"宽度"比"等级"更能改善信息质量。</w:t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color w:val="404040"/>
        </w:rPr>
        <w:t xml:space="preserve">原因：limited assurance 下仍可通过扩大指标与组织覆盖获取实质证据；而 reasonable assurance 若范围只有 1 个指标，改善只发生在 1 个指标上。因此"扩围"是性价比更高的改进路径。</w:t>
      </w:r>
    </w:p>
    <w:p>
      <w:pPr>
        <w:spacing w:before="0" w:after="110" w:line="300" w:lineRule="auto"/>
      </w:pPr>
      <w:r>
        <w:t xml:space="preserve">配套证据逻辑：</w:t>
      </w:r>
    </w:p>
    <w:p>
      <w:pPr>
        <w:spacing w:before="0" w:after="60" w:line="290" w:lineRule="auto"/>
        <w:ind w:left="360"/>
      </w:pPr>
      <w:r>
        <w:t xml:space="preserve">• 同一企业跨年度比较：</w:t>
      </w:r>
      <w:r>
        <w:rPr>
          <w:b/>
        </w:rPr>
        <w:t xml:space="preserve">鉴证范围扩大年度的数据重述/更正条数通常上升</w:t>
      </w:r>
      <w:r>
        <w:t xml:space="preserve">（发现能力提升），随后年度趋于稳定（治理见效）——形成"先升后降"的倒 U 型。</w:t>
      </w:r>
    </w:p>
    <w:p>
      <w:pPr>
        <w:spacing w:before="0" w:after="60" w:line="290" w:lineRule="auto"/>
        <w:ind w:left="360"/>
      </w:pPr>
      <w:r>
        <w:t xml:space="preserve">• 跨企业比较：鉴证覆盖指标数越多的企业，其披露的</w:t>
      </w:r>
      <w:r>
        <w:rPr>
          <w:b/>
        </w:rPr>
        <w:t xml:space="preserve">量化指标占比、年度可比性、第三方数据一致性</w:t>
      </w:r>
      <w:r>
        <w:t xml:space="preserve">越好。</w:t>
      </w:r>
    </w:p>
    <w:p>
      <w:pStyle w:val="Heading2"/>
      <w:keepNext/>
      <w:pPr>
        <w:spacing w:before="220" w:after="100" w:line="300" w:lineRule="auto"/>
      </w:pPr>
      <w:r>
        <w:t xml:space="preserve">5.3 案例映射</w:t>
      </w:r>
    </w:p>
    <w:p>
      <w:pPr>
        <w:spacing w:before="0" w:after="60" w:line="290" w:lineRule="auto"/>
        <w:ind w:left="360"/>
      </w:pPr>
      <w:r>
        <w:t xml:space="preserve">• 中石化：鉴证/审验的指标范围相对集中于核心环境与安全数据；相较 Shell、BP 覆盖全部关键指标 + 部分定性陈述的做法，属于</w:t>
      </w:r>
      <w:r>
        <w:rPr>
          <w:b/>
        </w:rPr>
        <w:t xml:space="preserve">中等宽度</w:t>
      </w:r>
      <w:r>
        <w:t xml:space="preserve">。</w:t>
      </w:r>
    </w:p>
    <w:p>
      <w:pPr>
        <w:spacing w:before="0" w:after="60" w:line="290" w:lineRule="auto"/>
        <w:ind w:left="360"/>
      </w:pPr>
      <w:r>
        <w:t xml:space="preserve">• Shell / BP：Sustainability Report 的独立鉴证（limited assurance）覆盖温室气体排放（范围一/二/部分范围三）、安全指标、部分社会指标，并</w:t>
      </w:r>
      <w:r>
        <w:rPr>
          <w:b/>
        </w:rPr>
        <w:t xml:space="preserve">逐年扩围</w:t>
      </w:r>
      <w:r>
        <w:t xml:space="preserve">（例如把范围三类别逐步纳入）→ 是"扩围驱动改善"的典型样本。</w:t>
      </w:r>
    </w:p>
    <w:p>
      <w:pPr>
        <w:spacing w:before="0" w:after="40" w:line="300" w:lineRule="auto"/>
        <w:pBdr>
          <w:bottom w:val="single" w:sz="8" w:space="2" w:color="B4C6E7"/>
        </w:pBdr>
      </w:pPr>
      <w:r>
        <w:t xml:space="preserve"/>
      </w:r>
    </w:p>
    <w:p>
      <w:pStyle w:val="Heading1"/>
      <w:keepNext/>
      <w:pPr>
        <w:spacing w:before="320" w:after="140" w:line="280" w:lineRule="auto"/>
        <w:pBdr>
          <w:bottom w:val="single" w:sz="8" w:space="2" w:color="B4C6E7"/>
        </w:pBdr>
      </w:pPr>
      <w:r>
        <w:t xml:space="preserve">6. 鉴证可能存在的形式化问题（本部分的批判性分析）</w:t>
      </w:r>
    </w:p>
    <w:p>
      <w:pStyle w:val="Heading2"/>
      <w:keepNext/>
      <w:pPr>
        <w:spacing w:before="220" w:after="100" w:line="300" w:lineRule="auto"/>
      </w:pPr>
      <w:r>
        <w:t xml:space="preserve">6.1 六种形式化表现</w:t>
      </w:r>
    </w:p>
    <w:p>
      <w:pPr>
        <w:spacing w:before="0" w:after="60" w:line="290" w:lineRule="auto"/>
        <w:ind w:left="360"/>
      </w:pPr>
      <w:r>
        <w:t xml:space="preserve">1. </w:t>
      </w:r>
      <w:r>
        <w:rPr>
          <w:b/>
        </w:rPr>
        <w:t xml:space="preserve">范围形式化</w:t>
      </w:r>
      <w:r>
        <w:t xml:space="preserve">：只鉴证"企业已经算得准的指标"，回避难点（范围三、供应链、生态影响）→ 保证的是"容易保证的部分"。</w:t>
      </w:r>
    </w:p>
    <w:p>
      <w:pPr>
        <w:spacing w:before="0" w:after="60" w:line="290" w:lineRule="auto"/>
        <w:ind w:left="360"/>
      </w:pPr>
      <w:r>
        <w:t xml:space="preserve">2. </w:t>
      </w:r>
      <w:r>
        <w:rPr>
          <w:b/>
        </w:rPr>
        <w:t xml:space="preserve">程序形式化</w:t>
      </w:r>
      <w:r>
        <w:t xml:space="preserve">：以访谈和汇总表核对为主，不做现场走访与原始凭证穿行，实质是"文审"。</w:t>
      </w:r>
    </w:p>
    <w:p>
      <w:pPr>
        <w:spacing w:before="0" w:after="60" w:line="290" w:lineRule="auto"/>
        <w:ind w:left="360"/>
      </w:pPr>
      <w:r>
        <w:t xml:space="preserve">3. </w:t>
      </w:r>
      <w:r>
        <w:rPr>
          <w:b/>
        </w:rPr>
        <w:t xml:space="preserve">结论形式化</w:t>
      </w:r>
      <w:r>
        <w:t xml:space="preserve">：意见页高度模板化（"未发现重大不一致"），不披露发现的问题数量与整改情况，使用者无法据以判断质量。</w:t>
      </w:r>
    </w:p>
    <w:p>
      <w:pPr>
        <w:spacing w:before="0" w:after="60" w:line="290" w:lineRule="auto"/>
        <w:ind w:left="360"/>
      </w:pPr>
      <w:r>
        <w:t xml:space="preserve">4. </w:t>
      </w:r>
      <w:r>
        <w:rPr>
          <w:b/>
        </w:rPr>
        <w:t xml:space="preserve">独立性形式化</w:t>
      </w:r>
      <w:r>
        <w:t xml:space="preserve">：鉴证机构同时提供报告编制/咨询/碳核算服务，"自己鉴证自己的产出"。</w:t>
      </w:r>
    </w:p>
    <w:p>
      <w:pPr>
        <w:spacing w:before="0" w:after="60" w:line="290" w:lineRule="auto"/>
        <w:ind w:left="360"/>
      </w:pPr>
      <w:r>
        <w:t xml:space="preserve">5. </w:t>
      </w:r>
      <w:r>
        <w:rPr>
          <w:b/>
        </w:rPr>
        <w:t xml:space="preserve">激励形式化</w:t>
      </w:r>
      <w:r>
        <w:t xml:space="preserve">：鉴证动机来自"报告好看/评级需要/监管跟风"，预算与时间被压缩，企业只求"盖章"。</w:t>
      </w:r>
    </w:p>
    <w:p>
      <w:pPr>
        <w:spacing w:before="0" w:after="60" w:line="290" w:lineRule="auto"/>
        <w:ind w:left="360"/>
      </w:pPr>
      <w:r>
        <w:t xml:space="preserve">6. </w:t>
      </w:r>
      <w:r>
        <w:rPr>
          <w:b/>
        </w:rPr>
        <w:t xml:space="preserve">标准形式化</w:t>
      </w:r>
      <w:r>
        <w:t xml:space="preserve">：标准选择随意（ISAE 3000 与 AA1000AS 混用）、重要性门槛不披露、意见表述含糊（"未发现"与"未能发现"混用）。</w:t>
      </w:r>
    </w:p>
    <w:p>
      <w:pStyle w:val="Heading2"/>
      <w:keepNext/>
      <w:pPr>
        <w:spacing w:before="220" w:after="100" w:line="300" w:lineRule="auto"/>
      </w:pPr>
      <w:r>
        <w:t xml:space="preserve">6.2 形式化的后果</w:t>
      </w:r>
    </w:p>
    <w:p>
      <w:pPr>
        <w:spacing w:before="0" w:after="60" w:line="290" w:lineRule="auto"/>
        <w:ind w:left="360"/>
      </w:pPr>
      <w:r>
        <w:t xml:space="preserve">• 鉴证</w:t>
      </w:r>
      <w:r>
        <w:rPr>
          <w:b/>
        </w:rPr>
        <w:t xml:space="preserve">信号价值衰减</w:t>
      </w:r>
      <w:r>
        <w:t xml:space="preserve">：当市场普遍知道鉴证只是"盖章"，鉴证溢价消失，出现"柠檬市场"——认真鉴证的企业成本更高却无差别回报。</w:t>
      </w:r>
    </w:p>
    <w:p>
      <w:pPr>
        <w:spacing w:before="0" w:after="60" w:line="290" w:lineRule="auto"/>
        <w:ind w:left="360"/>
      </w:pPr>
      <w:r>
        <w:t xml:space="preserve">• </w:t>
      </w:r>
      <w:r>
        <w:rPr>
          <w:b/>
        </w:rPr>
        <w:t xml:space="preserve">信息质量不升反降</w:t>
      </w:r>
      <w:r>
        <w:t xml:space="preserve">：虚假的安全感使使用者过度信任未经实质验证的数据。</w:t>
      </w:r>
    </w:p>
    <w:p>
      <w:pPr>
        <w:spacing w:before="0" w:after="60" w:line="290" w:lineRule="auto"/>
        <w:ind w:left="360"/>
      </w:pPr>
      <w:r>
        <w:t xml:space="preserve">• 对研究的意义：因此"是否鉴证"作为变量本身不够，</w:t>
      </w:r>
      <w:r>
        <w:rPr>
          <w:b/>
        </w:rPr>
        <w:t xml:space="preserve">必须引入"鉴证质量/范围/独立性"作为调节变量</w:t>
      </w:r>
      <w:r>
        <w:t xml:space="preserve">，这构成本研究的创新点。</w:t>
      </w:r>
    </w:p>
    <w:p>
      <w:pStyle w:val="Heading2"/>
      <w:keepNext/>
      <w:pPr>
        <w:spacing w:before="220" w:after="100" w:line="300" w:lineRule="auto"/>
      </w:pPr>
      <w:r>
        <w:t xml:space="preserve">6.3 案例映射（可用于反问式论证）</w:t>
      </w:r>
    </w:p>
    <w:p>
      <w:pPr>
        <w:spacing w:before="0" w:after="60" w:line="290" w:lineRule="auto"/>
        <w:ind w:left="360"/>
      </w:pPr>
      <w:r>
        <w:t xml:space="preserve">• 中石油与中石化</w:t>
      </w:r>
      <w:r>
        <w:rPr>
          <w:b/>
        </w:rPr>
        <w:t xml:space="preserve">均有第三方审验/鉴证</w:t>
      </w:r>
      <w:r>
        <w:t xml:space="preserve">，但两者信息质量仍存在差异 → 直接说明"有无鉴证"不足以解释差异，"鉴证范围与实质程度"才是解释变量。</w:t>
      </w:r>
    </w:p>
    <w:p>
      <w:pPr>
        <w:spacing w:before="0" w:after="60" w:line="290" w:lineRule="auto"/>
        <w:ind w:left="360"/>
      </w:pPr>
      <w:r>
        <w:t xml:space="preserve">• Shell / BP 的鉴证虽由国际大所执行、标准明确（ISAE 3000 / ISAE 3410 温室气体），仍被批评"边界设定由企业主导"（企业决定什么是 material）→ 说明形式化是</w:t>
      </w:r>
      <w:r>
        <w:rPr>
          <w:b/>
        </w:rPr>
        <w:t xml:space="preserve">结构性风险，不因机构名气自动消失</w:t>
      </w:r>
      <w:r>
        <w:t xml:space="preserve">。</w:t>
      </w:r>
    </w:p>
    <w:p>
      <w:pPr>
        <w:spacing w:before="0" w:after="40" w:line="300" w:lineRule="auto"/>
        <w:pBdr>
          <w:bottom w:val="single" w:sz="8" w:space="2" w:color="B4C6E7"/>
        </w:pBdr>
      </w:pPr>
      <w:r>
        <w:t xml:space="preserve"/>
      </w:r>
    </w:p>
    <w:p>
      <w:pStyle w:val="Heading1"/>
      <w:keepNext/>
      <w:pPr>
        <w:spacing w:before="320" w:after="140" w:line="280" w:lineRule="auto"/>
        <w:pBdr>
          <w:bottom w:val="single" w:sz="8" w:space="2" w:color="B4C6E7"/>
        </w:pBdr>
      </w:pPr>
      <w:r>
        <w:t xml:space="preserve">7. 企业与鉴证机构的改进路径</w:t>
      </w:r>
    </w:p>
    <w:p>
      <w:pStyle w:val="Heading2"/>
      <w:keepNext/>
      <w:pPr>
        <w:spacing w:before="220" w:after="100" w:line="300" w:lineRule="auto"/>
      </w:pPr>
      <w:r>
        <w:t xml:space="preserve">7.1 企业侧（六条，可做成"行动清单"页）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w="2256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序号</w:t>
            </w:r>
          </w:p>
        </w:tc>
        <w:tc>
          <w:tcPr>
            <w:tcW w:w="2256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措施</w:t>
            </w:r>
          </w:p>
        </w:tc>
        <w:tc>
          <w:tcPr>
            <w:tcW w:w="2256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落地抓手</w:t>
            </w:r>
          </w:p>
        </w:tc>
        <w:tc>
          <w:tcPr>
            <w:tcW w:w="2256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预期改善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建立 ESG 数据治理制度</w:t>
            </w:r>
          </w:p>
        </w:tc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数据管理手册 + 指标字典 + 上年度重述规则</w:t>
            </w:r>
          </w:p>
        </w:tc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口径一致、可比性↑</w:t>
            </w:r>
          </w:p>
        </w:tc>
      </w:tr>
      <w:tr>
        <w:tc>
          <w:tcPr>
            <w:tcW w:w="2256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2256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系统化与可追溯</w:t>
            </w:r>
          </w:p>
        </w:tc>
        <w:tc>
          <w:tcPr>
            <w:tcW w:w="2256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ERP/EMS 直连、台账三级同构、凭证留痕</w:t>
            </w:r>
          </w:p>
        </w:tc>
        <w:tc>
          <w:tcPr>
            <w:tcW w:w="2256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可靠性↑、鉴证成本↓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内审前置</w:t>
            </w:r>
          </w:p>
        </w:tc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ESG 关键指标纳入内审年度计划</w:t>
            </w:r>
          </w:p>
        </w:tc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差错在外部鉴证前被发现</w:t>
            </w:r>
          </w:p>
        </w:tc>
      </w:tr>
      <w:tr>
        <w:tc>
          <w:tcPr>
            <w:tcW w:w="2256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256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责任与考核挂钩</w:t>
            </w:r>
          </w:p>
        </w:tc>
        <w:tc>
          <w:tcPr>
            <w:tcW w:w="2256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指标 owner + 数据差错率入考核</w:t>
            </w:r>
          </w:p>
        </w:tc>
        <w:tc>
          <w:tcPr>
            <w:tcW w:w="2256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整改闭环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主动扩围</w:t>
            </w:r>
          </w:p>
        </w:tc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逐年把 1–2 个难指标（范围三、供应链）纳入鉴证</w:t>
            </w:r>
          </w:p>
        </w:tc>
        <w:tc>
          <w:tcPr>
            <w:tcW w:w="2256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渐进式质量提升</w:t>
            </w:r>
          </w:p>
        </w:tc>
      </w:tr>
      <w:tr>
        <w:tc>
          <w:tcPr>
            <w:tcW w:w="2256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2256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提高披露颗粒度</w:t>
            </w:r>
          </w:p>
        </w:tc>
        <w:tc>
          <w:tcPr>
            <w:tcW w:w="2256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量化指标占比、目标—进度—差距三栏披露</w:t>
            </w:r>
          </w:p>
        </w:tc>
        <w:tc>
          <w:tcPr>
            <w:tcW w:w="2256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完整性↑、可验证性↑</w:t>
            </w:r>
          </w:p>
        </w:tc>
      </w:tr>
    </w:tbl>
    <w:p>
      <w:pPr>
        <w:spacing w:before="0" w:after="60" w:line="300" w:lineRule="auto"/>
      </w:pPr>
      <w:r>
        <w:t xml:space="preserve"/>
      </w:r>
    </w:p>
    <w:p>
      <w:pStyle w:val="Heading2"/>
      <w:keepNext/>
      <w:pPr>
        <w:spacing w:before="220" w:after="100" w:line="300" w:lineRule="auto"/>
      </w:pPr>
      <w:r>
        <w:t xml:space="preserve">7.2 鉴证机构侧（五条）</w:t>
      </w:r>
    </w:p>
    <w:p>
      <w:pPr>
        <w:spacing w:before="0" w:after="60" w:line="290" w:lineRule="auto"/>
        <w:ind w:left="360"/>
      </w:pPr>
      <w:r>
        <w:t xml:space="preserve">1. </w:t>
      </w:r>
      <w:r>
        <w:rPr>
          <w:b/>
        </w:rPr>
        <w:t xml:space="preserve">穿透式程序</w:t>
      </w:r>
      <w:r>
        <w:t xml:space="preserve">：强制对抽样厂区现场走访 + 原始凭证穿行测试，抽样比例与抽样方法在报告中披露。</w:t>
      </w:r>
    </w:p>
    <w:p>
      <w:pPr>
        <w:spacing w:before="0" w:after="60" w:line="290" w:lineRule="auto"/>
        <w:ind w:left="360"/>
      </w:pPr>
      <w:r>
        <w:t xml:space="preserve">2. </w:t>
      </w:r>
      <w:r>
        <w:rPr>
          <w:b/>
        </w:rPr>
        <w:t xml:space="preserve">意见内容升级</w:t>
      </w:r>
      <w:r>
        <w:t xml:space="preserve">：除结论外，披露</w:t>
      </w:r>
      <w:r>
        <w:rPr>
          <w:b/>
        </w:rPr>
        <w:t xml:space="preserve">发现问题数量、问题类型、整改建议条数</w:t>
      </w:r>
      <w:r>
        <w:t xml:space="preserve">（"短式意见"→"长式意见"），让鉴证本身携带信息。</w:t>
      </w:r>
    </w:p>
    <w:p>
      <w:pPr>
        <w:spacing w:before="0" w:after="60" w:line="290" w:lineRule="auto"/>
        <w:ind w:left="360"/>
      </w:pPr>
      <w:r>
        <w:t xml:space="preserve">3. </w:t>
      </w:r>
      <w:r>
        <w:rPr>
          <w:b/>
        </w:rPr>
        <w:t xml:space="preserve">门槛披露</w:t>
      </w:r>
      <w:r>
        <w:t xml:space="preserve">：公开重要性门槛设定方法与鉴证范围清单（哪些指标、哪些主体、哪些期间）。</w:t>
      </w:r>
    </w:p>
    <w:p>
      <w:pPr>
        <w:spacing w:before="0" w:after="60" w:line="290" w:lineRule="auto"/>
        <w:ind w:left="360"/>
      </w:pPr>
      <w:r>
        <w:t xml:space="preserve">4. </w:t>
      </w:r>
      <w:r>
        <w:rPr>
          <w:b/>
        </w:rPr>
        <w:t xml:space="preserve">独立性硬约束</w:t>
      </w:r>
      <w:r>
        <w:t xml:space="preserve">：鉴证与编制/咨询业务分离，同一客户非鉴证服务收入占比披露；鉴证项目合伙人轮换。</w:t>
      </w:r>
    </w:p>
    <w:p>
      <w:pPr>
        <w:spacing w:before="0" w:after="60" w:line="290" w:lineRule="auto"/>
        <w:ind w:left="360"/>
      </w:pPr>
      <w:r>
        <w:t xml:space="preserve">5. </w:t>
      </w:r>
      <w:r>
        <w:rPr>
          <w:b/>
        </w:rPr>
        <w:t xml:space="preserve">标准统一</w:t>
      </w:r>
      <w:r>
        <w:t xml:space="preserve">：统一采用 ISAE 3000（修订版）/ ISAE 3410，明确保证等级与表述用语，禁止"未发现"类模糊措辞。</w:t>
      </w:r>
    </w:p>
    <w:p>
      <w:pStyle w:val="Heading2"/>
      <w:keepNext/>
      <w:pPr>
        <w:spacing w:before="220" w:after="100" w:line="300" w:lineRule="auto"/>
      </w:pPr>
      <w:r>
        <w:t xml:space="preserve">7.3 制度/监管侧（补一条，PPT 收尾用）</w:t>
      </w:r>
    </w:p>
    <w:p>
      <w:pPr>
        <w:spacing w:before="0" w:after="60" w:line="290" w:lineRule="auto"/>
        <w:ind w:left="360"/>
      </w:pPr>
      <w:r>
        <w:t xml:space="preserve">• 强制或分行业强制鉴证（如欧盟 CSRD 要求 limited assurance 并逐步过渡到 reasonable assurance）；</w:t>
      </w:r>
    </w:p>
    <w:p>
      <w:pPr>
        <w:spacing w:before="0" w:after="60" w:line="290" w:lineRule="auto"/>
        <w:ind w:left="360"/>
      </w:pPr>
      <w:r>
        <w:t xml:space="preserve">• 建立鉴证机构备案与质量检查、公开处罚；</w:t>
      </w:r>
    </w:p>
    <w:p>
      <w:pPr>
        <w:spacing w:before="0" w:after="60" w:line="290" w:lineRule="auto"/>
        <w:ind w:left="360"/>
      </w:pPr>
      <w:r>
        <w:t xml:space="preserve">• 建立 ESG 数据重述与更正的披露规则（何时必须发更正公告）。</w:t>
      </w:r>
    </w:p>
    <w:p>
      <w:pPr>
        <w:spacing w:before="0" w:after="40" w:line="300" w:lineRule="auto"/>
        <w:pBdr>
          <w:bottom w:val="single" w:sz="8" w:space="2" w:color="B4C6E7"/>
        </w:pBdr>
      </w:pPr>
      <w:r>
        <w:t xml:space="preserve"/>
      </w:r>
    </w:p>
    <w:p>
      <w:pStyle w:val="Heading1"/>
      <w:keepNext/>
      <w:pPr>
        <w:spacing w:before="320" w:after="140" w:line="280" w:lineRule="auto"/>
        <w:pBdr>
          <w:bottom w:val="single" w:sz="8" w:space="2" w:color="B4C6E7"/>
        </w:pBdr>
      </w:pPr>
      <w:r>
        <w:t xml:space="preserve">8. 结合案例回答研究问题 + 总体结论</w:t>
      </w:r>
    </w:p>
    <w:p>
      <w:pStyle w:val="Heading2"/>
      <w:keepNext/>
      <w:pPr>
        <w:spacing w:before="220" w:after="100" w:line="300" w:lineRule="auto"/>
      </w:pPr>
      <w:r>
        <w:t xml:space="preserve">8.1 研究问题（对应本部分要回答的三问）</w:t>
      </w:r>
    </w:p>
    <w:p>
      <w:pPr>
        <w:spacing w:before="0" w:after="60" w:line="290" w:lineRule="auto"/>
        <w:ind w:left="360"/>
      </w:pPr>
      <w:r>
        <w:t xml:space="preserve">• </w:t>
      </w:r>
      <w:r>
        <w:rPr>
          <w:b/>
        </w:rPr>
        <w:t xml:space="preserve">RQ1</w:t>
      </w:r>
      <w:r>
        <w:t xml:space="preserve">：第三方鉴证是否显著改善 ESG 信息质量？</w:t>
      </w:r>
    </w:p>
    <w:p>
      <w:pPr>
        <w:spacing w:before="0" w:after="60" w:line="290" w:lineRule="auto"/>
        <w:ind w:left="360"/>
      </w:pPr>
      <w:r>
        <w:t xml:space="preserve">• </w:t>
      </w:r>
      <w:r>
        <w:rPr>
          <w:b/>
        </w:rPr>
        <w:t xml:space="preserve">RQ2</w:t>
      </w:r>
      <w:r>
        <w:t xml:space="preserve">：改善通过什么机制实现（作用链条）？</w:t>
      </w:r>
    </w:p>
    <w:p>
      <w:pPr>
        <w:spacing w:before="0" w:after="60" w:line="290" w:lineRule="auto"/>
        <w:ind w:left="360"/>
      </w:pPr>
      <w:r>
        <w:t xml:space="preserve">• </w:t>
      </w:r>
      <w:r>
        <w:rPr>
          <w:b/>
        </w:rPr>
        <w:t xml:space="preserve">RQ3</w:t>
      </w:r>
      <w:r>
        <w:t xml:space="preserve">：为什么同有鉴证的企业质量仍不同？鉴证的什么特征决定效果？</w:t>
      </w:r>
    </w:p>
    <w:p>
      <w:pStyle w:val="Heading2"/>
      <w:keepNext/>
      <w:pPr>
        <w:spacing w:before="220" w:after="100" w:line="300" w:lineRule="auto"/>
      </w:pPr>
      <w:r>
        <w:t xml:space="preserve">8.2 案例对照表（PPT 核心大表，建议整页呈现）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w="1805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维度</w:t>
            </w:r>
          </w:p>
        </w:tc>
        <w:tc>
          <w:tcPr>
            <w:tcW w:w="1805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中石化（案例组）</w:t>
            </w:r>
          </w:p>
        </w:tc>
        <w:tc>
          <w:tcPr>
            <w:tcW w:w="1805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中石油（对照组）</w:t>
            </w:r>
          </w:p>
        </w:tc>
        <w:tc>
          <w:tcPr>
            <w:tcW w:w="1805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Shell</w:t>
            </w:r>
          </w:p>
        </w:tc>
        <w:tc>
          <w:tcPr>
            <w:tcW w:w="1805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BP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是否有第三方鉴证/审验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有（审验/鉴证）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有（审验/鉴证）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有（limited assurance）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有（limited assurance）</w:t>
            </w:r>
          </w:p>
        </w:tc>
      </w:tr>
      <w:tr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鉴证标准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ISAE 3000 类 / 国内审验规范（待核实）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同类（待核实）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ISAE 3000 / ISAE 3410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ISAE 3000 / ISAE 3410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鉴证机构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待核实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待核实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待核实（国际大所）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待核实（国际大所）</w:t>
            </w:r>
          </w:p>
        </w:tc>
      </w:tr>
      <w:tr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覆盖指标范围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中（核心环境+安全为主）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中偏窄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宽（排放/安全/社会，含部分范围三）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宽（同左，强调甲烷与低碳投入）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保证等级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Limited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Limited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Limited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Limited</w:t>
            </w:r>
          </w:p>
        </w:tc>
      </w:tr>
      <w:tr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量化指标占比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较低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年度可比性/重述说明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有，颗粒度一般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有，颗粒度较低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高，目标口径变更时有说明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高，重大事件后多次重述</w:t>
            </w:r>
          </w:p>
        </w:tc>
      </w:tr>
      <w:tr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形式化风险点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范围回避难点、意见模板化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同左，且内审介入较弱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边界由企业主导、目标调整削弱可比性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战略反复导致目标口径变动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信息质量总体判断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中上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高（但目标稳定性弱）</w:t>
            </w:r>
          </w:p>
        </w:tc>
      </w:tr>
    </w:tbl>
    <w:p>
      <w:pPr>
        <w:spacing w:before="0" w:after="60" w:line="300" w:lineRule="auto"/>
      </w:pPr>
      <w:r>
        <w:t xml:space="preserve"/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color w:val="404040"/>
        </w:rPr>
        <w:t xml:space="preserve">表中"待核实"项见第 10 节清单，务必核对最新年度报告与鉴证报告原文后再定稿。</w:t>
      </w:r>
    </w:p>
    <w:p>
      <w:pStyle w:val="Heading2"/>
      <w:keepNext/>
      <w:pPr>
        <w:spacing w:before="220" w:after="100" w:line="300" w:lineRule="auto"/>
      </w:pPr>
      <w:r>
        <w:t xml:space="preserve">8.3 结论（三条，直接对应 RQ1–RQ3）</w:t>
      </w:r>
    </w:p>
    <w:p>
      <w:pPr>
        <w:spacing w:before="0" w:after="60" w:line="290" w:lineRule="auto"/>
        <w:ind w:left="360"/>
      </w:pPr>
      <w:r>
        <w:t xml:space="preserve">1. </w:t>
      </w:r>
      <w:r>
        <w:rPr>
          <w:b/>
        </w:rPr>
        <w:t xml:space="preserve">RQ1｜鉴证有改善作用，但边际递减且非自动</w:t>
      </w:r>
      <w:r>
        <w:t xml:space="preserve">：鉴证通过"发现问题—推动整改—统一口径"的路径改善可靠性、可比性与完整性；但改善幅度取决于整改是否落地，而非是否出具了意见页。</w:t>
      </w:r>
    </w:p>
    <w:p>
      <w:pPr>
        <w:spacing w:before="0" w:after="60" w:line="290" w:lineRule="auto"/>
        <w:ind w:left="360"/>
      </w:pPr>
      <w:r>
        <w:t xml:space="preserve">2. </w:t>
      </w:r>
      <w:r>
        <w:rPr>
          <w:b/>
        </w:rPr>
        <w:t xml:space="preserve">RQ2｜作用链条的关键不是"意见"，是"管理建议书 + 整改闭环 + 次年复核"</w:t>
      </w:r>
      <w:r>
        <w:t xml:space="preserve">：鉴证真正改变企业行为的时点是证据收集与偏差反馈阶段，而非报告发布阶段。因此评价鉴证效果应看</w:t>
      </w:r>
      <w:r>
        <w:rPr>
          <w:b/>
        </w:rPr>
        <w:t xml:space="preserve">次年数据基线是否被重建</w:t>
      </w:r>
      <w:r>
        <w:t xml:space="preserve">。</w:t>
      </w:r>
    </w:p>
    <w:p>
      <w:pPr>
        <w:spacing w:before="0" w:after="60" w:line="290" w:lineRule="auto"/>
        <w:ind w:left="360"/>
      </w:pPr>
      <w:r>
        <w:t xml:space="preserve">3. </w:t>
      </w:r>
      <w:r>
        <w:rPr>
          <w:b/>
        </w:rPr>
        <w:t xml:space="preserve">RQ3｜解释企业间质量差异的，是鉴证的"范围宽度 × 独立性 × 意见信息量"，不是"有无鉴证"</w:t>
      </w:r>
      <w:r>
        <w:t xml:space="preserve">：中石化与中石油均有鉴证却质量有别，Shell/BP 鉴证成熟但仍受"边界自定"制约 → 结论是</w:t>
      </w:r>
      <w:r>
        <w:rPr>
          <w:b/>
        </w:rPr>
        <w:t xml:space="preserve">"扩围 + 穿透 + 长式意见"是比"提高保证等级"更有效的改进方向</w:t>
      </w:r>
      <w:r>
        <w:t xml:space="preserve">。</w:t>
      </w:r>
    </w:p>
    <w:p>
      <w:pStyle w:val="Heading2"/>
      <w:keepNext/>
      <w:pPr>
        <w:spacing w:before="220" w:after="100" w:line="300" w:lineRule="auto"/>
      </w:pPr>
      <w:r>
        <w:t xml:space="preserve">8.4 一句话总纲（PPT 结尾金句）</w:t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b/>
          <w:color w:val="404040"/>
        </w:rPr>
        <w:t xml:space="preserve">鉴证的价值不在那页意见书，而在它逼出来的那本台账。</w:t>
      </w:r>
    </w:p>
    <w:p>
      <w:pPr>
        <w:spacing w:before="0" w:after="40" w:line="300" w:lineRule="auto"/>
        <w:pBdr>
          <w:bottom w:val="single" w:sz="8" w:space="2" w:color="B4C6E7"/>
        </w:pBdr>
      </w:pPr>
      <w:r>
        <w:t xml:space="preserve"/>
      </w:r>
    </w:p>
    <w:p>
      <w:pStyle w:val="Heading1"/>
      <w:keepNext/>
      <w:pPr>
        <w:spacing w:before="320" w:after="140" w:line="280" w:lineRule="auto"/>
        <w:pBdr>
          <w:bottom w:val="single" w:sz="8" w:space="2" w:color="B4C6E7"/>
        </w:pBdr>
      </w:pPr>
      <w:r>
        <w:t xml:space="preserve">9. PPT 分页脚本（建议 6 页正文 + 1 页过渡）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w="1805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页</w:t>
            </w:r>
          </w:p>
        </w:tc>
        <w:tc>
          <w:tcPr>
            <w:tcW w:w="1805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标题</w:t>
            </w:r>
          </w:p>
        </w:tc>
        <w:tc>
          <w:tcPr>
            <w:tcW w:w="1805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版式</w:t>
            </w:r>
          </w:p>
        </w:tc>
        <w:tc>
          <w:tcPr>
            <w:tcW w:w="1805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内容要点</w:t>
            </w:r>
          </w:p>
        </w:tc>
        <w:tc>
          <w:tcPr>
            <w:tcW w:w="1805" w:type="dxa"/>
            <w:vAlign w:val="center"/>
            <w:shd w:val="clear" w:color="auto" w:fill="DEEAF6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sz w:val="19"/>
                <w:szCs w:val="19"/>
              </w:rPr>
              <w:t xml:space="preserve">图表建议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过渡页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第六部分：鉴证作用机制与改进路径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单句大标题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"前五部分证明了差距存在，这一部分解释差距怎么被维持或消除"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深色底、一条上升箭头</w:t>
            </w:r>
          </w:p>
        </w:tc>
      </w:tr>
      <w:tr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从鉴证程序到披露改善：一条八环链条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横向流程图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第 1 节 8 环；高亮"证据环/整改环/问责环"三处断点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流程图 + 三处红色断点标记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数据口径与内部责任：鉴证可行的两块地基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左右双栏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左：口径五问题 + 四条改善；右：三层防线表 + 责任三设计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左"痛点条"，右同心圆三层</w:t>
            </w:r>
          </w:p>
        </w:tc>
      </w:tr>
      <w:tr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P3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差错闭环与鉴证范围：效果的两个杠杆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上半四步闭环 + 下半三维范围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第 4 节闭环四步（含重大性门槛）；第 5 节范围三维表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闭环箭头图 + 范围雷达图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P4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反直觉判断：宽度比等级更重要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大字观点页 + 迷你证据图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第 5.2 节判断 + 倒 U 型证据逻辑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倒 U 型曲线（范围扩大→重述数先升后降）</w:t>
            </w:r>
          </w:p>
        </w:tc>
      </w:tr>
      <w:tr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P5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形式化的六种表现与后果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2×3 六宫格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第 6 节六种表现，右下角标"信号价值衰减/柠檬市场"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六宫格 + 底部一句后果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P6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改进路径与总体结论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三栏（企业/机构/监管）+ 结论三条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第 7 节清单精简为 6+5+2；结论三条对应 RQ1-3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三栏清单 + 底部金句条</w:t>
            </w:r>
          </w:p>
        </w:tc>
      </w:tr>
      <w:tr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P7（备用/答辩用）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案例对照表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大表格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第 8.2 节全表</w:t>
            </w:r>
          </w:p>
        </w:tc>
        <w:tc>
          <w:tcPr>
            <w:tcW w:w="1805" w:type="dxa"/>
            <w:vAlign w:val="center"/>
            <w:shd w:val="clear" w:color="auto" w:fill="F7F9FC"/>
          </w:tcPr>
          <w:p>
            <w:pPr>
              <w:spacing w:before="20" w:after="20" w:line="240" w:lineRule="auto"/>
              <w:jc w:val="left"/>
            </w:pPr>
            <w:r>
              <w:rPr>
                <w:sz w:val="19"/>
                <w:szCs w:val="19"/>
              </w:rPr>
              <w:t xml:space="preserve">表格，中石化列高亮</w:t>
            </w:r>
          </w:p>
        </w:tc>
      </w:tr>
    </w:tbl>
    <w:p>
      <w:pPr>
        <w:spacing w:before="0" w:after="60" w:line="300" w:lineRule="auto"/>
      </w:pPr>
      <w:r>
        <w:t xml:space="preserve"/>
      </w:r>
    </w:p>
    <w:p>
      <w:pPr>
        <w:spacing w:before="0" w:after="110" w:line="300" w:lineRule="auto"/>
      </w:pPr>
      <w:r>
        <w:t xml:space="preserve">时间控制：6 页正文 × 约 1 分钟 ≈ 6 分钟，留 2 分钟给案例表与提问。</w:t>
      </w:r>
    </w:p>
    <w:p>
      <w:pPr>
        <w:spacing w:before="0" w:after="40" w:line="300" w:lineRule="auto"/>
        <w:pBdr>
          <w:bottom w:val="single" w:sz="8" w:space="2" w:color="B4C6E7"/>
        </w:pBdr>
      </w:pPr>
      <w:r>
        <w:t xml:space="preserve"/>
      </w:r>
    </w:p>
    <w:p>
      <w:pStyle w:val="Heading1"/>
      <w:keepNext/>
      <w:pPr>
        <w:spacing w:before="320" w:after="140" w:line="280" w:lineRule="auto"/>
        <w:pBdr>
          <w:bottom w:val="single" w:sz="8" w:space="2" w:color="B4C6E7"/>
        </w:pBdr>
      </w:pPr>
      <w:r>
        <w:t xml:space="preserve">10. 待核实数据清单（定稿前必须核对原文）</w:t>
      </w:r>
    </w:p>
    <w:p>
      <w:pPr>
        <w:spacing w:before="0" w:after="60" w:line="290" w:lineRule="auto"/>
        <w:ind w:left="360"/>
      </w:pPr>
      <w:r>
        <w:t xml:space="preserve">1. 中石化最新年度 ESG/可持续发展报告的</w:t>
      </w:r>
      <w:r>
        <w:rPr>
          <w:b/>
        </w:rPr>
        <w:t xml:space="preserve">鉴证/审验机构名称、标准、保证等级、覆盖指标清单</w:t>
      </w:r>
      <w:r>
        <w:t xml:space="preserve">。</w:t>
      </w:r>
    </w:p>
    <w:p>
      <w:pPr>
        <w:spacing w:before="0" w:after="60" w:line="290" w:lineRule="auto"/>
        <w:ind w:left="360"/>
      </w:pPr>
      <w:r>
        <w:t xml:space="preserve">2. 中石油同项信息（并比对覆盖指标数量，形成"范围宽度"可量化对比）。</w:t>
      </w:r>
    </w:p>
    <w:p>
      <w:pPr>
        <w:spacing w:before="0" w:after="60" w:line="290" w:lineRule="auto"/>
        <w:ind w:left="360"/>
      </w:pPr>
      <w:r>
        <w:t xml:space="preserve">3. Shell Sustainability Report 的</w:t>
      </w:r>
      <w:r>
        <w:rPr>
          <w:b/>
        </w:rPr>
        <w:t xml:space="preserve">鉴证机构、覆盖指标、是否含范围三</w:t>
      </w:r>
      <w:r>
        <w:t xml:space="preserve">。</w:t>
      </w:r>
    </w:p>
    <w:p>
      <w:pPr>
        <w:spacing w:before="0" w:after="60" w:line="290" w:lineRule="auto"/>
        <w:ind w:left="360"/>
      </w:pPr>
      <w:r>
        <w:t xml:space="preserve">4. BP Sustainability Report 同项信息；以及高管薪酬挂钩指标的具体条目。</w:t>
      </w:r>
    </w:p>
    <w:p>
      <w:pPr>
        <w:spacing w:before="0" w:after="60" w:line="290" w:lineRule="auto"/>
        <w:ind w:left="360"/>
      </w:pPr>
      <w:r>
        <w:t xml:space="preserve">5. 四家企业近三年</w:t>
      </w:r>
      <w:r>
        <w:rPr>
          <w:b/>
        </w:rPr>
        <w:t xml:space="preserve">数据重述/口径调整</w:t>
      </w:r>
      <w:r>
        <w:t xml:space="preserve">的具体条目数（用于倒 U 型证据）。</w:t>
      </w:r>
    </w:p>
    <w:p>
      <w:pPr>
        <w:spacing w:before="0" w:after="60" w:line="290" w:lineRule="auto"/>
        <w:ind w:left="360"/>
      </w:pPr>
      <w:r>
        <w:t xml:space="preserve">6. 量化指标占比的计算口径（例如：报告中定量披露的 KPI 数 ÷ 披露的 KPI 总数），需自定并说明，保证四家可比。</w:t>
      </w:r>
    </w:p>
    <w:p>
      <w:pPr>
        <w:spacing w:before="0" w:after="60" w:line="290" w:lineRule="auto"/>
        <w:ind w:left="360"/>
      </w:pPr>
      <w:r>
        <w:t xml:space="preserve">7. 若引用"鉴证溢价/融资成本"类实证文献结论，需补具体文献出处。</w:t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color w:val="404040"/>
        </w:rPr>
        <w:t xml:space="preserve">建议：数据一律以"最新年度报告 PDF + 鉴证报告 PDF"为唯一来源，PPT 每处数据下角标年份与页码。</w:t>
      </w:r>
    </w:p>
    <w:p>
      <w:pPr>
        <w:spacing w:before="0" w:after="40" w:line="300" w:lineRule="auto"/>
        <w:pBdr>
          <w:bottom w:val="single" w:sz="8" w:space="2" w:color="B4C6E7"/>
        </w:pBdr>
      </w:pPr>
      <w:r>
        <w:t xml:space="preserve"/>
      </w:r>
    </w:p>
    <w:p>
      <w:pStyle w:val="Heading1"/>
      <w:keepNext/>
      <w:pPr>
        <w:spacing w:before="320" w:after="140" w:line="280" w:lineRule="auto"/>
        <w:pBdr>
          <w:bottom w:val="single" w:sz="8" w:space="2" w:color="B4C6E7"/>
        </w:pBdr>
      </w:pPr>
      <w:r>
        <w:t xml:space="preserve">11. 讲稿要点（口播，可背）</w:t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color w:val="404040"/>
        </w:rPr>
        <w:t xml:space="preserve">"前五部分我们看到了差距：中石化与中石油都做了鉴证，质量却不同；Shell 和 BP 的鉴证更成熟，但仍有争议。这一部分我要解释三件事：鉴证</w:t>
      </w:r>
      <w:r>
        <w:rPr>
          <w:b/>
          <w:color w:val="404040"/>
        </w:rPr>
        <w:t xml:space="preserve">怎么</w:t>
      </w:r>
      <w:r>
        <w:rPr>
          <w:color w:val="404040"/>
        </w:rPr>
        <w:t xml:space="preserve">起作用、</w:t>
      </w:r>
      <w:r>
        <w:rPr>
          <w:b/>
          <w:color w:val="404040"/>
        </w:rPr>
        <w:t xml:space="preserve">为什么</w:t>
      </w:r>
      <w:r>
        <w:rPr>
          <w:color w:val="404040"/>
        </w:rPr>
        <w:t xml:space="preserve">有时不起作用、以及</w:t>
      </w:r>
      <w:r>
        <w:rPr>
          <w:b/>
          <w:color w:val="404040"/>
        </w:rPr>
        <w:t xml:space="preserve">怎么改</w:t>
      </w:r>
      <w:r>
        <w:rPr>
          <w:color w:val="404040"/>
        </w:rPr>
        <w:t xml:space="preserve">才能起作用。</w:t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color w:val="404040"/>
        </w:rPr>
        <w:t xml:space="preserve"/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color w:val="404040"/>
        </w:rPr>
        <w:t xml:space="preserve">第一，鉴证不是盖章，是一条八环链条，最容易断在三处：拿不到原始数据、建议书没人执行、整改没有责任人。</w:t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color w:val="404040"/>
        </w:rPr>
        <w:t xml:space="preserve"/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color w:val="404040"/>
        </w:rPr>
        <w:t xml:space="preserve">第二，真正被鉴证改变的，不是报告的那一页，而是企业的台账和口径手册——所以判断鉴证有没有用，要看第二年数据基线有没有被重建。</w:t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color w:val="404040"/>
        </w:rPr>
        <w:t xml:space="preserve"/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color w:val="404040"/>
        </w:rPr>
        <w:t xml:space="preserve">第三，也是最反常识的一点：扩大鉴证范围比提高保证等级更有效。因为有限的保证等级下，只要范围够宽、程序能穿透，仍然能拿到实质证据；反过来，再高的等级如果只覆盖一个指标，改善也只发生在一个指标上。</w:t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color w:val="404040"/>
        </w:rPr>
        <w:t xml:space="preserve"/>
      </w:r>
    </w:p>
    <w:p>
      <w:pStyle w:val="Quote"/>
      <w:shd w:val="clear" w:color="auto" w:fill="F7F7F7"/>
      <w:pPr>
        <w:spacing w:before="0" w:after="60" w:line="300" w:lineRule="auto"/>
        <w:ind w:left="360"/>
      </w:pPr>
      <w:r>
        <w:rPr>
          <w:color w:val="404040"/>
        </w:rPr>
        <w:t xml:space="preserve">最后，形式化是结构性风险，不因机构名气自动消失。所以我们的总体结论是：解释企业间质量差异的，不是'有没有鉴证'，而是'范围宽度 × 独立性 × 意见信息量'。"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before="240" w:after="240"/>
    </w:pPr>
    <w:rPr>
      <w:rFonts w:eastAsia="微软雅黑"/>
      <w:b/>
      <w:sz w:val="36"/>
      <w:szCs w:val="36"/>
      <w:color w:val="1F3864"/>
    </w:rPr>
  </w:style>
  <w:style w:type="paragraph" w:styleId="Heading1">
    <w:name w:val="heading 1"/>
    <w:basedOn w:val="Normal"/>
    <w:qFormat/>
    <w:pPr>
      <w:outlineLvl w:val="0"/>
      <w:spacing w:before="320" w:after="140"/>
    </w:pPr>
    <w:rPr>
      <w:b/>
      <w:sz w:val="30"/>
      <w:szCs w:val="30"/>
      <w:color w:val="1F3864"/>
    </w:rPr>
  </w:style>
  <w:style w:type="paragraph" w:styleId="Heading2">
    <w:name w:val="heading 2"/>
    <w:basedOn w:val="Normal"/>
    <w:qFormat/>
    <w:pPr>
      <w:outlineLvl w:val="1"/>
      <w:spacing w:before="240" w:after="100"/>
    </w:pPr>
    <w:rPr>
      <w:b/>
      <w:sz w:val="24"/>
      <w:szCs w:val="24"/>
      <w:color w:val="2E5496"/>
    </w:rPr>
  </w:style>
  <w:style w:type="paragraph" w:styleId="Heading3">
    <w:name w:val="heading 3"/>
    <w:basedOn w:val="Normal"/>
    <w:qFormat/>
    <w:pPr>
      <w:outlineLvl w:val="2"/>
      <w:spacing w:before="180" w:after="80"/>
    </w:pPr>
    <w:rPr>
      <w:b/>
      <w:sz w:val="21"/>
      <w:szCs w:val="21"/>
      <w:color w:val="404040"/>
    </w:rPr>
  </w:style>
  <w:style w:type="paragraph" w:styleId="Quote">
    <w:name w:val="Quote"/>
    <w:basedOn w:val="Normal"/>
    <w:qFormat/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第六部分 鉴证作用机制与改进路径</dc:title>
  <dc:creator>阿屿</dc:creator>
  <cp:lastModifiedBy>阿屿</cp:lastModifiedBy>
  <dcterms:created xsi:type="dcterms:W3CDTF">2026-10-20T04:13:44Z</dcterms:created>
  <dcterms:modified xsi:type="dcterms:W3CDTF">2026-10-20T04:13:44Z</dcterms:modified>
</cp:coreProperties>
</file>