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4E952" w14:textId="7E5D5DEC" w:rsidR="001936CA" w:rsidRDefault="00AD3D4C">
      <w:pPr>
        <w:jc w:val="center"/>
        <w:rPr>
          <w:rFonts w:hint="eastAsia"/>
          <w:lang w:eastAsia="zh-CN"/>
        </w:rPr>
      </w:pPr>
      <w:r w:rsidRPr="00AD3D4C">
        <w:rPr>
          <w:rFonts w:hint="eastAsia"/>
          <w:b/>
          <w:sz w:val="40"/>
          <w:lang w:eastAsia="zh-CN"/>
        </w:rPr>
        <w:t>研究ai在流程优化、模型复盘与因子提升的应用</w:t>
      </w:r>
      <w:r w:rsidR="00000000">
        <w:rPr>
          <w:b/>
          <w:sz w:val="40"/>
          <w:lang w:eastAsia="zh-CN"/>
        </w:rPr>
        <w:t>方案</w:t>
      </w:r>
    </w:p>
    <w:p w14:paraId="1D5B8483" w14:textId="738B2E5C" w:rsidR="001936CA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日期：2026年05月25日</w:t>
      </w:r>
    </w:p>
    <w:p w14:paraId="5AF74DC9" w14:textId="7A1DDF3E" w:rsidR="001936CA" w:rsidRDefault="001936CA">
      <w:pPr>
        <w:rPr>
          <w:rFonts w:hint="eastAsia"/>
          <w:lang w:eastAsia="zh-CN"/>
        </w:rPr>
      </w:pPr>
    </w:p>
    <w:p w14:paraId="5C6FFAB3" w14:textId="77777777" w:rsidR="001936C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一、方案定位与核心结论</w:t>
      </w:r>
    </w:p>
    <w:p w14:paraId="4EF18755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方案定位为AI增强型选股与择时研究流程。AI承担候选因子归纳、因子有效性筛选、模型组合参数枚举、回测复盘解释和市场状态识别等工作，量化数据底座负责提供可复现的行情、财务、交易约束和分钟级价量证据。</w:t>
      </w:r>
    </w:p>
    <w:p w14:paraId="22E1ADB5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本轮训练期内选定模型为未来20日收益 / Top200，样本外组合年化收益为19.14%，沪深300同期年化收益为19.76%，年化超额为-1.13%，最大回撤为-10.16%，平均换手为5.10%。该结果表明，AI辅助流程能够把因子研究从人工经验枚举推进到可审计、可复盘、可迭代的系统化流程。</w:t>
      </w:r>
    </w:p>
    <w:p w14:paraId="46D1CCD3" w14:textId="77777777" w:rsidR="001936C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二、数据底座与研究口径</w:t>
      </w:r>
    </w:p>
    <w:p w14:paraId="79AB8CD8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方案使用当前本地A股研究数据底座完成实证补充。目的不是宣称AI可以替代量化研究，而是展示AI可以嵌入研究流程：先自动识别因子有效性和冗余，再给出因子组合权重、样本共性解释、回测复盘和择时状态归因，最终形成可供研究员复核的结构化结论。</w:t>
      </w:r>
    </w:p>
    <w:p w14:paraId="454744A3" w14:textId="77777777" w:rsidR="001936CA" w:rsidRDefault="00000000">
      <w:pPr>
        <w:rPr>
          <w:rFonts w:hint="eastAsia"/>
        </w:rPr>
      </w:pPr>
      <w:r>
        <w:rPr>
          <w:b/>
          <w:sz w:val="20"/>
        </w:rPr>
        <w:t>表1：数据覆盖情况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936CA" w14:paraId="15264D33" w14:textId="77777777">
        <w:tc>
          <w:tcPr>
            <w:tcW w:w="3264" w:type="dxa"/>
            <w:shd w:val="clear" w:color="auto" w:fill="D9EAF7"/>
            <w:vAlign w:val="center"/>
          </w:tcPr>
          <w:p w14:paraId="5A20F8F4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数据集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3DFB9D61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记录数/文件数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8D16BE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1936CA" w14:paraId="7B6CED72" w14:textId="77777777">
        <w:tc>
          <w:tcPr>
            <w:tcW w:w="3264" w:type="dxa"/>
            <w:vAlign w:val="center"/>
          </w:tcPr>
          <w:p w14:paraId="796C58C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daily_base</w:t>
            </w:r>
          </w:p>
        </w:tc>
        <w:tc>
          <w:tcPr>
            <w:tcW w:w="3264" w:type="dxa"/>
            <w:vAlign w:val="center"/>
          </w:tcPr>
          <w:p w14:paraId="4C97579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6507E87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63C35131" w14:textId="77777777">
        <w:tc>
          <w:tcPr>
            <w:tcW w:w="3264" w:type="dxa"/>
            <w:vAlign w:val="center"/>
          </w:tcPr>
          <w:p w14:paraId="1CDE29A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tradable_daily_base</w:t>
            </w:r>
          </w:p>
        </w:tc>
        <w:tc>
          <w:tcPr>
            <w:tcW w:w="3264" w:type="dxa"/>
            <w:vAlign w:val="center"/>
          </w:tcPr>
          <w:p w14:paraId="11F17D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786F600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09E33DE1" w14:textId="77777777">
        <w:tc>
          <w:tcPr>
            <w:tcW w:w="3264" w:type="dxa"/>
            <w:vAlign w:val="center"/>
          </w:tcPr>
          <w:p w14:paraId="570EB99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daily_fundamental_base</w:t>
            </w:r>
          </w:p>
        </w:tc>
        <w:tc>
          <w:tcPr>
            <w:tcW w:w="3264" w:type="dxa"/>
            <w:vAlign w:val="center"/>
          </w:tcPr>
          <w:p w14:paraId="6AF39CB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5538632</w:t>
            </w:r>
          </w:p>
        </w:tc>
        <w:tc>
          <w:tcPr>
            <w:tcW w:w="3264" w:type="dxa"/>
            <w:vAlign w:val="center"/>
          </w:tcPr>
          <w:p w14:paraId="1ECF18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2BC6B06B" w14:textId="77777777">
        <w:tc>
          <w:tcPr>
            <w:tcW w:w="3264" w:type="dxa"/>
            <w:vAlign w:val="center"/>
          </w:tcPr>
          <w:p w14:paraId="6DC98B4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index_daily</w:t>
            </w:r>
          </w:p>
        </w:tc>
        <w:tc>
          <w:tcPr>
            <w:tcW w:w="3264" w:type="dxa"/>
            <w:vAlign w:val="center"/>
          </w:tcPr>
          <w:p w14:paraId="67F1C30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6354</w:t>
            </w:r>
          </w:p>
        </w:tc>
        <w:tc>
          <w:tcPr>
            <w:tcW w:w="3264" w:type="dxa"/>
            <w:vAlign w:val="center"/>
          </w:tcPr>
          <w:p w14:paraId="40D44E2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5ED33B7A" w14:textId="77777777">
        <w:tc>
          <w:tcPr>
            <w:tcW w:w="3264" w:type="dxa"/>
            <w:vAlign w:val="center"/>
          </w:tcPr>
          <w:p w14:paraId="006ABD9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stock_basic</w:t>
            </w:r>
          </w:p>
        </w:tc>
        <w:tc>
          <w:tcPr>
            <w:tcW w:w="3264" w:type="dxa"/>
            <w:vAlign w:val="center"/>
          </w:tcPr>
          <w:p w14:paraId="19F7C64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5522</w:t>
            </w:r>
          </w:p>
        </w:tc>
        <w:tc>
          <w:tcPr>
            <w:tcW w:w="3264" w:type="dxa"/>
            <w:vAlign w:val="center"/>
          </w:tcPr>
          <w:p w14:paraId="517DB69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DuckDB研究底座</w:t>
            </w:r>
          </w:p>
        </w:tc>
      </w:tr>
      <w:tr w:rsidR="001936CA" w14:paraId="63401F35" w14:textId="77777777">
        <w:tc>
          <w:tcPr>
            <w:tcW w:w="3264" w:type="dxa"/>
            <w:vAlign w:val="center"/>
          </w:tcPr>
          <w:p w14:paraId="689D8D5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60m_stock_data_parquet</w:t>
            </w:r>
          </w:p>
        </w:tc>
        <w:tc>
          <w:tcPr>
            <w:tcW w:w="3264" w:type="dxa"/>
            <w:vAlign w:val="center"/>
          </w:tcPr>
          <w:p w14:paraId="7F440A2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5490</w:t>
            </w:r>
          </w:p>
        </w:tc>
        <w:tc>
          <w:tcPr>
            <w:tcW w:w="3264" w:type="dxa"/>
            <w:vAlign w:val="center"/>
          </w:tcPr>
          <w:p w14:paraId="7046B2A4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同花顺60分钟价量数据文件数</w:t>
            </w:r>
          </w:p>
        </w:tc>
      </w:tr>
      <w:tr w:rsidR="001936CA" w14:paraId="509748B5" w14:textId="77777777">
        <w:tc>
          <w:tcPr>
            <w:tcW w:w="3264" w:type="dxa"/>
            <w:vAlign w:val="center"/>
          </w:tcPr>
          <w:p w14:paraId="2DFA282B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analysis_universe_days</w:t>
            </w:r>
            <w:proofErr w:type="spellEnd"/>
          </w:p>
        </w:tc>
        <w:tc>
          <w:tcPr>
            <w:tcW w:w="3264" w:type="dxa"/>
            <w:vAlign w:val="center"/>
          </w:tcPr>
          <w:p w14:paraId="70E3D36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4058650</w:t>
            </w:r>
          </w:p>
        </w:tc>
        <w:tc>
          <w:tcPr>
            <w:tcW w:w="3264" w:type="dxa"/>
            <w:vAlign w:val="center"/>
          </w:tcPr>
          <w:p w14:paraId="6F3147AA" w14:textId="2A43AF28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2023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01以来可交易股票-日期样本</w:t>
            </w:r>
          </w:p>
        </w:tc>
      </w:tr>
    </w:tbl>
    <w:p w14:paraId="56CD1CA6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表2：未来函数与样本外隔离检查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936CA" w14:paraId="0FD95D71" w14:textId="77777777">
        <w:tc>
          <w:tcPr>
            <w:tcW w:w="3264" w:type="dxa"/>
            <w:shd w:val="clear" w:color="auto" w:fill="D9EAF7"/>
            <w:vAlign w:val="center"/>
          </w:tcPr>
          <w:p w14:paraId="15D0DE6E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检查项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08F1D87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处理方式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108F63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结论</w:t>
            </w:r>
          </w:p>
        </w:tc>
      </w:tr>
      <w:tr w:rsidR="001936CA" w14:paraId="6749E65C" w14:textId="77777777">
        <w:tc>
          <w:tcPr>
            <w:tcW w:w="3264" w:type="dxa"/>
            <w:vAlign w:val="center"/>
          </w:tcPr>
          <w:p w14:paraId="20E26E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财务指标可得性</w:t>
            </w:r>
          </w:p>
        </w:tc>
        <w:tc>
          <w:tcPr>
            <w:tcW w:w="3264" w:type="dxa"/>
            <w:vAlign w:val="center"/>
          </w:tcPr>
          <w:p w14:paraId="29C545E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财务面板按公告日ann_date向后匹配到交易日</w:t>
            </w:r>
          </w:p>
        </w:tc>
        <w:tc>
          <w:tcPr>
            <w:tcW w:w="3264" w:type="dxa"/>
            <w:vAlign w:val="center"/>
          </w:tcPr>
          <w:p w14:paraId="101741F4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避免报告期数据提前进入历史样本</w:t>
            </w:r>
          </w:p>
        </w:tc>
      </w:tr>
      <w:tr w:rsidR="001936CA" w14:paraId="7FF30E04" w14:textId="77777777">
        <w:tc>
          <w:tcPr>
            <w:tcW w:w="3264" w:type="dxa"/>
            <w:vAlign w:val="center"/>
          </w:tcPr>
          <w:p w14:paraId="19174485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价量因子</w:t>
            </w:r>
            <w:proofErr w:type="spellEnd"/>
          </w:p>
        </w:tc>
        <w:tc>
          <w:tcPr>
            <w:tcW w:w="3264" w:type="dxa"/>
            <w:vAlign w:val="center"/>
          </w:tcPr>
          <w:p w14:paraId="2CAC67C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动量、反转、波动率、换手均使用pct_change或rolling历史窗口</w:t>
            </w:r>
          </w:p>
        </w:tc>
        <w:tc>
          <w:tcPr>
            <w:tcW w:w="3264" w:type="dxa"/>
            <w:vAlign w:val="center"/>
          </w:tcPr>
          <w:p w14:paraId="6D15FF61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信号仅使用t日及以前行情</w:t>
            </w:r>
          </w:p>
        </w:tc>
      </w:tr>
      <w:tr w:rsidR="001936CA" w14:paraId="39DA383C" w14:textId="77777777">
        <w:tc>
          <w:tcPr>
            <w:tcW w:w="3264" w:type="dxa"/>
            <w:vAlign w:val="center"/>
          </w:tcPr>
          <w:p w14:paraId="2A6DB14E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训练标签</w:t>
            </w:r>
            <w:proofErr w:type="spellEnd"/>
          </w:p>
        </w:tc>
        <w:tc>
          <w:tcPr>
            <w:tcW w:w="3264" w:type="dxa"/>
            <w:vAlign w:val="center"/>
          </w:tcPr>
          <w:p w14:paraId="4D37CEEF" w14:textId="36E36BDF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模型权重和参数选择仅使用2024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11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29及</w:t>
            </w:r>
            <w:r>
              <w:rPr>
                <w:sz w:val="16"/>
                <w:lang w:eastAsia="zh-CN"/>
              </w:rPr>
              <w:lastRenderedPageBreak/>
              <w:t>以前标签</w:t>
            </w:r>
          </w:p>
        </w:tc>
        <w:tc>
          <w:tcPr>
            <w:tcW w:w="3264" w:type="dxa"/>
            <w:vAlign w:val="center"/>
          </w:tcPr>
          <w:p w14:paraId="710A793E" w14:textId="1EB988AA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与2025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</w:t>
            </w:r>
            <w:r w:rsidR="00052E81">
              <w:rPr>
                <w:rFonts w:hint="eastAsia"/>
                <w:sz w:val="16"/>
                <w:lang w:eastAsia="zh-CN"/>
              </w:rPr>
              <w:t>.</w:t>
            </w:r>
            <w:r>
              <w:rPr>
                <w:sz w:val="16"/>
                <w:lang w:eastAsia="zh-CN"/>
              </w:rPr>
              <w:t>01后的样本外区间隔离</w:t>
            </w:r>
          </w:p>
        </w:tc>
      </w:tr>
      <w:tr w:rsidR="001936CA" w14:paraId="5BDE5AED" w14:textId="77777777">
        <w:tc>
          <w:tcPr>
            <w:tcW w:w="3264" w:type="dxa"/>
            <w:vAlign w:val="center"/>
          </w:tcPr>
          <w:p w14:paraId="03AC2141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模型参数选择</w:t>
            </w:r>
            <w:proofErr w:type="spellEnd"/>
          </w:p>
        </w:tc>
        <w:tc>
          <w:tcPr>
            <w:tcW w:w="3264" w:type="dxa"/>
            <w:vAlign w:val="center"/>
          </w:tcPr>
          <w:p w14:paraId="7D846AB7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候选目标期限和</w:t>
            </w:r>
            <w:proofErr w:type="spellStart"/>
            <w:r>
              <w:rPr>
                <w:sz w:val="16"/>
                <w:lang w:eastAsia="zh-CN"/>
              </w:rPr>
              <w:t>TopN</w:t>
            </w:r>
            <w:proofErr w:type="spellEnd"/>
            <w:r>
              <w:rPr>
                <w:sz w:val="16"/>
                <w:lang w:eastAsia="zh-CN"/>
              </w:rPr>
              <w:t>只按训练期目标函数排序</w:t>
            </w:r>
          </w:p>
        </w:tc>
        <w:tc>
          <w:tcPr>
            <w:tcW w:w="3264" w:type="dxa"/>
            <w:vAlign w:val="center"/>
          </w:tcPr>
          <w:p w14:paraId="5BFEDFD8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样本外结果只用于验证和复盘</w:t>
            </w:r>
          </w:p>
        </w:tc>
      </w:tr>
      <w:tr w:rsidR="001936CA" w14:paraId="712568C7" w14:textId="77777777">
        <w:tc>
          <w:tcPr>
            <w:tcW w:w="3264" w:type="dxa"/>
            <w:vAlign w:val="center"/>
          </w:tcPr>
          <w:p w14:paraId="7C5320C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60分钟样本选择</w:t>
            </w:r>
          </w:p>
        </w:tc>
        <w:tc>
          <w:tcPr>
            <w:tcW w:w="3264" w:type="dxa"/>
            <w:vAlign w:val="center"/>
          </w:tcPr>
          <w:p w14:paraId="1C1DFEC3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分钟样本股票按训练期成交额中位数选取</w:t>
            </w:r>
          </w:p>
        </w:tc>
        <w:tc>
          <w:tcPr>
            <w:tcW w:w="3264" w:type="dxa"/>
            <w:vAlign w:val="center"/>
          </w:tcPr>
          <w:p w14:paraId="45C351C9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不使用样本外流动性挑选股票</w:t>
            </w:r>
          </w:p>
        </w:tc>
      </w:tr>
    </w:tbl>
    <w:p w14:paraId="4331958D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（一）研究口径与防未来函数设计</w:t>
      </w:r>
    </w:p>
    <w:p w14:paraId="6043146B" w14:textId="1816564D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本轮优化将研究过程拆分为训练、模型选择、样本外验证三个环节。因子权重和</w:t>
      </w:r>
      <w:proofErr w:type="spellStart"/>
      <w:r>
        <w:rPr>
          <w:lang w:eastAsia="zh-CN"/>
        </w:rPr>
        <w:t>TopN</w:t>
      </w:r>
      <w:proofErr w:type="spellEnd"/>
      <w:r>
        <w:rPr>
          <w:lang w:eastAsia="zh-CN"/>
        </w:rPr>
        <w:t>参数仅使用2024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11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29及以前数据确定；2025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01之后只用于样本外检验、图表展示和复盘解释。财务指标使用公告日向后匹配，价量指标使用历史滚动窗口，避免将未来信息提前写入信号。</w:t>
      </w:r>
    </w:p>
    <w:p w14:paraId="087330AE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（二）因子筛选：用AI辅助形成候选因子动作清单</w:t>
      </w:r>
    </w:p>
    <w:p w14:paraId="461F3497" w14:textId="45BC708C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本次以2023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01以来的可交易股票样本为基础，将2024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11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29及以前作为权重和参数形成区间，2025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</w:t>
      </w:r>
      <w:r w:rsidR="00052E81">
        <w:rPr>
          <w:rFonts w:hint="eastAsia"/>
          <w:lang w:eastAsia="zh-CN"/>
        </w:rPr>
        <w:t>.</w:t>
      </w:r>
      <w:r>
        <w:rPr>
          <w:lang w:eastAsia="zh-CN"/>
        </w:rPr>
        <w:t>01以来作为样本外观察区间。候选因子覆盖估值、规模、动量/反转、低波动、低换手、质量、成长和杠杆约束。AI辅助部分并不直接生成交易结论，而是根据平均IC、IC_IR和正IC占比，把因子分为“核心加权、辅助过滤、观察保留、反向验证或降权”。</w:t>
      </w:r>
    </w:p>
    <w:p w14:paraId="3631533B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表3：训练期因子IC摘要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0EA91000" w14:textId="77777777">
        <w:tc>
          <w:tcPr>
            <w:tcW w:w="1958" w:type="dxa"/>
            <w:shd w:val="clear" w:color="auto" w:fill="D9EAF7"/>
            <w:vAlign w:val="center"/>
          </w:tcPr>
          <w:p w14:paraId="1D52D820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0E3A075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339360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24DB849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4795B1C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1936CA" w14:paraId="3FEDC4E9" w14:textId="77777777">
        <w:tc>
          <w:tcPr>
            <w:tcW w:w="1958" w:type="dxa"/>
            <w:vAlign w:val="center"/>
          </w:tcPr>
          <w:p w14:paraId="06D786C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155A2B4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0.0673</w:t>
            </w:r>
          </w:p>
        </w:tc>
        <w:tc>
          <w:tcPr>
            <w:tcW w:w="1958" w:type="dxa"/>
            <w:vAlign w:val="center"/>
          </w:tcPr>
          <w:p w14:paraId="3F3C0CD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0.3196</w:t>
            </w:r>
          </w:p>
        </w:tc>
        <w:tc>
          <w:tcPr>
            <w:tcW w:w="1958" w:type="dxa"/>
            <w:vAlign w:val="center"/>
          </w:tcPr>
          <w:p w14:paraId="7DC5E5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0.6290</w:t>
            </w:r>
          </w:p>
        </w:tc>
        <w:tc>
          <w:tcPr>
            <w:tcW w:w="1958" w:type="dxa"/>
            <w:vAlign w:val="center"/>
          </w:tcPr>
          <w:p w14:paraId="2C11BF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442</w:t>
            </w:r>
          </w:p>
        </w:tc>
      </w:tr>
      <w:tr w:rsidR="001936CA" w14:paraId="7B28FC18" w14:textId="77777777">
        <w:tc>
          <w:tcPr>
            <w:tcW w:w="1958" w:type="dxa"/>
            <w:vAlign w:val="center"/>
          </w:tcPr>
          <w:p w14:paraId="1FA7E5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1958" w:type="dxa"/>
            <w:vAlign w:val="center"/>
          </w:tcPr>
          <w:p w14:paraId="0728BEE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0.0666</w:t>
            </w:r>
          </w:p>
        </w:tc>
        <w:tc>
          <w:tcPr>
            <w:tcW w:w="1958" w:type="dxa"/>
            <w:vAlign w:val="center"/>
          </w:tcPr>
          <w:p w14:paraId="4131337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0.4328</w:t>
            </w:r>
          </w:p>
        </w:tc>
        <w:tc>
          <w:tcPr>
            <w:tcW w:w="1958" w:type="dxa"/>
            <w:vAlign w:val="center"/>
          </w:tcPr>
          <w:p w14:paraId="178FF3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  <w:tc>
          <w:tcPr>
            <w:tcW w:w="1958" w:type="dxa"/>
            <w:vAlign w:val="center"/>
          </w:tcPr>
          <w:p w14:paraId="087E950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68AD2979" w14:textId="77777777">
        <w:tc>
          <w:tcPr>
            <w:tcW w:w="1958" w:type="dxa"/>
            <w:vAlign w:val="center"/>
          </w:tcPr>
          <w:p w14:paraId="6E5C25E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1958" w:type="dxa"/>
            <w:vAlign w:val="center"/>
          </w:tcPr>
          <w:p w14:paraId="6026A1B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0.0564</w:t>
            </w:r>
          </w:p>
        </w:tc>
        <w:tc>
          <w:tcPr>
            <w:tcW w:w="1958" w:type="dxa"/>
            <w:vAlign w:val="center"/>
          </w:tcPr>
          <w:p w14:paraId="451726D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0.2847</w:t>
            </w:r>
          </w:p>
        </w:tc>
        <w:tc>
          <w:tcPr>
            <w:tcW w:w="1958" w:type="dxa"/>
            <w:vAlign w:val="center"/>
          </w:tcPr>
          <w:p w14:paraId="243946B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0.6117</w:t>
            </w:r>
          </w:p>
        </w:tc>
        <w:tc>
          <w:tcPr>
            <w:tcW w:w="1958" w:type="dxa"/>
            <w:vAlign w:val="center"/>
          </w:tcPr>
          <w:p w14:paraId="445AC10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443</w:t>
            </w:r>
          </w:p>
        </w:tc>
      </w:tr>
      <w:tr w:rsidR="001936CA" w14:paraId="166F1B10" w14:textId="77777777">
        <w:tc>
          <w:tcPr>
            <w:tcW w:w="1958" w:type="dxa"/>
            <w:vAlign w:val="center"/>
          </w:tcPr>
          <w:p w14:paraId="561CFCA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311613A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0.0488</w:t>
            </w:r>
          </w:p>
        </w:tc>
        <w:tc>
          <w:tcPr>
            <w:tcW w:w="1958" w:type="dxa"/>
            <w:vAlign w:val="center"/>
          </w:tcPr>
          <w:p w14:paraId="36FD886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0.2233</w:t>
            </w:r>
          </w:p>
        </w:tc>
        <w:tc>
          <w:tcPr>
            <w:tcW w:w="1958" w:type="dxa"/>
            <w:vAlign w:val="center"/>
          </w:tcPr>
          <w:p w14:paraId="37658B0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0.6342</w:t>
            </w:r>
          </w:p>
        </w:tc>
        <w:tc>
          <w:tcPr>
            <w:tcW w:w="1958" w:type="dxa"/>
            <w:vAlign w:val="center"/>
          </w:tcPr>
          <w:p w14:paraId="4D92DE8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3E5F48C0" w14:textId="77777777">
        <w:tc>
          <w:tcPr>
            <w:tcW w:w="1958" w:type="dxa"/>
            <w:vAlign w:val="center"/>
          </w:tcPr>
          <w:p w14:paraId="3F6DF5A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1958" w:type="dxa"/>
            <w:vAlign w:val="center"/>
          </w:tcPr>
          <w:p w14:paraId="7874D98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0.0388</w:t>
            </w:r>
          </w:p>
        </w:tc>
        <w:tc>
          <w:tcPr>
            <w:tcW w:w="1958" w:type="dxa"/>
            <w:vAlign w:val="center"/>
          </w:tcPr>
          <w:p w14:paraId="35CA318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0.2385</w:t>
            </w:r>
          </w:p>
        </w:tc>
        <w:tc>
          <w:tcPr>
            <w:tcW w:w="1958" w:type="dxa"/>
            <w:vAlign w:val="center"/>
          </w:tcPr>
          <w:p w14:paraId="28DA593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0.6018</w:t>
            </w:r>
          </w:p>
        </w:tc>
        <w:tc>
          <w:tcPr>
            <w:tcW w:w="1958" w:type="dxa"/>
            <w:vAlign w:val="center"/>
          </w:tcPr>
          <w:p w14:paraId="5B9D58A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457</w:t>
            </w:r>
          </w:p>
        </w:tc>
      </w:tr>
      <w:tr w:rsidR="001936CA" w14:paraId="1DF91444" w14:textId="77777777">
        <w:tc>
          <w:tcPr>
            <w:tcW w:w="1958" w:type="dxa"/>
            <w:vAlign w:val="center"/>
          </w:tcPr>
          <w:p w14:paraId="6876C32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58" w:type="dxa"/>
            <w:vAlign w:val="center"/>
          </w:tcPr>
          <w:p w14:paraId="2F2A252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0.0327</w:t>
            </w:r>
          </w:p>
        </w:tc>
        <w:tc>
          <w:tcPr>
            <w:tcW w:w="1958" w:type="dxa"/>
            <w:vAlign w:val="center"/>
          </w:tcPr>
          <w:p w14:paraId="7EE055E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0.2896</w:t>
            </w:r>
          </w:p>
        </w:tc>
        <w:tc>
          <w:tcPr>
            <w:tcW w:w="1958" w:type="dxa"/>
            <w:vAlign w:val="center"/>
          </w:tcPr>
          <w:p w14:paraId="7F4B9D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0.6082</w:t>
            </w:r>
          </w:p>
        </w:tc>
        <w:tc>
          <w:tcPr>
            <w:tcW w:w="1958" w:type="dxa"/>
            <w:vAlign w:val="center"/>
          </w:tcPr>
          <w:p w14:paraId="12E95F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5060707A" w14:textId="77777777">
        <w:tc>
          <w:tcPr>
            <w:tcW w:w="1958" w:type="dxa"/>
            <w:vAlign w:val="center"/>
          </w:tcPr>
          <w:p w14:paraId="778B36A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58" w:type="dxa"/>
            <w:vAlign w:val="center"/>
          </w:tcPr>
          <w:p w14:paraId="32BC056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0.0300</w:t>
            </w:r>
          </w:p>
        </w:tc>
        <w:tc>
          <w:tcPr>
            <w:tcW w:w="1958" w:type="dxa"/>
            <w:vAlign w:val="center"/>
          </w:tcPr>
          <w:p w14:paraId="7228E3F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0.2216</w:t>
            </w:r>
          </w:p>
        </w:tc>
        <w:tc>
          <w:tcPr>
            <w:tcW w:w="1958" w:type="dxa"/>
            <w:vAlign w:val="center"/>
          </w:tcPr>
          <w:p w14:paraId="25BE4B8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0.5714</w:t>
            </w:r>
          </w:p>
        </w:tc>
        <w:tc>
          <w:tcPr>
            <w:tcW w:w="1958" w:type="dxa"/>
            <w:vAlign w:val="center"/>
          </w:tcPr>
          <w:p w14:paraId="1063668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575B2A50" w14:textId="77777777">
        <w:tc>
          <w:tcPr>
            <w:tcW w:w="1958" w:type="dxa"/>
            <w:vAlign w:val="center"/>
          </w:tcPr>
          <w:p w14:paraId="1EC7DDB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1958" w:type="dxa"/>
            <w:vAlign w:val="center"/>
          </w:tcPr>
          <w:p w14:paraId="7490ECA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0.0031</w:t>
            </w:r>
          </w:p>
        </w:tc>
        <w:tc>
          <w:tcPr>
            <w:tcW w:w="1958" w:type="dxa"/>
            <w:vAlign w:val="center"/>
          </w:tcPr>
          <w:p w14:paraId="76D3873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0.2100</w:t>
            </w:r>
          </w:p>
        </w:tc>
        <w:tc>
          <w:tcPr>
            <w:tcW w:w="1958" w:type="dxa"/>
            <w:vAlign w:val="center"/>
          </w:tcPr>
          <w:p w14:paraId="2BF79DB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0.5844</w:t>
            </w:r>
          </w:p>
        </w:tc>
        <w:tc>
          <w:tcPr>
            <w:tcW w:w="1958" w:type="dxa"/>
            <w:vAlign w:val="center"/>
          </w:tcPr>
          <w:p w14:paraId="5569CFF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010AABF0" w14:textId="77777777">
        <w:tc>
          <w:tcPr>
            <w:tcW w:w="1958" w:type="dxa"/>
            <w:vAlign w:val="center"/>
          </w:tcPr>
          <w:p w14:paraId="5F73302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ROE质量</w:t>
            </w:r>
          </w:p>
        </w:tc>
        <w:tc>
          <w:tcPr>
            <w:tcW w:w="1958" w:type="dxa"/>
            <w:vAlign w:val="center"/>
          </w:tcPr>
          <w:p w14:paraId="610A3F7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0.0014</w:t>
            </w:r>
          </w:p>
        </w:tc>
        <w:tc>
          <w:tcPr>
            <w:tcW w:w="1958" w:type="dxa"/>
            <w:vAlign w:val="center"/>
          </w:tcPr>
          <w:p w14:paraId="6132DF5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0.0929</w:t>
            </w:r>
          </w:p>
        </w:tc>
        <w:tc>
          <w:tcPr>
            <w:tcW w:w="1958" w:type="dxa"/>
            <w:vAlign w:val="center"/>
          </w:tcPr>
          <w:p w14:paraId="77AF4E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1B7560A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  <w:tr w:rsidR="001936CA" w14:paraId="5FCE2650" w14:textId="77777777">
        <w:tc>
          <w:tcPr>
            <w:tcW w:w="1958" w:type="dxa"/>
            <w:vAlign w:val="center"/>
          </w:tcPr>
          <w:p w14:paraId="1172B68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ROA质量</w:t>
            </w:r>
          </w:p>
        </w:tc>
        <w:tc>
          <w:tcPr>
            <w:tcW w:w="1958" w:type="dxa"/>
            <w:vAlign w:val="center"/>
          </w:tcPr>
          <w:p w14:paraId="78D2516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0.0009</w:t>
            </w:r>
          </w:p>
        </w:tc>
        <w:tc>
          <w:tcPr>
            <w:tcW w:w="1958" w:type="dxa"/>
            <w:vAlign w:val="center"/>
          </w:tcPr>
          <w:p w14:paraId="3789F6B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0.0553</w:t>
            </w:r>
          </w:p>
        </w:tc>
        <w:tc>
          <w:tcPr>
            <w:tcW w:w="1958" w:type="dxa"/>
            <w:vAlign w:val="center"/>
          </w:tcPr>
          <w:p w14:paraId="42CB546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0D71BF8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</w:tr>
    </w:tbl>
    <w:p w14:paraId="02A0BDB5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表4：样本外因子IC摘要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4F26C462" w14:textId="77777777">
        <w:tc>
          <w:tcPr>
            <w:tcW w:w="1958" w:type="dxa"/>
            <w:shd w:val="clear" w:color="auto" w:fill="D9EAF7"/>
            <w:vAlign w:val="center"/>
          </w:tcPr>
          <w:p w14:paraId="6B9A78C8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20187B0F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635B64E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359FAF98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4A202B3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1936CA" w14:paraId="33EB5EC9" w14:textId="77777777">
        <w:tc>
          <w:tcPr>
            <w:tcW w:w="1958" w:type="dxa"/>
            <w:vAlign w:val="center"/>
          </w:tcPr>
          <w:p w14:paraId="1D48B08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08A9FFF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0.0525</w:t>
            </w:r>
          </w:p>
        </w:tc>
        <w:tc>
          <w:tcPr>
            <w:tcW w:w="1958" w:type="dxa"/>
            <w:vAlign w:val="center"/>
          </w:tcPr>
          <w:p w14:paraId="7CCD926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0.2793</w:t>
            </w:r>
          </w:p>
        </w:tc>
        <w:tc>
          <w:tcPr>
            <w:tcW w:w="1958" w:type="dxa"/>
            <w:vAlign w:val="center"/>
          </w:tcPr>
          <w:p w14:paraId="757653E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0.6280</w:t>
            </w:r>
          </w:p>
        </w:tc>
        <w:tc>
          <w:tcPr>
            <w:tcW w:w="1958" w:type="dxa"/>
            <w:vAlign w:val="center"/>
          </w:tcPr>
          <w:p w14:paraId="577EBB7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69FFA56A" w14:textId="77777777">
        <w:tc>
          <w:tcPr>
            <w:tcW w:w="1958" w:type="dxa"/>
            <w:vAlign w:val="center"/>
          </w:tcPr>
          <w:p w14:paraId="67A01D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1958" w:type="dxa"/>
            <w:vAlign w:val="center"/>
          </w:tcPr>
          <w:p w14:paraId="049BD1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0.0451</w:t>
            </w:r>
          </w:p>
        </w:tc>
        <w:tc>
          <w:tcPr>
            <w:tcW w:w="1958" w:type="dxa"/>
            <w:vAlign w:val="center"/>
          </w:tcPr>
          <w:p w14:paraId="68CC2B7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0.3645</w:t>
            </w:r>
          </w:p>
        </w:tc>
        <w:tc>
          <w:tcPr>
            <w:tcW w:w="1958" w:type="dxa"/>
            <w:vAlign w:val="center"/>
          </w:tcPr>
          <w:p w14:paraId="7BAC62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0.6372</w:t>
            </w:r>
          </w:p>
        </w:tc>
        <w:tc>
          <w:tcPr>
            <w:tcW w:w="1958" w:type="dxa"/>
            <w:vAlign w:val="center"/>
          </w:tcPr>
          <w:p w14:paraId="1F49B70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42699702" w14:textId="77777777">
        <w:tc>
          <w:tcPr>
            <w:tcW w:w="1958" w:type="dxa"/>
            <w:vAlign w:val="center"/>
          </w:tcPr>
          <w:p w14:paraId="0F79C8D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1958" w:type="dxa"/>
            <w:vAlign w:val="center"/>
          </w:tcPr>
          <w:p w14:paraId="4E1AF18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0.0442</w:t>
            </w:r>
          </w:p>
        </w:tc>
        <w:tc>
          <w:tcPr>
            <w:tcW w:w="1958" w:type="dxa"/>
            <w:vAlign w:val="center"/>
          </w:tcPr>
          <w:p w14:paraId="7AB12A9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0.2463</w:t>
            </w:r>
          </w:p>
        </w:tc>
        <w:tc>
          <w:tcPr>
            <w:tcW w:w="1958" w:type="dxa"/>
            <w:vAlign w:val="center"/>
          </w:tcPr>
          <w:p w14:paraId="79BD20C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0.5915</w:t>
            </w:r>
          </w:p>
        </w:tc>
        <w:tc>
          <w:tcPr>
            <w:tcW w:w="1958" w:type="dxa"/>
            <w:vAlign w:val="center"/>
          </w:tcPr>
          <w:p w14:paraId="679E63D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0EC2ACE2" w14:textId="77777777">
        <w:tc>
          <w:tcPr>
            <w:tcW w:w="1958" w:type="dxa"/>
            <w:vAlign w:val="center"/>
          </w:tcPr>
          <w:p w14:paraId="67D3086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25F57D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0.0380</w:t>
            </w:r>
          </w:p>
        </w:tc>
        <w:tc>
          <w:tcPr>
            <w:tcW w:w="1958" w:type="dxa"/>
            <w:vAlign w:val="center"/>
          </w:tcPr>
          <w:p w14:paraId="55DF78C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0.2514</w:t>
            </w:r>
          </w:p>
        </w:tc>
        <w:tc>
          <w:tcPr>
            <w:tcW w:w="1958" w:type="dxa"/>
            <w:vAlign w:val="center"/>
          </w:tcPr>
          <w:p w14:paraId="79290DE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0.6159</w:t>
            </w:r>
          </w:p>
        </w:tc>
        <w:tc>
          <w:tcPr>
            <w:tcW w:w="1958" w:type="dxa"/>
            <w:vAlign w:val="center"/>
          </w:tcPr>
          <w:p w14:paraId="37067B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4FBCE8A3" w14:textId="77777777">
        <w:tc>
          <w:tcPr>
            <w:tcW w:w="1958" w:type="dxa"/>
            <w:vAlign w:val="center"/>
          </w:tcPr>
          <w:p w14:paraId="5D6F0D3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1958" w:type="dxa"/>
            <w:vAlign w:val="center"/>
          </w:tcPr>
          <w:p w14:paraId="085A591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0.0275</w:t>
            </w:r>
          </w:p>
        </w:tc>
        <w:tc>
          <w:tcPr>
            <w:tcW w:w="1958" w:type="dxa"/>
            <w:vAlign w:val="center"/>
          </w:tcPr>
          <w:p w14:paraId="0D1868A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0.1660</w:t>
            </w:r>
          </w:p>
        </w:tc>
        <w:tc>
          <w:tcPr>
            <w:tcW w:w="1958" w:type="dxa"/>
            <w:vAlign w:val="center"/>
          </w:tcPr>
          <w:p w14:paraId="7C728E7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0.5579</w:t>
            </w:r>
          </w:p>
        </w:tc>
        <w:tc>
          <w:tcPr>
            <w:tcW w:w="1958" w:type="dxa"/>
            <w:vAlign w:val="center"/>
          </w:tcPr>
          <w:p w14:paraId="51D0BBA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5C6E2F76" w14:textId="77777777">
        <w:tc>
          <w:tcPr>
            <w:tcW w:w="1958" w:type="dxa"/>
            <w:vAlign w:val="center"/>
          </w:tcPr>
          <w:p w14:paraId="1D359AA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收入成长</w:t>
            </w:r>
          </w:p>
        </w:tc>
        <w:tc>
          <w:tcPr>
            <w:tcW w:w="1958" w:type="dxa"/>
            <w:vAlign w:val="center"/>
          </w:tcPr>
          <w:p w14:paraId="2C7B69B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0.0040</w:t>
            </w:r>
          </w:p>
        </w:tc>
        <w:tc>
          <w:tcPr>
            <w:tcW w:w="1958" w:type="dxa"/>
            <w:vAlign w:val="center"/>
          </w:tcPr>
          <w:p w14:paraId="159351E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0.2299</w:t>
            </w:r>
          </w:p>
        </w:tc>
        <w:tc>
          <w:tcPr>
            <w:tcW w:w="1958" w:type="dxa"/>
            <w:vAlign w:val="center"/>
          </w:tcPr>
          <w:p w14:paraId="4FBA86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0.5884</w:t>
            </w:r>
          </w:p>
        </w:tc>
        <w:tc>
          <w:tcPr>
            <w:tcW w:w="1958" w:type="dxa"/>
            <w:vAlign w:val="center"/>
          </w:tcPr>
          <w:p w14:paraId="41BF215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7B557A55" w14:textId="77777777">
        <w:tc>
          <w:tcPr>
            <w:tcW w:w="1958" w:type="dxa"/>
            <w:vAlign w:val="center"/>
          </w:tcPr>
          <w:p w14:paraId="0A1FB88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58" w:type="dxa"/>
            <w:vAlign w:val="center"/>
          </w:tcPr>
          <w:p w14:paraId="7DF7EEA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0.0035</w:t>
            </w:r>
          </w:p>
        </w:tc>
        <w:tc>
          <w:tcPr>
            <w:tcW w:w="1958" w:type="dxa"/>
            <w:vAlign w:val="center"/>
          </w:tcPr>
          <w:p w14:paraId="2B8AAEE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0.0268</w:t>
            </w:r>
          </w:p>
        </w:tc>
        <w:tc>
          <w:tcPr>
            <w:tcW w:w="1958" w:type="dxa"/>
            <w:vAlign w:val="center"/>
          </w:tcPr>
          <w:p w14:paraId="02644C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0.5122</w:t>
            </w:r>
          </w:p>
        </w:tc>
        <w:tc>
          <w:tcPr>
            <w:tcW w:w="1958" w:type="dxa"/>
            <w:vAlign w:val="center"/>
          </w:tcPr>
          <w:p w14:paraId="5CD1E54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69F0BDD8" w14:textId="77777777">
        <w:tc>
          <w:tcPr>
            <w:tcW w:w="1958" w:type="dxa"/>
            <w:vAlign w:val="center"/>
          </w:tcPr>
          <w:p w14:paraId="1942FF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58" w:type="dxa"/>
            <w:vAlign w:val="center"/>
          </w:tcPr>
          <w:p w14:paraId="3A5C04C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0.0034</w:t>
            </w:r>
          </w:p>
        </w:tc>
        <w:tc>
          <w:tcPr>
            <w:tcW w:w="1958" w:type="dxa"/>
            <w:vAlign w:val="center"/>
          </w:tcPr>
          <w:p w14:paraId="772F63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0.0274</w:t>
            </w:r>
          </w:p>
        </w:tc>
        <w:tc>
          <w:tcPr>
            <w:tcW w:w="1958" w:type="dxa"/>
            <w:vAlign w:val="center"/>
          </w:tcPr>
          <w:p w14:paraId="700A6F8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0.5213</w:t>
            </w:r>
          </w:p>
        </w:tc>
        <w:tc>
          <w:tcPr>
            <w:tcW w:w="1958" w:type="dxa"/>
            <w:vAlign w:val="center"/>
          </w:tcPr>
          <w:p w14:paraId="5B65C2D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36BB39BF" w14:textId="77777777">
        <w:tc>
          <w:tcPr>
            <w:tcW w:w="1958" w:type="dxa"/>
            <w:vAlign w:val="center"/>
          </w:tcPr>
          <w:p w14:paraId="53AFFE7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经营现金流</w:t>
            </w:r>
          </w:p>
        </w:tc>
        <w:tc>
          <w:tcPr>
            <w:tcW w:w="1958" w:type="dxa"/>
            <w:vAlign w:val="center"/>
          </w:tcPr>
          <w:p w14:paraId="21C1931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0.0030</w:t>
            </w:r>
          </w:p>
        </w:tc>
        <w:tc>
          <w:tcPr>
            <w:tcW w:w="1958" w:type="dxa"/>
            <w:vAlign w:val="center"/>
          </w:tcPr>
          <w:p w14:paraId="1A33AE5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0.2141</w:t>
            </w:r>
          </w:p>
        </w:tc>
        <w:tc>
          <w:tcPr>
            <w:tcW w:w="1958" w:type="dxa"/>
            <w:vAlign w:val="center"/>
          </w:tcPr>
          <w:p w14:paraId="4BB5390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0.5488</w:t>
            </w:r>
          </w:p>
        </w:tc>
        <w:tc>
          <w:tcPr>
            <w:tcW w:w="1958" w:type="dxa"/>
            <w:vAlign w:val="center"/>
          </w:tcPr>
          <w:p w14:paraId="02594BB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  <w:tr w:rsidR="001936CA" w14:paraId="5A08678B" w14:textId="77777777">
        <w:tc>
          <w:tcPr>
            <w:tcW w:w="1958" w:type="dxa"/>
            <w:vAlign w:val="center"/>
          </w:tcPr>
          <w:p w14:paraId="47A3350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1958" w:type="dxa"/>
            <w:vAlign w:val="center"/>
          </w:tcPr>
          <w:p w14:paraId="5B36E3F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0.0009</w:t>
            </w:r>
          </w:p>
        </w:tc>
        <w:tc>
          <w:tcPr>
            <w:tcW w:w="1958" w:type="dxa"/>
            <w:vAlign w:val="center"/>
          </w:tcPr>
          <w:p w14:paraId="63D4C6C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0.0619</w:t>
            </w:r>
          </w:p>
        </w:tc>
        <w:tc>
          <w:tcPr>
            <w:tcW w:w="1958" w:type="dxa"/>
            <w:vAlign w:val="center"/>
          </w:tcPr>
          <w:p w14:paraId="74D9F19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0.5640</w:t>
            </w:r>
          </w:p>
        </w:tc>
        <w:tc>
          <w:tcPr>
            <w:tcW w:w="1958" w:type="dxa"/>
            <w:vAlign w:val="center"/>
          </w:tcPr>
          <w:p w14:paraId="68171EE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</w:tr>
    </w:tbl>
    <w:p w14:paraId="695AA7EA" w14:textId="77777777" w:rsidR="00052E81" w:rsidRDefault="00052E81">
      <w:pPr>
        <w:rPr>
          <w:rFonts w:hint="eastAsia"/>
          <w:b/>
          <w:sz w:val="20"/>
          <w:lang w:eastAsia="zh-CN"/>
        </w:rPr>
      </w:pPr>
      <w:r>
        <w:rPr>
          <w:rFonts w:hint="eastAsia"/>
          <w:b/>
          <w:sz w:val="20"/>
          <w:lang w:eastAsia="zh-CN"/>
        </w:rPr>
        <w:br w:type="page"/>
      </w:r>
    </w:p>
    <w:p w14:paraId="0F79161E" w14:textId="6B319CD6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lastRenderedPageBreak/>
        <w:t>表5：AI辅助因子动作清单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06B484E6" w14:textId="77777777">
        <w:tc>
          <w:tcPr>
            <w:tcW w:w="1958" w:type="dxa"/>
            <w:shd w:val="clear" w:color="auto" w:fill="D9EAF7"/>
            <w:vAlign w:val="center"/>
          </w:tcPr>
          <w:p w14:paraId="33522F7A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72F42619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B66719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441F6B1E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AI动作归类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45D3485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原因</w:t>
            </w:r>
          </w:p>
        </w:tc>
      </w:tr>
      <w:tr w:rsidR="001936CA" w14:paraId="01A70738" w14:textId="77777777">
        <w:tc>
          <w:tcPr>
            <w:tcW w:w="1958" w:type="dxa"/>
            <w:vAlign w:val="center"/>
          </w:tcPr>
          <w:p w14:paraId="565B0FF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1958" w:type="dxa"/>
            <w:vAlign w:val="center"/>
          </w:tcPr>
          <w:p w14:paraId="7E8081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0.0673</w:t>
            </w:r>
          </w:p>
        </w:tc>
        <w:tc>
          <w:tcPr>
            <w:tcW w:w="1958" w:type="dxa"/>
            <w:vAlign w:val="center"/>
          </w:tcPr>
          <w:p w14:paraId="22F7AE2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0.6290</w:t>
            </w:r>
          </w:p>
        </w:tc>
        <w:tc>
          <w:tcPr>
            <w:tcW w:w="1958" w:type="dxa"/>
            <w:vAlign w:val="center"/>
          </w:tcPr>
          <w:p w14:paraId="12E01E0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3AEBC310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64D0DE2A" w14:textId="77777777">
        <w:tc>
          <w:tcPr>
            <w:tcW w:w="1958" w:type="dxa"/>
            <w:vAlign w:val="center"/>
          </w:tcPr>
          <w:p w14:paraId="7FCCB0FA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估值</w:t>
            </w:r>
            <w:proofErr w:type="spellEnd"/>
            <w:r>
              <w:rPr>
                <w:sz w:val="16"/>
              </w:rPr>
              <w:t>-BP</w:t>
            </w:r>
          </w:p>
        </w:tc>
        <w:tc>
          <w:tcPr>
            <w:tcW w:w="1958" w:type="dxa"/>
            <w:vAlign w:val="center"/>
          </w:tcPr>
          <w:p w14:paraId="6AAE6B8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0.0666</w:t>
            </w:r>
          </w:p>
        </w:tc>
        <w:tc>
          <w:tcPr>
            <w:tcW w:w="1958" w:type="dxa"/>
            <w:vAlign w:val="center"/>
          </w:tcPr>
          <w:p w14:paraId="405FA6B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  <w:tc>
          <w:tcPr>
            <w:tcW w:w="1958" w:type="dxa"/>
            <w:vAlign w:val="center"/>
          </w:tcPr>
          <w:p w14:paraId="308B3B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6888D7EF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05A3FF5D" w14:textId="77777777">
        <w:tc>
          <w:tcPr>
            <w:tcW w:w="1958" w:type="dxa"/>
            <w:vAlign w:val="center"/>
          </w:tcPr>
          <w:p w14:paraId="3BE7D224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低换手</w:t>
            </w:r>
            <w:proofErr w:type="spellEnd"/>
          </w:p>
        </w:tc>
        <w:tc>
          <w:tcPr>
            <w:tcW w:w="1958" w:type="dxa"/>
            <w:vAlign w:val="center"/>
          </w:tcPr>
          <w:p w14:paraId="4775839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0.0564</w:t>
            </w:r>
          </w:p>
        </w:tc>
        <w:tc>
          <w:tcPr>
            <w:tcW w:w="1958" w:type="dxa"/>
            <w:vAlign w:val="center"/>
          </w:tcPr>
          <w:p w14:paraId="02465A3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0.6117</w:t>
            </w:r>
          </w:p>
        </w:tc>
        <w:tc>
          <w:tcPr>
            <w:tcW w:w="1958" w:type="dxa"/>
            <w:vAlign w:val="center"/>
          </w:tcPr>
          <w:p w14:paraId="60002E2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01F741CD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676671F8" w14:textId="77777777">
        <w:tc>
          <w:tcPr>
            <w:tcW w:w="1958" w:type="dxa"/>
            <w:vAlign w:val="center"/>
          </w:tcPr>
          <w:p w14:paraId="7F883480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小市值暴露</w:t>
            </w:r>
            <w:proofErr w:type="spellEnd"/>
          </w:p>
        </w:tc>
        <w:tc>
          <w:tcPr>
            <w:tcW w:w="1958" w:type="dxa"/>
            <w:vAlign w:val="center"/>
          </w:tcPr>
          <w:p w14:paraId="27531F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0.0488</w:t>
            </w:r>
          </w:p>
        </w:tc>
        <w:tc>
          <w:tcPr>
            <w:tcW w:w="1958" w:type="dxa"/>
            <w:vAlign w:val="center"/>
          </w:tcPr>
          <w:p w14:paraId="3AF242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0.6342</w:t>
            </w:r>
          </w:p>
        </w:tc>
        <w:tc>
          <w:tcPr>
            <w:tcW w:w="1958" w:type="dxa"/>
            <w:vAlign w:val="center"/>
          </w:tcPr>
          <w:p w14:paraId="7AFA8DD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79204E3D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25E3BCF0" w14:textId="77777777">
        <w:tc>
          <w:tcPr>
            <w:tcW w:w="1958" w:type="dxa"/>
            <w:vAlign w:val="center"/>
          </w:tcPr>
          <w:p w14:paraId="602F2204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短期反转</w:t>
            </w:r>
            <w:proofErr w:type="spellEnd"/>
          </w:p>
        </w:tc>
        <w:tc>
          <w:tcPr>
            <w:tcW w:w="1958" w:type="dxa"/>
            <w:vAlign w:val="center"/>
          </w:tcPr>
          <w:p w14:paraId="0B38D50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0.0388</w:t>
            </w:r>
          </w:p>
        </w:tc>
        <w:tc>
          <w:tcPr>
            <w:tcW w:w="1958" w:type="dxa"/>
            <w:vAlign w:val="center"/>
          </w:tcPr>
          <w:p w14:paraId="1E509A9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0.6018</w:t>
            </w:r>
          </w:p>
        </w:tc>
        <w:tc>
          <w:tcPr>
            <w:tcW w:w="1958" w:type="dxa"/>
            <w:vAlign w:val="center"/>
          </w:tcPr>
          <w:p w14:paraId="1547B68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7B311AF2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39CB050B" w14:textId="77777777">
        <w:tc>
          <w:tcPr>
            <w:tcW w:w="1958" w:type="dxa"/>
            <w:vAlign w:val="center"/>
          </w:tcPr>
          <w:p w14:paraId="2CD402F4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股息率</w:t>
            </w:r>
            <w:proofErr w:type="spellEnd"/>
          </w:p>
        </w:tc>
        <w:tc>
          <w:tcPr>
            <w:tcW w:w="1958" w:type="dxa"/>
            <w:vAlign w:val="center"/>
          </w:tcPr>
          <w:p w14:paraId="5C82143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0.0327</w:t>
            </w:r>
          </w:p>
        </w:tc>
        <w:tc>
          <w:tcPr>
            <w:tcW w:w="1958" w:type="dxa"/>
            <w:vAlign w:val="center"/>
          </w:tcPr>
          <w:p w14:paraId="054E906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0.6082</w:t>
            </w:r>
          </w:p>
        </w:tc>
        <w:tc>
          <w:tcPr>
            <w:tcW w:w="1958" w:type="dxa"/>
            <w:vAlign w:val="center"/>
          </w:tcPr>
          <w:p w14:paraId="32073E2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5AE90E00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32268FF4" w14:textId="77777777">
        <w:tc>
          <w:tcPr>
            <w:tcW w:w="1958" w:type="dxa"/>
            <w:vAlign w:val="center"/>
          </w:tcPr>
          <w:p w14:paraId="3C8D582E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估值</w:t>
            </w:r>
            <w:proofErr w:type="spellEnd"/>
            <w:r>
              <w:rPr>
                <w:sz w:val="16"/>
              </w:rPr>
              <w:t>-EP(TTM)</w:t>
            </w:r>
          </w:p>
        </w:tc>
        <w:tc>
          <w:tcPr>
            <w:tcW w:w="1958" w:type="dxa"/>
            <w:vAlign w:val="center"/>
          </w:tcPr>
          <w:p w14:paraId="157CA6B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0.0300</w:t>
            </w:r>
          </w:p>
        </w:tc>
        <w:tc>
          <w:tcPr>
            <w:tcW w:w="1958" w:type="dxa"/>
            <w:vAlign w:val="center"/>
          </w:tcPr>
          <w:p w14:paraId="6A158C2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0.5714</w:t>
            </w:r>
          </w:p>
        </w:tc>
        <w:tc>
          <w:tcPr>
            <w:tcW w:w="1958" w:type="dxa"/>
            <w:vAlign w:val="center"/>
          </w:tcPr>
          <w:p w14:paraId="57AFB3A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核心加权</w:t>
            </w:r>
          </w:p>
        </w:tc>
        <w:tc>
          <w:tcPr>
            <w:tcW w:w="1958" w:type="dxa"/>
            <w:vAlign w:val="center"/>
          </w:tcPr>
          <w:p w14:paraId="0A8BD993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方向稳定，可作为组合主输入</w:t>
            </w:r>
          </w:p>
        </w:tc>
      </w:tr>
      <w:tr w:rsidR="001936CA" w14:paraId="6D77A55F" w14:textId="77777777">
        <w:tc>
          <w:tcPr>
            <w:tcW w:w="1958" w:type="dxa"/>
            <w:vAlign w:val="center"/>
          </w:tcPr>
          <w:p w14:paraId="0C6D5C49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低杠杆</w:t>
            </w:r>
            <w:proofErr w:type="spellEnd"/>
          </w:p>
        </w:tc>
        <w:tc>
          <w:tcPr>
            <w:tcW w:w="1958" w:type="dxa"/>
            <w:vAlign w:val="center"/>
          </w:tcPr>
          <w:p w14:paraId="5A7A0B6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0.0031</w:t>
            </w:r>
          </w:p>
        </w:tc>
        <w:tc>
          <w:tcPr>
            <w:tcW w:w="1958" w:type="dxa"/>
            <w:vAlign w:val="center"/>
          </w:tcPr>
          <w:p w14:paraId="1715233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0.5844</w:t>
            </w:r>
          </w:p>
        </w:tc>
        <w:tc>
          <w:tcPr>
            <w:tcW w:w="1958" w:type="dxa"/>
            <w:vAlign w:val="center"/>
          </w:tcPr>
          <w:p w14:paraId="20F423C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观察保留</w:t>
            </w:r>
          </w:p>
        </w:tc>
        <w:tc>
          <w:tcPr>
            <w:tcW w:w="1958" w:type="dxa"/>
            <w:vAlign w:val="center"/>
          </w:tcPr>
          <w:p w14:paraId="510CA736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信号较弱，保留观察不直接加权</w:t>
            </w:r>
          </w:p>
        </w:tc>
      </w:tr>
      <w:tr w:rsidR="001936CA" w14:paraId="4DAF896C" w14:textId="77777777">
        <w:tc>
          <w:tcPr>
            <w:tcW w:w="1958" w:type="dxa"/>
            <w:vAlign w:val="center"/>
          </w:tcPr>
          <w:p w14:paraId="221016CA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ROE质量</w:t>
            </w:r>
            <w:proofErr w:type="spellEnd"/>
          </w:p>
        </w:tc>
        <w:tc>
          <w:tcPr>
            <w:tcW w:w="1958" w:type="dxa"/>
            <w:vAlign w:val="center"/>
          </w:tcPr>
          <w:p w14:paraId="5E46FEC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0.0014</w:t>
            </w:r>
          </w:p>
        </w:tc>
        <w:tc>
          <w:tcPr>
            <w:tcW w:w="1958" w:type="dxa"/>
            <w:vAlign w:val="center"/>
          </w:tcPr>
          <w:p w14:paraId="64A9D9E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6318A40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观察保留</w:t>
            </w:r>
          </w:p>
        </w:tc>
        <w:tc>
          <w:tcPr>
            <w:tcW w:w="1958" w:type="dxa"/>
            <w:vAlign w:val="center"/>
          </w:tcPr>
          <w:p w14:paraId="43592364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信号较弱，保留观察不直接加权</w:t>
            </w:r>
          </w:p>
        </w:tc>
      </w:tr>
      <w:tr w:rsidR="001936CA" w14:paraId="75F439B8" w14:textId="77777777">
        <w:tc>
          <w:tcPr>
            <w:tcW w:w="1958" w:type="dxa"/>
            <w:vAlign w:val="center"/>
          </w:tcPr>
          <w:p w14:paraId="6237C2C2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ROA质量</w:t>
            </w:r>
            <w:proofErr w:type="spellEnd"/>
          </w:p>
        </w:tc>
        <w:tc>
          <w:tcPr>
            <w:tcW w:w="1958" w:type="dxa"/>
            <w:vAlign w:val="center"/>
          </w:tcPr>
          <w:p w14:paraId="1037741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0.0009</w:t>
            </w:r>
          </w:p>
        </w:tc>
        <w:tc>
          <w:tcPr>
            <w:tcW w:w="1958" w:type="dxa"/>
            <w:vAlign w:val="center"/>
          </w:tcPr>
          <w:p w14:paraId="3A6DEB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0.5433</w:t>
            </w:r>
          </w:p>
        </w:tc>
        <w:tc>
          <w:tcPr>
            <w:tcW w:w="1958" w:type="dxa"/>
            <w:vAlign w:val="center"/>
          </w:tcPr>
          <w:p w14:paraId="25E8CB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观察保留</w:t>
            </w:r>
          </w:p>
        </w:tc>
        <w:tc>
          <w:tcPr>
            <w:tcW w:w="1958" w:type="dxa"/>
            <w:vAlign w:val="center"/>
          </w:tcPr>
          <w:p w14:paraId="6ECE287D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信号较弱，保留观察不直接加权</w:t>
            </w:r>
          </w:p>
        </w:tc>
      </w:tr>
    </w:tbl>
    <w:p w14:paraId="355740DB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3BA2808" wp14:editId="179E7EF2">
            <wp:extent cx="5669280" cy="283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s_factor_ic_b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D285" w14:textId="77777777" w:rsidR="001936CA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78BAB1" wp14:editId="509EFBA8">
            <wp:extent cx="5669280" cy="4409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_correlation_heat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24AA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（三）模型选择：训练期内比较目标期限与持仓数量</w:t>
      </w:r>
    </w:p>
    <w:p w14:paraId="34B75A69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本轮没有直接用样本外表现挑模型，而是在训练期内比较下一日、未来5日、未来20日三类标签及Top30/50/100/200持仓数量。训练期目标函数综合绝对收益、超额收益、回撤和换手后，选择未来20日收益、Top200方案。这个流程更接近AI在研究平台中的真实角色：自动完成候选方案枚举和排序，同时保留研究员可审计的选择依据。</w:t>
      </w:r>
    </w:p>
    <w:p w14:paraId="79144103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表6：训练期模型选择结果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66"/>
        <w:gridCol w:w="1096"/>
        <w:gridCol w:w="1111"/>
        <w:gridCol w:w="1147"/>
        <w:gridCol w:w="1147"/>
        <w:gridCol w:w="1147"/>
        <w:gridCol w:w="1147"/>
        <w:gridCol w:w="1147"/>
      </w:tblGrid>
      <w:tr w:rsidR="001936CA" w14:paraId="2FFE0A74" w14:textId="77777777">
        <w:tc>
          <w:tcPr>
            <w:tcW w:w="1224" w:type="dxa"/>
            <w:shd w:val="clear" w:color="auto" w:fill="D9EAF7"/>
            <w:vAlign w:val="center"/>
          </w:tcPr>
          <w:p w14:paraId="190F0C40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模型</w:t>
            </w:r>
            <w:proofErr w:type="spellEnd"/>
          </w:p>
        </w:tc>
        <w:tc>
          <w:tcPr>
            <w:tcW w:w="1224" w:type="dxa"/>
            <w:shd w:val="clear" w:color="auto" w:fill="D9EAF7"/>
            <w:vAlign w:val="center"/>
          </w:tcPr>
          <w:p w14:paraId="7155A5F9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训练标签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DCD4088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持仓数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4631A402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训练目标分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96DAB4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训练年化收益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7F50B8B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训练年化超额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56CBB42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训练最大回撤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5FCBFEE2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训练平均换手</w:t>
            </w:r>
          </w:p>
        </w:tc>
      </w:tr>
      <w:tr w:rsidR="001936CA" w14:paraId="64AC5D5A" w14:textId="77777777">
        <w:tc>
          <w:tcPr>
            <w:tcW w:w="1224" w:type="dxa"/>
            <w:vAlign w:val="center"/>
          </w:tcPr>
          <w:p w14:paraId="3FE3E2A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next_20d_return_top200</w:t>
            </w:r>
          </w:p>
        </w:tc>
        <w:tc>
          <w:tcPr>
            <w:tcW w:w="1224" w:type="dxa"/>
            <w:vAlign w:val="center"/>
          </w:tcPr>
          <w:p w14:paraId="2479EFD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74F2CB2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1224" w:type="dxa"/>
            <w:vAlign w:val="center"/>
          </w:tcPr>
          <w:p w14:paraId="2169161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0.2598</w:t>
            </w:r>
          </w:p>
        </w:tc>
        <w:tc>
          <w:tcPr>
            <w:tcW w:w="1224" w:type="dxa"/>
            <w:vAlign w:val="center"/>
          </w:tcPr>
          <w:p w14:paraId="5780AEA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0.2268</w:t>
            </w:r>
          </w:p>
        </w:tc>
        <w:tc>
          <w:tcPr>
            <w:tcW w:w="1224" w:type="dxa"/>
            <w:vAlign w:val="center"/>
          </w:tcPr>
          <w:p w14:paraId="7EB8BE5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0.2102</w:t>
            </w:r>
          </w:p>
        </w:tc>
        <w:tc>
          <w:tcPr>
            <w:tcW w:w="1224" w:type="dxa"/>
            <w:vAlign w:val="center"/>
          </w:tcPr>
          <w:p w14:paraId="106A031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-0.1984</w:t>
            </w:r>
          </w:p>
        </w:tc>
        <w:tc>
          <w:tcPr>
            <w:tcW w:w="1224" w:type="dxa"/>
            <w:vAlign w:val="center"/>
          </w:tcPr>
          <w:p w14:paraId="4E0659B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0.0534</w:t>
            </w:r>
          </w:p>
        </w:tc>
      </w:tr>
      <w:tr w:rsidR="001936CA" w14:paraId="67974E8C" w14:textId="77777777">
        <w:tc>
          <w:tcPr>
            <w:tcW w:w="1224" w:type="dxa"/>
            <w:vAlign w:val="center"/>
          </w:tcPr>
          <w:p w14:paraId="4386356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next_20d_return_top30</w:t>
            </w:r>
          </w:p>
        </w:tc>
        <w:tc>
          <w:tcPr>
            <w:tcW w:w="1224" w:type="dxa"/>
            <w:vAlign w:val="center"/>
          </w:tcPr>
          <w:p w14:paraId="0EBBF6A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5BF33C8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224" w:type="dxa"/>
            <w:vAlign w:val="center"/>
          </w:tcPr>
          <w:p w14:paraId="1D655C7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0.2577</w:t>
            </w:r>
          </w:p>
        </w:tc>
        <w:tc>
          <w:tcPr>
            <w:tcW w:w="1224" w:type="dxa"/>
            <w:vAlign w:val="center"/>
          </w:tcPr>
          <w:p w14:paraId="5499D44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0.2172</w:t>
            </w:r>
          </w:p>
        </w:tc>
        <w:tc>
          <w:tcPr>
            <w:tcW w:w="1224" w:type="dxa"/>
            <w:vAlign w:val="center"/>
          </w:tcPr>
          <w:p w14:paraId="2C72138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0.1997</w:t>
            </w:r>
          </w:p>
        </w:tc>
        <w:tc>
          <w:tcPr>
            <w:tcW w:w="1224" w:type="dxa"/>
            <w:vAlign w:val="center"/>
          </w:tcPr>
          <w:p w14:paraId="2F6399B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-0.1548</w:t>
            </w:r>
          </w:p>
        </w:tc>
        <w:tc>
          <w:tcPr>
            <w:tcW w:w="1224" w:type="dxa"/>
            <w:vAlign w:val="center"/>
          </w:tcPr>
          <w:p w14:paraId="1B0D48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0.1009</w:t>
            </w:r>
          </w:p>
        </w:tc>
      </w:tr>
      <w:tr w:rsidR="001936CA" w14:paraId="7E384364" w14:textId="77777777">
        <w:tc>
          <w:tcPr>
            <w:tcW w:w="1224" w:type="dxa"/>
            <w:vAlign w:val="center"/>
          </w:tcPr>
          <w:p w14:paraId="32AD4D6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next_20d_return_top100</w:t>
            </w:r>
          </w:p>
        </w:tc>
        <w:tc>
          <w:tcPr>
            <w:tcW w:w="1224" w:type="dxa"/>
            <w:vAlign w:val="center"/>
          </w:tcPr>
          <w:p w14:paraId="3D7ECAD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4437BDC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1224" w:type="dxa"/>
            <w:vAlign w:val="center"/>
          </w:tcPr>
          <w:p w14:paraId="2978F6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0.2490</w:t>
            </w:r>
          </w:p>
        </w:tc>
        <w:tc>
          <w:tcPr>
            <w:tcW w:w="1224" w:type="dxa"/>
            <w:vAlign w:val="center"/>
          </w:tcPr>
          <w:p w14:paraId="20A7B3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0.2157</w:t>
            </w:r>
          </w:p>
        </w:tc>
        <w:tc>
          <w:tcPr>
            <w:tcW w:w="1224" w:type="dxa"/>
            <w:vAlign w:val="center"/>
          </w:tcPr>
          <w:p w14:paraId="5CA4F26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0.1990</w:t>
            </w:r>
          </w:p>
        </w:tc>
        <w:tc>
          <w:tcPr>
            <w:tcW w:w="1224" w:type="dxa"/>
            <w:vAlign w:val="center"/>
          </w:tcPr>
          <w:p w14:paraId="3EF42B3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-0.1799</w:t>
            </w:r>
          </w:p>
        </w:tc>
        <w:tc>
          <w:tcPr>
            <w:tcW w:w="1224" w:type="dxa"/>
            <w:vAlign w:val="center"/>
          </w:tcPr>
          <w:p w14:paraId="382BAA7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0.0648</w:t>
            </w:r>
          </w:p>
        </w:tc>
      </w:tr>
      <w:tr w:rsidR="001936CA" w14:paraId="66509245" w14:textId="77777777">
        <w:tc>
          <w:tcPr>
            <w:tcW w:w="1224" w:type="dxa"/>
            <w:vAlign w:val="center"/>
          </w:tcPr>
          <w:p w14:paraId="4F7E46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next_20d_return_top50</w:t>
            </w:r>
          </w:p>
        </w:tc>
        <w:tc>
          <w:tcPr>
            <w:tcW w:w="1224" w:type="dxa"/>
            <w:vAlign w:val="center"/>
          </w:tcPr>
          <w:p w14:paraId="3A57B12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未来20日收益</w:t>
            </w:r>
          </w:p>
        </w:tc>
        <w:tc>
          <w:tcPr>
            <w:tcW w:w="1224" w:type="dxa"/>
            <w:vAlign w:val="center"/>
          </w:tcPr>
          <w:p w14:paraId="5134C9F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24" w:type="dxa"/>
            <w:vAlign w:val="center"/>
          </w:tcPr>
          <w:p w14:paraId="7135C30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0.2337</w:t>
            </w:r>
          </w:p>
        </w:tc>
        <w:tc>
          <w:tcPr>
            <w:tcW w:w="1224" w:type="dxa"/>
            <w:vAlign w:val="center"/>
          </w:tcPr>
          <w:p w14:paraId="3688C94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0.2021</w:t>
            </w:r>
          </w:p>
        </w:tc>
        <w:tc>
          <w:tcPr>
            <w:tcW w:w="1224" w:type="dxa"/>
            <w:vAlign w:val="center"/>
          </w:tcPr>
          <w:p w14:paraId="389D7C1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0.1847</w:t>
            </w:r>
          </w:p>
        </w:tc>
        <w:tc>
          <w:tcPr>
            <w:tcW w:w="1224" w:type="dxa"/>
            <w:vAlign w:val="center"/>
          </w:tcPr>
          <w:p w14:paraId="0CAE17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-0.1618</w:t>
            </w:r>
          </w:p>
        </w:tc>
        <w:tc>
          <w:tcPr>
            <w:tcW w:w="1224" w:type="dxa"/>
            <w:vAlign w:val="center"/>
          </w:tcPr>
          <w:p w14:paraId="0DCF573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0.0827</w:t>
            </w:r>
          </w:p>
        </w:tc>
      </w:tr>
      <w:tr w:rsidR="001936CA" w14:paraId="49486A69" w14:textId="77777777">
        <w:tc>
          <w:tcPr>
            <w:tcW w:w="1224" w:type="dxa"/>
            <w:vAlign w:val="center"/>
          </w:tcPr>
          <w:p w14:paraId="3C0845F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next_5d_return_top50</w:t>
            </w:r>
          </w:p>
        </w:tc>
        <w:tc>
          <w:tcPr>
            <w:tcW w:w="1224" w:type="dxa"/>
            <w:vAlign w:val="center"/>
          </w:tcPr>
          <w:p w14:paraId="247214D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未来5日收益</w:t>
            </w:r>
          </w:p>
        </w:tc>
        <w:tc>
          <w:tcPr>
            <w:tcW w:w="1224" w:type="dxa"/>
            <w:vAlign w:val="center"/>
          </w:tcPr>
          <w:p w14:paraId="47954CD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24" w:type="dxa"/>
            <w:vAlign w:val="center"/>
          </w:tcPr>
          <w:p w14:paraId="45B2002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0.2290</w:t>
            </w:r>
          </w:p>
        </w:tc>
        <w:tc>
          <w:tcPr>
            <w:tcW w:w="1224" w:type="dxa"/>
            <w:vAlign w:val="center"/>
          </w:tcPr>
          <w:p w14:paraId="58BC40B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0.1968</w:t>
            </w:r>
          </w:p>
        </w:tc>
        <w:tc>
          <w:tcPr>
            <w:tcW w:w="1224" w:type="dxa"/>
            <w:vAlign w:val="center"/>
          </w:tcPr>
          <w:p w14:paraId="490B8B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0.1787</w:t>
            </w:r>
          </w:p>
        </w:tc>
        <w:tc>
          <w:tcPr>
            <w:tcW w:w="1224" w:type="dxa"/>
            <w:vAlign w:val="center"/>
          </w:tcPr>
          <w:p w14:paraId="5B045FC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-0.1496</w:t>
            </w:r>
          </w:p>
        </w:tc>
        <w:tc>
          <w:tcPr>
            <w:tcW w:w="1224" w:type="dxa"/>
            <w:vAlign w:val="center"/>
          </w:tcPr>
          <w:p w14:paraId="51DA930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0.0958</w:t>
            </w:r>
          </w:p>
        </w:tc>
      </w:tr>
      <w:tr w:rsidR="001936CA" w14:paraId="4BC14E03" w14:textId="77777777">
        <w:tc>
          <w:tcPr>
            <w:tcW w:w="1224" w:type="dxa"/>
            <w:vAlign w:val="center"/>
          </w:tcPr>
          <w:p w14:paraId="7A270E5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next_5d_return_top200</w:t>
            </w:r>
          </w:p>
        </w:tc>
        <w:tc>
          <w:tcPr>
            <w:tcW w:w="1224" w:type="dxa"/>
            <w:vAlign w:val="center"/>
          </w:tcPr>
          <w:p w14:paraId="475D20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未来5日收益</w:t>
            </w:r>
          </w:p>
        </w:tc>
        <w:tc>
          <w:tcPr>
            <w:tcW w:w="1224" w:type="dxa"/>
            <w:vAlign w:val="center"/>
          </w:tcPr>
          <w:p w14:paraId="5AC411E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1224" w:type="dxa"/>
            <w:vAlign w:val="center"/>
          </w:tcPr>
          <w:p w14:paraId="2EF0093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0.1974</w:t>
            </w:r>
          </w:p>
        </w:tc>
        <w:tc>
          <w:tcPr>
            <w:tcW w:w="1224" w:type="dxa"/>
            <w:vAlign w:val="center"/>
          </w:tcPr>
          <w:p w14:paraId="499F2AB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0.1851</w:t>
            </w:r>
          </w:p>
        </w:tc>
        <w:tc>
          <w:tcPr>
            <w:tcW w:w="1224" w:type="dxa"/>
            <w:vAlign w:val="center"/>
          </w:tcPr>
          <w:p w14:paraId="7A36D2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0.1690</w:t>
            </w:r>
          </w:p>
        </w:tc>
        <w:tc>
          <w:tcPr>
            <w:tcW w:w="1224" w:type="dxa"/>
            <w:vAlign w:val="center"/>
          </w:tcPr>
          <w:p w14:paraId="243923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-0.1982</w:t>
            </w:r>
          </w:p>
        </w:tc>
        <w:tc>
          <w:tcPr>
            <w:tcW w:w="1224" w:type="dxa"/>
            <w:vAlign w:val="center"/>
          </w:tcPr>
          <w:p w14:paraId="3F0C08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0.0577</w:t>
            </w:r>
          </w:p>
        </w:tc>
      </w:tr>
      <w:tr w:rsidR="001936CA" w14:paraId="5FD0FAB0" w14:textId="77777777">
        <w:tc>
          <w:tcPr>
            <w:tcW w:w="1224" w:type="dxa"/>
            <w:vAlign w:val="center"/>
          </w:tcPr>
          <w:p w14:paraId="51DAB83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next_return_top50</w:t>
            </w:r>
          </w:p>
        </w:tc>
        <w:tc>
          <w:tcPr>
            <w:tcW w:w="1224" w:type="dxa"/>
            <w:vAlign w:val="center"/>
          </w:tcPr>
          <w:p w14:paraId="4ED9B16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下一交易日收益</w:t>
            </w:r>
          </w:p>
        </w:tc>
        <w:tc>
          <w:tcPr>
            <w:tcW w:w="1224" w:type="dxa"/>
            <w:vAlign w:val="center"/>
          </w:tcPr>
          <w:p w14:paraId="1077A8B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224" w:type="dxa"/>
            <w:vAlign w:val="center"/>
          </w:tcPr>
          <w:p w14:paraId="598F53D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0.1957</w:t>
            </w:r>
          </w:p>
        </w:tc>
        <w:tc>
          <w:tcPr>
            <w:tcW w:w="1224" w:type="dxa"/>
            <w:vAlign w:val="center"/>
          </w:tcPr>
          <w:p w14:paraId="6A9001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0.1773</w:t>
            </w:r>
          </w:p>
        </w:tc>
        <w:tc>
          <w:tcPr>
            <w:tcW w:w="1224" w:type="dxa"/>
            <w:vAlign w:val="center"/>
          </w:tcPr>
          <w:p w14:paraId="31A1CCC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0.1575</w:t>
            </w:r>
          </w:p>
        </w:tc>
        <w:tc>
          <w:tcPr>
            <w:tcW w:w="1224" w:type="dxa"/>
            <w:vAlign w:val="center"/>
          </w:tcPr>
          <w:p w14:paraId="27397D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-0.1600</w:t>
            </w:r>
          </w:p>
        </w:tc>
        <w:tc>
          <w:tcPr>
            <w:tcW w:w="1224" w:type="dxa"/>
            <w:vAlign w:val="center"/>
          </w:tcPr>
          <w:p w14:paraId="638AD31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0.0883</w:t>
            </w:r>
          </w:p>
        </w:tc>
      </w:tr>
      <w:tr w:rsidR="001936CA" w14:paraId="7F2163C8" w14:textId="77777777">
        <w:tc>
          <w:tcPr>
            <w:tcW w:w="1224" w:type="dxa"/>
            <w:vAlign w:val="center"/>
          </w:tcPr>
          <w:p w14:paraId="6F2E09E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next_return_top30</w:t>
            </w:r>
          </w:p>
        </w:tc>
        <w:tc>
          <w:tcPr>
            <w:tcW w:w="1224" w:type="dxa"/>
            <w:vAlign w:val="center"/>
          </w:tcPr>
          <w:p w14:paraId="543EC63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下一交易日收益</w:t>
            </w:r>
          </w:p>
        </w:tc>
        <w:tc>
          <w:tcPr>
            <w:tcW w:w="1224" w:type="dxa"/>
            <w:vAlign w:val="center"/>
          </w:tcPr>
          <w:p w14:paraId="07465FE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224" w:type="dxa"/>
            <w:vAlign w:val="center"/>
          </w:tcPr>
          <w:p w14:paraId="31DAF94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0.1873</w:t>
            </w:r>
          </w:p>
        </w:tc>
        <w:tc>
          <w:tcPr>
            <w:tcW w:w="1224" w:type="dxa"/>
            <w:vAlign w:val="center"/>
          </w:tcPr>
          <w:p w14:paraId="389A5E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0.1749</w:t>
            </w:r>
          </w:p>
        </w:tc>
        <w:tc>
          <w:tcPr>
            <w:tcW w:w="1224" w:type="dxa"/>
            <w:vAlign w:val="center"/>
          </w:tcPr>
          <w:p w14:paraId="1534C7C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0.1540</w:t>
            </w:r>
          </w:p>
        </w:tc>
        <w:tc>
          <w:tcPr>
            <w:tcW w:w="1224" w:type="dxa"/>
            <w:vAlign w:val="center"/>
          </w:tcPr>
          <w:p w14:paraId="24E0F23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-0.1699</w:t>
            </w:r>
          </w:p>
        </w:tc>
        <w:tc>
          <w:tcPr>
            <w:tcW w:w="1224" w:type="dxa"/>
            <w:vAlign w:val="center"/>
          </w:tcPr>
          <w:p w14:paraId="64B7ED8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0.1022</w:t>
            </w:r>
          </w:p>
        </w:tc>
      </w:tr>
    </w:tbl>
    <w:p w14:paraId="3EFDF1E2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（四）因子组合优化：从人工等权走向可解释权重</w:t>
      </w:r>
    </w:p>
    <w:p w14:paraId="2F353941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根据训练期IC和稳定性自动形成组合权重，优先选择方向为正、正IC占比较高且IC_IR较好的因子。本轮权重靠前的因子包括：估值-BP(28.9%)、小市值暴露(21.7%)、低波动(20.9%)、低换手(12.9%)。这类方法适合让AI承担“规则化初筛与解释”的角色，研究员再结合行业、市值和交易约束做二次确认。</w:t>
      </w:r>
    </w:p>
    <w:p w14:paraId="27E23766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表7：AI辅助优化因子权重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1936CA" w14:paraId="6C9D5B8E" w14:textId="77777777">
        <w:tc>
          <w:tcPr>
            <w:tcW w:w="2448" w:type="dxa"/>
            <w:shd w:val="clear" w:color="auto" w:fill="D9EAF7"/>
            <w:vAlign w:val="center"/>
          </w:tcPr>
          <w:p w14:paraId="2C741428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2448" w:type="dxa"/>
            <w:shd w:val="clear" w:color="auto" w:fill="D9EAF7"/>
            <w:vAlign w:val="center"/>
          </w:tcPr>
          <w:p w14:paraId="7C35FCAC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权重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E2B50E4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训练期平均IC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ECAFEC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训练期正IC占比</w:t>
            </w:r>
          </w:p>
        </w:tc>
      </w:tr>
      <w:tr w:rsidR="001936CA" w14:paraId="3D3189F0" w14:textId="77777777">
        <w:tc>
          <w:tcPr>
            <w:tcW w:w="2448" w:type="dxa"/>
            <w:vAlign w:val="center"/>
          </w:tcPr>
          <w:p w14:paraId="6BCE3E0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估值-BP</w:t>
            </w:r>
          </w:p>
        </w:tc>
        <w:tc>
          <w:tcPr>
            <w:tcW w:w="2448" w:type="dxa"/>
            <w:vAlign w:val="center"/>
          </w:tcPr>
          <w:p w14:paraId="622FBFC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0.2885</w:t>
            </w:r>
          </w:p>
        </w:tc>
        <w:tc>
          <w:tcPr>
            <w:tcW w:w="2448" w:type="dxa"/>
            <w:vAlign w:val="center"/>
          </w:tcPr>
          <w:p w14:paraId="5CDE338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0.0971</w:t>
            </w:r>
          </w:p>
        </w:tc>
        <w:tc>
          <w:tcPr>
            <w:tcW w:w="2448" w:type="dxa"/>
            <w:vAlign w:val="center"/>
          </w:tcPr>
          <w:p w14:paraId="536AA46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0.7359</w:t>
            </w:r>
          </w:p>
        </w:tc>
      </w:tr>
      <w:tr w:rsidR="001936CA" w14:paraId="4BABA325" w14:textId="77777777">
        <w:tc>
          <w:tcPr>
            <w:tcW w:w="2448" w:type="dxa"/>
            <w:vAlign w:val="center"/>
          </w:tcPr>
          <w:p w14:paraId="30858E7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2448" w:type="dxa"/>
            <w:vAlign w:val="center"/>
          </w:tcPr>
          <w:p w14:paraId="0EB709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0.2175</w:t>
            </w:r>
          </w:p>
        </w:tc>
        <w:tc>
          <w:tcPr>
            <w:tcW w:w="2448" w:type="dxa"/>
            <w:vAlign w:val="center"/>
          </w:tcPr>
          <w:p w14:paraId="1EEBBC6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0.0865</w:t>
            </w:r>
          </w:p>
        </w:tc>
        <w:tc>
          <w:tcPr>
            <w:tcW w:w="2448" w:type="dxa"/>
            <w:vAlign w:val="center"/>
          </w:tcPr>
          <w:p w14:paraId="54A7FD4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0.7424</w:t>
            </w:r>
          </w:p>
        </w:tc>
      </w:tr>
      <w:tr w:rsidR="001936CA" w14:paraId="11421215" w14:textId="77777777">
        <w:tc>
          <w:tcPr>
            <w:tcW w:w="2448" w:type="dxa"/>
            <w:vAlign w:val="center"/>
          </w:tcPr>
          <w:p w14:paraId="129E97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低波动</w:t>
            </w:r>
          </w:p>
        </w:tc>
        <w:tc>
          <w:tcPr>
            <w:tcW w:w="2448" w:type="dxa"/>
            <w:vAlign w:val="center"/>
          </w:tcPr>
          <w:p w14:paraId="69378F5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0.2093</w:t>
            </w:r>
          </w:p>
        </w:tc>
        <w:tc>
          <w:tcPr>
            <w:tcW w:w="2448" w:type="dxa"/>
            <w:vAlign w:val="center"/>
          </w:tcPr>
          <w:p w14:paraId="13826BC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0.0902</w:t>
            </w:r>
          </w:p>
        </w:tc>
        <w:tc>
          <w:tcPr>
            <w:tcW w:w="2448" w:type="dxa"/>
            <w:vAlign w:val="center"/>
          </w:tcPr>
          <w:p w14:paraId="0D6C5D4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0.7104</w:t>
            </w:r>
          </w:p>
        </w:tc>
      </w:tr>
      <w:tr w:rsidR="001936CA" w14:paraId="47A71055" w14:textId="77777777">
        <w:tc>
          <w:tcPr>
            <w:tcW w:w="2448" w:type="dxa"/>
            <w:vAlign w:val="center"/>
          </w:tcPr>
          <w:p w14:paraId="2EBC5B1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低换手</w:t>
            </w:r>
          </w:p>
        </w:tc>
        <w:tc>
          <w:tcPr>
            <w:tcW w:w="2448" w:type="dxa"/>
            <w:vAlign w:val="center"/>
          </w:tcPr>
          <w:p w14:paraId="0AFF425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0.1291</w:t>
            </w:r>
          </w:p>
        </w:tc>
        <w:tc>
          <w:tcPr>
            <w:tcW w:w="2448" w:type="dxa"/>
            <w:vAlign w:val="center"/>
          </w:tcPr>
          <w:p w14:paraId="7DA009C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0.0761</w:t>
            </w:r>
          </w:p>
        </w:tc>
        <w:tc>
          <w:tcPr>
            <w:tcW w:w="2448" w:type="dxa"/>
            <w:vAlign w:val="center"/>
          </w:tcPr>
          <w:p w14:paraId="7FA3BD6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0.6591</w:t>
            </w:r>
          </w:p>
        </w:tc>
      </w:tr>
      <w:tr w:rsidR="001936CA" w14:paraId="46846444" w14:textId="77777777">
        <w:tc>
          <w:tcPr>
            <w:tcW w:w="2448" w:type="dxa"/>
            <w:vAlign w:val="center"/>
          </w:tcPr>
          <w:p w14:paraId="6F2A71F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2448" w:type="dxa"/>
            <w:vAlign w:val="center"/>
          </w:tcPr>
          <w:p w14:paraId="4A629F1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0.0931</w:t>
            </w:r>
          </w:p>
        </w:tc>
        <w:tc>
          <w:tcPr>
            <w:tcW w:w="2448" w:type="dxa"/>
            <w:vAlign w:val="center"/>
          </w:tcPr>
          <w:p w14:paraId="447F16F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0.0486</w:t>
            </w:r>
          </w:p>
        </w:tc>
        <w:tc>
          <w:tcPr>
            <w:tcW w:w="2448" w:type="dxa"/>
            <w:vAlign w:val="center"/>
          </w:tcPr>
          <w:p w14:paraId="5A9FFB9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0.6710</w:t>
            </w:r>
          </w:p>
        </w:tc>
      </w:tr>
      <w:tr w:rsidR="001936CA" w14:paraId="11818BD6" w14:textId="77777777">
        <w:tc>
          <w:tcPr>
            <w:tcW w:w="2448" w:type="dxa"/>
            <w:vAlign w:val="center"/>
          </w:tcPr>
          <w:p w14:paraId="6007615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短期反转</w:t>
            </w:r>
          </w:p>
        </w:tc>
        <w:tc>
          <w:tcPr>
            <w:tcW w:w="2448" w:type="dxa"/>
            <w:vAlign w:val="center"/>
          </w:tcPr>
          <w:p w14:paraId="162D276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0.0625</w:t>
            </w:r>
          </w:p>
        </w:tc>
        <w:tc>
          <w:tcPr>
            <w:tcW w:w="2448" w:type="dxa"/>
            <w:vAlign w:val="center"/>
          </w:tcPr>
          <w:p w14:paraId="5D4CB4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0.0457</w:t>
            </w:r>
          </w:p>
        </w:tc>
        <w:tc>
          <w:tcPr>
            <w:tcW w:w="2448" w:type="dxa"/>
            <w:vAlign w:val="center"/>
          </w:tcPr>
          <w:p w14:paraId="62C743D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0.6324</w:t>
            </w:r>
          </w:p>
        </w:tc>
      </w:tr>
    </w:tbl>
    <w:p w14:paraId="31DE3B3A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样本外分层检验中，综合分Q5-Q1日均多空收益折年约为-4.66%。分层收益曲线用于检验综合分是否具备排序能力，也可作为AI复盘模型是否过度依赖单一风格的输入。</w:t>
      </w:r>
    </w:p>
    <w:p w14:paraId="3592F989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E293052" wp14:editId="0D2FC742">
            <wp:extent cx="5669280" cy="283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zed_long_short_na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D1F6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（五）选股模型测试：样本外组合回测与AI复盘切入点</w:t>
      </w:r>
    </w:p>
    <w:p w14:paraId="4332B85D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以训练期选定方案每日调仓、单边交易成本0.10%估算，样本外组合年化收益为19.14%，沪深300同期年化收益为19.76%，年化超额为-1.13%，最大回撤为-10.16%，平均换手为5.10%。该结果适合作为AI</w:t>
      </w:r>
      <w:r>
        <w:rPr>
          <w:lang w:eastAsia="zh-CN"/>
        </w:rPr>
        <w:lastRenderedPageBreak/>
        <w:t>复盘输入：当收益不稳定或回撤扩大时，AI可自动追问是否存在风格暴露过度、换手过高、因子拥挤或市场状态错配。</w:t>
      </w:r>
    </w:p>
    <w:p w14:paraId="0BD79424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表8：样本外组合回测摘要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 w:rsidR="001936CA" w14:paraId="1ADC8A83" w14:textId="77777777">
        <w:tc>
          <w:tcPr>
            <w:tcW w:w="979" w:type="dxa"/>
            <w:shd w:val="clear" w:color="auto" w:fill="D9EAF7"/>
            <w:vAlign w:val="center"/>
          </w:tcPr>
          <w:p w14:paraId="685AE013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交易日数</w:t>
            </w:r>
            <w:proofErr w:type="spellEnd"/>
          </w:p>
        </w:tc>
        <w:tc>
          <w:tcPr>
            <w:tcW w:w="979" w:type="dxa"/>
            <w:shd w:val="clear" w:color="auto" w:fill="D9EAF7"/>
            <w:vAlign w:val="center"/>
          </w:tcPr>
          <w:p w14:paraId="01531F2F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组合年化收益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CDFFF3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基准年化收益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684F33E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年化超额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41871696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年化波动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767A4105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Sharpe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4B1D566D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最大回撤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3F8965F2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超额最大回撤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1518C04B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胜率</w:t>
            </w:r>
          </w:p>
        </w:tc>
        <w:tc>
          <w:tcPr>
            <w:tcW w:w="979" w:type="dxa"/>
            <w:shd w:val="clear" w:color="auto" w:fill="D9EAF7"/>
            <w:vAlign w:val="center"/>
          </w:tcPr>
          <w:p w14:paraId="7195CCBE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平均换手</w:t>
            </w:r>
          </w:p>
        </w:tc>
      </w:tr>
      <w:tr w:rsidR="001936CA" w14:paraId="415E9189" w14:textId="77777777">
        <w:tc>
          <w:tcPr>
            <w:tcW w:w="979" w:type="dxa"/>
            <w:vAlign w:val="center"/>
          </w:tcPr>
          <w:p w14:paraId="19BA963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332.00</w:t>
            </w:r>
          </w:p>
        </w:tc>
        <w:tc>
          <w:tcPr>
            <w:tcW w:w="979" w:type="dxa"/>
            <w:vAlign w:val="center"/>
          </w:tcPr>
          <w:p w14:paraId="2622630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0.1914</w:t>
            </w:r>
          </w:p>
        </w:tc>
        <w:tc>
          <w:tcPr>
            <w:tcW w:w="979" w:type="dxa"/>
            <w:vAlign w:val="center"/>
          </w:tcPr>
          <w:p w14:paraId="103EA8B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0.1976</w:t>
            </w:r>
          </w:p>
        </w:tc>
        <w:tc>
          <w:tcPr>
            <w:tcW w:w="979" w:type="dxa"/>
            <w:vAlign w:val="center"/>
          </w:tcPr>
          <w:p w14:paraId="4EDC2B4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-0.0113</w:t>
            </w:r>
          </w:p>
        </w:tc>
        <w:tc>
          <w:tcPr>
            <w:tcW w:w="979" w:type="dxa"/>
            <w:vAlign w:val="center"/>
          </w:tcPr>
          <w:p w14:paraId="6F75541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0.1675</w:t>
            </w:r>
          </w:p>
        </w:tc>
        <w:tc>
          <w:tcPr>
            <w:tcW w:w="979" w:type="dxa"/>
            <w:vAlign w:val="center"/>
          </w:tcPr>
          <w:p w14:paraId="032764D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1.14</w:t>
            </w:r>
          </w:p>
        </w:tc>
        <w:tc>
          <w:tcPr>
            <w:tcW w:w="979" w:type="dxa"/>
            <w:vAlign w:val="center"/>
          </w:tcPr>
          <w:p w14:paraId="1953B95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-0.1016</w:t>
            </w:r>
          </w:p>
        </w:tc>
        <w:tc>
          <w:tcPr>
            <w:tcW w:w="979" w:type="dxa"/>
            <w:vAlign w:val="center"/>
          </w:tcPr>
          <w:p w14:paraId="3BF8F08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-0.1386</w:t>
            </w:r>
          </w:p>
        </w:tc>
        <w:tc>
          <w:tcPr>
            <w:tcW w:w="979" w:type="dxa"/>
            <w:vAlign w:val="center"/>
          </w:tcPr>
          <w:p w14:paraId="583154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0.5873</w:t>
            </w:r>
          </w:p>
        </w:tc>
        <w:tc>
          <w:tcPr>
            <w:tcW w:w="979" w:type="dxa"/>
            <w:vAlign w:val="center"/>
          </w:tcPr>
          <w:p w14:paraId="778EEE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0.0510</w:t>
            </w:r>
          </w:p>
        </w:tc>
      </w:tr>
    </w:tbl>
    <w:p w14:paraId="64021400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CFBE00D" wp14:editId="65CF51F3">
            <wp:extent cx="5669280" cy="283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zed_selected_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3F08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（六）样本共性分析：把强势样本转化为候选因子假设</w:t>
      </w:r>
    </w:p>
    <w:p w14:paraId="566CF97C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对样本外未来20个交易日收益进入当日横截面前10%的股票进行共性对比，可以看到强势样本在哪些标准化因子上相对全市场更突出。这一过程对应报告前文提到的“给AI一批强势股票，让AI归纳共性因子”：AI的价值在于把大量横截面数据快速压缩为可验证假设。</w:t>
      </w:r>
    </w:p>
    <w:p w14:paraId="2DABF33F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表9：强势样本相对全市场的共性因子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23519914" w14:textId="77777777">
        <w:tc>
          <w:tcPr>
            <w:tcW w:w="1958" w:type="dxa"/>
            <w:shd w:val="clear" w:color="auto" w:fill="D9EAF7"/>
            <w:vAlign w:val="center"/>
          </w:tcPr>
          <w:p w14:paraId="389F92A0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5CC8DCB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强势样本中位Z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20C7409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全市场中位Z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70626AB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差异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20635FA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AI共性归纳</w:t>
            </w:r>
          </w:p>
        </w:tc>
      </w:tr>
      <w:tr w:rsidR="001936CA" w14:paraId="56F6EC81" w14:textId="77777777">
        <w:tc>
          <w:tcPr>
            <w:tcW w:w="1958" w:type="dxa"/>
            <w:vAlign w:val="center"/>
          </w:tcPr>
          <w:p w14:paraId="0C6A654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中期动量</w:t>
            </w:r>
          </w:p>
        </w:tc>
        <w:tc>
          <w:tcPr>
            <w:tcW w:w="1958" w:type="dxa"/>
            <w:vAlign w:val="center"/>
          </w:tcPr>
          <w:p w14:paraId="68BBA2B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-0.0128</w:t>
            </w:r>
          </w:p>
        </w:tc>
        <w:tc>
          <w:tcPr>
            <w:tcW w:w="1958" w:type="dxa"/>
            <w:vAlign w:val="center"/>
          </w:tcPr>
          <w:p w14:paraId="015F1FF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-0.2174</w:t>
            </w:r>
          </w:p>
        </w:tc>
        <w:tc>
          <w:tcPr>
            <w:tcW w:w="1958" w:type="dxa"/>
            <w:vAlign w:val="center"/>
          </w:tcPr>
          <w:p w14:paraId="395A823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0.2046</w:t>
            </w:r>
          </w:p>
        </w:tc>
        <w:tc>
          <w:tcPr>
            <w:tcW w:w="1958" w:type="dxa"/>
            <w:vAlign w:val="center"/>
          </w:tcPr>
          <w:p w14:paraId="6041CA3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强势样本显著偏高</w:t>
            </w:r>
          </w:p>
        </w:tc>
      </w:tr>
      <w:tr w:rsidR="001936CA" w14:paraId="1C32EA73" w14:textId="77777777">
        <w:tc>
          <w:tcPr>
            <w:tcW w:w="1958" w:type="dxa"/>
            <w:vAlign w:val="center"/>
          </w:tcPr>
          <w:p w14:paraId="59DBF2D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小市值暴露</w:t>
            </w:r>
          </w:p>
        </w:tc>
        <w:tc>
          <w:tcPr>
            <w:tcW w:w="1958" w:type="dxa"/>
            <w:vAlign w:val="center"/>
          </w:tcPr>
          <w:p w14:paraId="66011E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0.1769</w:t>
            </w:r>
          </w:p>
        </w:tc>
        <w:tc>
          <w:tcPr>
            <w:tcW w:w="1958" w:type="dxa"/>
            <w:vAlign w:val="center"/>
          </w:tcPr>
          <w:p w14:paraId="540DCE4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0.1632</w:t>
            </w:r>
          </w:p>
        </w:tc>
        <w:tc>
          <w:tcPr>
            <w:tcW w:w="1958" w:type="dxa"/>
            <w:vAlign w:val="center"/>
          </w:tcPr>
          <w:p w14:paraId="30AF973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0.0137</w:t>
            </w:r>
          </w:p>
        </w:tc>
        <w:tc>
          <w:tcPr>
            <w:tcW w:w="1958" w:type="dxa"/>
            <w:vAlign w:val="center"/>
          </w:tcPr>
          <w:p w14:paraId="5B490AD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382BAF4" w14:textId="77777777">
        <w:tc>
          <w:tcPr>
            <w:tcW w:w="1958" w:type="dxa"/>
            <w:vAlign w:val="center"/>
          </w:tcPr>
          <w:p w14:paraId="685904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估值-EP(TTM)</w:t>
            </w:r>
          </w:p>
        </w:tc>
        <w:tc>
          <w:tcPr>
            <w:tcW w:w="1958" w:type="dxa"/>
            <w:vAlign w:val="center"/>
          </w:tcPr>
          <w:p w14:paraId="3A149AC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4383179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172CDE6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F5C505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388859DD" w14:textId="77777777">
        <w:tc>
          <w:tcPr>
            <w:tcW w:w="1958" w:type="dxa"/>
            <w:vAlign w:val="center"/>
          </w:tcPr>
          <w:p w14:paraId="494ACF9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收入成长</w:t>
            </w:r>
          </w:p>
        </w:tc>
        <w:tc>
          <w:tcPr>
            <w:tcW w:w="1958" w:type="dxa"/>
            <w:vAlign w:val="center"/>
          </w:tcPr>
          <w:p w14:paraId="560AF9D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E1ED3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FB5988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4A9FE2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4BEE2CCF" w14:textId="77777777">
        <w:tc>
          <w:tcPr>
            <w:tcW w:w="1958" w:type="dxa"/>
            <w:vAlign w:val="center"/>
          </w:tcPr>
          <w:p w14:paraId="61EC4D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ROE质量</w:t>
            </w:r>
          </w:p>
        </w:tc>
        <w:tc>
          <w:tcPr>
            <w:tcW w:w="1958" w:type="dxa"/>
            <w:vAlign w:val="center"/>
          </w:tcPr>
          <w:p w14:paraId="4168D58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DD4365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01359E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010C32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8D95E45" w14:textId="77777777">
        <w:tc>
          <w:tcPr>
            <w:tcW w:w="1958" w:type="dxa"/>
            <w:vAlign w:val="center"/>
          </w:tcPr>
          <w:p w14:paraId="0B39F09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ROA质量</w:t>
            </w:r>
          </w:p>
        </w:tc>
        <w:tc>
          <w:tcPr>
            <w:tcW w:w="1958" w:type="dxa"/>
            <w:vAlign w:val="center"/>
          </w:tcPr>
          <w:p w14:paraId="48CF342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5010CCE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F929D9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6B5004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DC40FEA" w14:textId="77777777">
        <w:tc>
          <w:tcPr>
            <w:tcW w:w="1958" w:type="dxa"/>
            <w:vAlign w:val="center"/>
          </w:tcPr>
          <w:p w14:paraId="16023DC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利润成长</w:t>
            </w:r>
          </w:p>
        </w:tc>
        <w:tc>
          <w:tcPr>
            <w:tcW w:w="1958" w:type="dxa"/>
            <w:vAlign w:val="center"/>
          </w:tcPr>
          <w:p w14:paraId="6F09DF4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8C77FA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48793A5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DC0853B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0555002E" w14:textId="77777777">
        <w:tc>
          <w:tcPr>
            <w:tcW w:w="1958" w:type="dxa"/>
            <w:vAlign w:val="center"/>
          </w:tcPr>
          <w:p w14:paraId="35A331A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低杠杆</w:t>
            </w:r>
          </w:p>
        </w:tc>
        <w:tc>
          <w:tcPr>
            <w:tcW w:w="1958" w:type="dxa"/>
            <w:vAlign w:val="center"/>
          </w:tcPr>
          <w:p w14:paraId="50B42BC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2B0165C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6FA9C13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5E65E02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5582C5AE" w14:textId="77777777">
        <w:tc>
          <w:tcPr>
            <w:tcW w:w="1958" w:type="dxa"/>
            <w:vAlign w:val="center"/>
          </w:tcPr>
          <w:p w14:paraId="28F4872E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经营现金流</w:t>
            </w:r>
          </w:p>
        </w:tc>
        <w:tc>
          <w:tcPr>
            <w:tcW w:w="1958" w:type="dxa"/>
            <w:vAlign w:val="center"/>
          </w:tcPr>
          <w:p w14:paraId="47F2B87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459B956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CBE968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36A0E52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  <w:tr w:rsidR="001936CA" w14:paraId="6185876B" w14:textId="77777777">
        <w:tc>
          <w:tcPr>
            <w:tcW w:w="1958" w:type="dxa"/>
            <w:vAlign w:val="center"/>
          </w:tcPr>
          <w:p w14:paraId="14E681E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股息率</w:t>
            </w:r>
          </w:p>
        </w:tc>
        <w:tc>
          <w:tcPr>
            <w:tcW w:w="1958" w:type="dxa"/>
            <w:vAlign w:val="center"/>
          </w:tcPr>
          <w:p w14:paraId="6A1123C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-0.0595</w:t>
            </w:r>
          </w:p>
        </w:tc>
        <w:tc>
          <w:tcPr>
            <w:tcW w:w="1958" w:type="dxa"/>
            <w:vAlign w:val="center"/>
          </w:tcPr>
          <w:p w14:paraId="2E97368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958" w:type="dxa"/>
            <w:vAlign w:val="center"/>
          </w:tcPr>
          <w:p w14:paraId="7A12D43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-0.0595</w:t>
            </w:r>
          </w:p>
        </w:tc>
        <w:tc>
          <w:tcPr>
            <w:tcW w:w="1958" w:type="dxa"/>
            <w:vAlign w:val="center"/>
          </w:tcPr>
          <w:p w14:paraId="3F635A2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差异不显著</w:t>
            </w:r>
          </w:p>
        </w:tc>
      </w:tr>
    </w:tbl>
    <w:p w14:paraId="5AA8EF22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lastRenderedPageBreak/>
        <w:t>（七）60分钟数据：日内结构作为选股和择时的辅助标签</w:t>
      </w:r>
    </w:p>
    <w:p w14:paraId="1DEACE56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基于60分钟价量数据，本次抽取近期流动性较好的股票样本，计算日内收益、首小时强弱、尾盘成交占比、日内振幅和日内波动等特征。其中样本内表现相对靠前的日内结构变量为首小时强弱，平均IC为-0.0029。这说明分钟数据更适合作为AI辅助标签：帮助识别资金交易结构、尾盘确认、日内波动放大等短周期信息，而不是单独替代日频基本面因子。</w:t>
      </w:r>
    </w:p>
    <w:p w14:paraId="53FA6AB2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表10：60分钟日内结构特征IC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1936CA" w14:paraId="7804EDA8" w14:textId="77777777">
        <w:tc>
          <w:tcPr>
            <w:tcW w:w="1958" w:type="dxa"/>
            <w:shd w:val="clear" w:color="auto" w:fill="D9EAF7"/>
            <w:vAlign w:val="center"/>
          </w:tcPr>
          <w:p w14:paraId="48DC0402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因子</w:t>
            </w:r>
            <w:proofErr w:type="spellEnd"/>
          </w:p>
        </w:tc>
        <w:tc>
          <w:tcPr>
            <w:tcW w:w="1958" w:type="dxa"/>
            <w:shd w:val="clear" w:color="auto" w:fill="D9EAF7"/>
            <w:vAlign w:val="center"/>
          </w:tcPr>
          <w:p w14:paraId="3B92964C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平均IC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019CA5B9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IC_IR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18E61F3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正IC占比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7E50ACDF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</w:tr>
      <w:tr w:rsidR="001936CA" w14:paraId="7F094473" w14:textId="77777777">
        <w:tc>
          <w:tcPr>
            <w:tcW w:w="1958" w:type="dxa"/>
            <w:vAlign w:val="center"/>
          </w:tcPr>
          <w:p w14:paraId="701E2F9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首小时强弱</w:t>
            </w:r>
          </w:p>
        </w:tc>
        <w:tc>
          <w:tcPr>
            <w:tcW w:w="1958" w:type="dxa"/>
            <w:vAlign w:val="center"/>
          </w:tcPr>
          <w:p w14:paraId="5115249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-0.0029</w:t>
            </w:r>
          </w:p>
        </w:tc>
        <w:tc>
          <w:tcPr>
            <w:tcW w:w="1958" w:type="dxa"/>
            <w:vAlign w:val="center"/>
          </w:tcPr>
          <w:p w14:paraId="3329F2F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-0.0173</w:t>
            </w:r>
          </w:p>
        </w:tc>
        <w:tc>
          <w:tcPr>
            <w:tcW w:w="1958" w:type="dxa"/>
            <w:vAlign w:val="center"/>
          </w:tcPr>
          <w:p w14:paraId="6B5A274C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0.5103</w:t>
            </w:r>
          </w:p>
        </w:tc>
        <w:tc>
          <w:tcPr>
            <w:tcW w:w="1958" w:type="dxa"/>
            <w:vAlign w:val="center"/>
          </w:tcPr>
          <w:p w14:paraId="7CA2725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542F401F" w14:textId="77777777">
        <w:tc>
          <w:tcPr>
            <w:tcW w:w="1958" w:type="dxa"/>
            <w:vAlign w:val="center"/>
          </w:tcPr>
          <w:p w14:paraId="2193EFA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尾盘成交占比</w:t>
            </w:r>
          </w:p>
        </w:tc>
        <w:tc>
          <w:tcPr>
            <w:tcW w:w="1958" w:type="dxa"/>
            <w:vAlign w:val="center"/>
          </w:tcPr>
          <w:p w14:paraId="435EC27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-0.0042</w:t>
            </w:r>
          </w:p>
        </w:tc>
        <w:tc>
          <w:tcPr>
            <w:tcW w:w="1958" w:type="dxa"/>
            <w:vAlign w:val="center"/>
          </w:tcPr>
          <w:p w14:paraId="2556804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-0.0379</w:t>
            </w:r>
          </w:p>
        </w:tc>
        <w:tc>
          <w:tcPr>
            <w:tcW w:w="1958" w:type="dxa"/>
            <w:vAlign w:val="center"/>
          </w:tcPr>
          <w:p w14:paraId="02832C9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0.4691</w:t>
            </w:r>
          </w:p>
        </w:tc>
        <w:tc>
          <w:tcPr>
            <w:tcW w:w="1958" w:type="dxa"/>
            <w:vAlign w:val="center"/>
          </w:tcPr>
          <w:p w14:paraId="7D522A5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7A91C3A4" w14:textId="77777777">
        <w:tc>
          <w:tcPr>
            <w:tcW w:w="1958" w:type="dxa"/>
            <w:vAlign w:val="center"/>
          </w:tcPr>
          <w:p w14:paraId="33BBC10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日内波动</w:t>
            </w:r>
          </w:p>
        </w:tc>
        <w:tc>
          <w:tcPr>
            <w:tcW w:w="1958" w:type="dxa"/>
            <w:vAlign w:val="center"/>
          </w:tcPr>
          <w:p w14:paraId="44E9D6C1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-0.0182</w:t>
            </w:r>
          </w:p>
        </w:tc>
        <w:tc>
          <w:tcPr>
            <w:tcW w:w="1958" w:type="dxa"/>
            <w:vAlign w:val="center"/>
          </w:tcPr>
          <w:p w14:paraId="59E08B7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-0.1037</w:t>
            </w:r>
          </w:p>
        </w:tc>
        <w:tc>
          <w:tcPr>
            <w:tcW w:w="1958" w:type="dxa"/>
            <w:vAlign w:val="center"/>
          </w:tcPr>
          <w:p w14:paraId="16526C6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0.4774</w:t>
            </w:r>
          </w:p>
        </w:tc>
        <w:tc>
          <w:tcPr>
            <w:tcW w:w="1958" w:type="dxa"/>
            <w:vAlign w:val="center"/>
          </w:tcPr>
          <w:p w14:paraId="7314A88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5E133998" w14:textId="77777777">
        <w:tc>
          <w:tcPr>
            <w:tcW w:w="1958" w:type="dxa"/>
            <w:vAlign w:val="center"/>
          </w:tcPr>
          <w:p w14:paraId="450B55C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日内振幅</w:t>
            </w:r>
          </w:p>
        </w:tc>
        <w:tc>
          <w:tcPr>
            <w:tcW w:w="1958" w:type="dxa"/>
            <w:vAlign w:val="center"/>
          </w:tcPr>
          <w:p w14:paraId="5EE7709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-0.0218</w:t>
            </w:r>
          </w:p>
        </w:tc>
        <w:tc>
          <w:tcPr>
            <w:tcW w:w="1958" w:type="dxa"/>
            <w:vAlign w:val="center"/>
          </w:tcPr>
          <w:p w14:paraId="6FD81A6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-0.0965</w:t>
            </w:r>
          </w:p>
        </w:tc>
        <w:tc>
          <w:tcPr>
            <w:tcW w:w="1958" w:type="dxa"/>
            <w:vAlign w:val="center"/>
          </w:tcPr>
          <w:p w14:paraId="5079429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0.4650</w:t>
            </w:r>
          </w:p>
        </w:tc>
        <w:tc>
          <w:tcPr>
            <w:tcW w:w="1958" w:type="dxa"/>
            <w:vAlign w:val="center"/>
          </w:tcPr>
          <w:p w14:paraId="56FDB4F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  <w:tr w:rsidR="001936CA" w14:paraId="6B5DAF59" w14:textId="77777777">
        <w:tc>
          <w:tcPr>
            <w:tcW w:w="1958" w:type="dxa"/>
            <w:vAlign w:val="center"/>
          </w:tcPr>
          <w:p w14:paraId="22957754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日内收益</w:t>
            </w:r>
          </w:p>
        </w:tc>
        <w:tc>
          <w:tcPr>
            <w:tcW w:w="1958" w:type="dxa"/>
            <w:vAlign w:val="center"/>
          </w:tcPr>
          <w:p w14:paraId="5B0F95B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-0.0284</w:t>
            </w:r>
          </w:p>
        </w:tc>
        <w:tc>
          <w:tcPr>
            <w:tcW w:w="1958" w:type="dxa"/>
            <w:vAlign w:val="center"/>
          </w:tcPr>
          <w:p w14:paraId="7FEED91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-0.1546</w:t>
            </w:r>
          </w:p>
        </w:tc>
        <w:tc>
          <w:tcPr>
            <w:tcW w:w="1958" w:type="dxa"/>
            <w:vAlign w:val="center"/>
          </w:tcPr>
          <w:p w14:paraId="090BBBE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0.4609</w:t>
            </w:r>
          </w:p>
        </w:tc>
        <w:tc>
          <w:tcPr>
            <w:tcW w:w="1958" w:type="dxa"/>
            <w:vAlign w:val="center"/>
          </w:tcPr>
          <w:p w14:paraId="223521C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</w:tr>
    </w:tbl>
    <w:p w14:paraId="041CE44B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D87C199" wp14:editId="3C1B011F">
            <wp:extent cx="5669280" cy="30013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aday_60m_ic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C791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（八）择时状态识别：从信号阈值走向状态解释</w:t>
      </w:r>
    </w:p>
    <w:p w14:paraId="2BEAF9F7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择时部分使用沪深300趋势、市场宽度、成交量和波动率构造市场状态。AI在这里的落地方式是把状态标签、未来收益、胜率和解释文本组合起来，用于辅助判断当前模型应该偏进攻、防御还是等待确认。</w:t>
      </w:r>
    </w:p>
    <w:p w14:paraId="70844EF8" w14:textId="77777777" w:rsidR="001936CA" w:rsidRDefault="00000000">
      <w:pPr>
        <w:rPr>
          <w:rFonts w:hint="eastAsia"/>
          <w:lang w:eastAsia="zh-CN"/>
        </w:rPr>
      </w:pPr>
      <w:r>
        <w:rPr>
          <w:b/>
          <w:sz w:val="20"/>
          <w:lang w:eastAsia="zh-CN"/>
        </w:rPr>
        <w:t>表11：市场状态与未来5日收益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1936CA" w14:paraId="13221AE4" w14:textId="77777777">
        <w:tc>
          <w:tcPr>
            <w:tcW w:w="1632" w:type="dxa"/>
            <w:shd w:val="clear" w:color="auto" w:fill="D9EAF7"/>
            <w:vAlign w:val="center"/>
          </w:tcPr>
          <w:p w14:paraId="1ED682EC" w14:textId="77777777" w:rsidR="001936C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市场状态</w:t>
            </w:r>
            <w:proofErr w:type="spellEnd"/>
          </w:p>
        </w:tc>
        <w:tc>
          <w:tcPr>
            <w:tcW w:w="1632" w:type="dxa"/>
            <w:shd w:val="clear" w:color="auto" w:fill="D9EAF7"/>
            <w:vAlign w:val="center"/>
          </w:tcPr>
          <w:p w14:paraId="266950E8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观测日数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31519E76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未来5日平均收益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2338E7F7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胜率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5927B310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平均上涨家数占比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630D5FD3" w14:textId="77777777" w:rsidR="001936C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AI解释</w:t>
            </w:r>
          </w:p>
        </w:tc>
      </w:tr>
      <w:tr w:rsidR="001936CA" w14:paraId="2FFDB786" w14:textId="77777777">
        <w:tc>
          <w:tcPr>
            <w:tcW w:w="1632" w:type="dxa"/>
            <w:vAlign w:val="center"/>
          </w:tcPr>
          <w:p w14:paraId="1E6E4C4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高波动分化</w:t>
            </w:r>
          </w:p>
        </w:tc>
        <w:tc>
          <w:tcPr>
            <w:tcW w:w="1632" w:type="dxa"/>
            <w:vAlign w:val="center"/>
          </w:tcPr>
          <w:p w14:paraId="087058F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1632" w:type="dxa"/>
            <w:vAlign w:val="center"/>
          </w:tcPr>
          <w:p w14:paraId="5912DA0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0.0087</w:t>
            </w:r>
          </w:p>
        </w:tc>
        <w:tc>
          <w:tcPr>
            <w:tcW w:w="1632" w:type="dxa"/>
            <w:vAlign w:val="center"/>
          </w:tcPr>
          <w:p w14:paraId="4342D22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0.6667</w:t>
            </w:r>
          </w:p>
        </w:tc>
        <w:tc>
          <w:tcPr>
            <w:tcW w:w="1632" w:type="dxa"/>
            <w:vAlign w:val="center"/>
          </w:tcPr>
          <w:p w14:paraId="7585D27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0.2823</w:t>
            </w:r>
          </w:p>
        </w:tc>
        <w:tc>
          <w:tcPr>
            <w:tcW w:w="1632" w:type="dxa"/>
            <w:vAlign w:val="center"/>
          </w:tcPr>
          <w:p w14:paraId="29E77845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波动抬升且赚钱效应不足，适合降低换手并控制回撤</w:t>
            </w:r>
          </w:p>
        </w:tc>
      </w:tr>
      <w:tr w:rsidR="001936CA" w14:paraId="308C8A47" w14:textId="77777777">
        <w:tc>
          <w:tcPr>
            <w:tcW w:w="1632" w:type="dxa"/>
            <w:vAlign w:val="center"/>
          </w:tcPr>
          <w:p w14:paraId="33765BF5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修复反弹</w:t>
            </w:r>
            <w:proofErr w:type="spellEnd"/>
          </w:p>
        </w:tc>
        <w:tc>
          <w:tcPr>
            <w:tcW w:w="1632" w:type="dxa"/>
            <w:vAlign w:val="center"/>
          </w:tcPr>
          <w:p w14:paraId="5EB29C6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1632" w:type="dxa"/>
            <w:vAlign w:val="center"/>
          </w:tcPr>
          <w:p w14:paraId="0526B918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0.0056</w:t>
            </w:r>
          </w:p>
        </w:tc>
        <w:tc>
          <w:tcPr>
            <w:tcW w:w="1632" w:type="dxa"/>
            <w:vAlign w:val="center"/>
          </w:tcPr>
          <w:p w14:paraId="39977E7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0.5288</w:t>
            </w:r>
          </w:p>
        </w:tc>
        <w:tc>
          <w:tcPr>
            <w:tcW w:w="1632" w:type="dxa"/>
            <w:vAlign w:val="center"/>
          </w:tcPr>
          <w:p w14:paraId="03DCB17F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0.7407</w:t>
            </w:r>
          </w:p>
        </w:tc>
        <w:tc>
          <w:tcPr>
            <w:tcW w:w="1632" w:type="dxa"/>
            <w:vAlign w:val="center"/>
          </w:tcPr>
          <w:p w14:paraId="44920311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宽度改善但趋势仍需确认，适合结合</w:t>
            </w:r>
            <w:r>
              <w:rPr>
                <w:sz w:val="16"/>
                <w:lang w:eastAsia="zh-CN"/>
              </w:rPr>
              <w:lastRenderedPageBreak/>
              <w:t>反转与低估值修复</w:t>
            </w:r>
          </w:p>
        </w:tc>
      </w:tr>
      <w:tr w:rsidR="001936CA" w14:paraId="3BE13A20" w14:textId="77777777">
        <w:tc>
          <w:tcPr>
            <w:tcW w:w="1632" w:type="dxa"/>
            <w:vAlign w:val="center"/>
          </w:tcPr>
          <w:p w14:paraId="1AA19D3D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中性震荡</w:t>
            </w:r>
            <w:proofErr w:type="spellEnd"/>
          </w:p>
        </w:tc>
        <w:tc>
          <w:tcPr>
            <w:tcW w:w="1632" w:type="dxa"/>
            <w:vAlign w:val="center"/>
          </w:tcPr>
          <w:p w14:paraId="4519DFA9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459</w:t>
            </w:r>
          </w:p>
        </w:tc>
        <w:tc>
          <w:tcPr>
            <w:tcW w:w="1632" w:type="dxa"/>
            <w:vAlign w:val="center"/>
          </w:tcPr>
          <w:p w14:paraId="0CA64092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0.0000</w:t>
            </w:r>
          </w:p>
        </w:tc>
        <w:tc>
          <w:tcPr>
            <w:tcW w:w="1632" w:type="dxa"/>
            <w:vAlign w:val="center"/>
          </w:tcPr>
          <w:p w14:paraId="6107E346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0.5033</w:t>
            </w:r>
          </w:p>
        </w:tc>
        <w:tc>
          <w:tcPr>
            <w:tcW w:w="1632" w:type="dxa"/>
            <w:vAlign w:val="center"/>
          </w:tcPr>
          <w:p w14:paraId="06A6E42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0.4883</w:t>
            </w:r>
          </w:p>
        </w:tc>
        <w:tc>
          <w:tcPr>
            <w:tcW w:w="1632" w:type="dxa"/>
            <w:vAlign w:val="center"/>
          </w:tcPr>
          <w:p w14:paraId="4B8B58FA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趋势信号不充分，适合等待宽度或量能确认</w:t>
            </w:r>
          </w:p>
        </w:tc>
      </w:tr>
      <w:tr w:rsidR="001936CA" w14:paraId="4C763F30" w14:textId="77777777">
        <w:tc>
          <w:tcPr>
            <w:tcW w:w="1632" w:type="dxa"/>
            <w:vAlign w:val="center"/>
          </w:tcPr>
          <w:p w14:paraId="4A7FA628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风险收缩</w:t>
            </w:r>
            <w:proofErr w:type="spellEnd"/>
          </w:p>
        </w:tc>
        <w:tc>
          <w:tcPr>
            <w:tcW w:w="1632" w:type="dxa"/>
            <w:vAlign w:val="center"/>
          </w:tcPr>
          <w:p w14:paraId="1E161FC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1632" w:type="dxa"/>
            <w:vAlign w:val="center"/>
          </w:tcPr>
          <w:p w14:paraId="51CDE790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-0.0000</w:t>
            </w:r>
          </w:p>
        </w:tc>
        <w:tc>
          <w:tcPr>
            <w:tcW w:w="1632" w:type="dxa"/>
            <w:vAlign w:val="center"/>
          </w:tcPr>
          <w:p w14:paraId="63396A15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0.4112</w:t>
            </w:r>
          </w:p>
        </w:tc>
        <w:tc>
          <w:tcPr>
            <w:tcW w:w="1632" w:type="dxa"/>
            <w:vAlign w:val="center"/>
          </w:tcPr>
          <w:p w14:paraId="2CA7A19D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0.2533</w:t>
            </w:r>
          </w:p>
        </w:tc>
        <w:tc>
          <w:tcPr>
            <w:tcW w:w="1632" w:type="dxa"/>
            <w:vAlign w:val="center"/>
          </w:tcPr>
          <w:p w14:paraId="35EFD2C9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趋势与宽度同步走弱，适合降低仓位或提高防御过滤</w:t>
            </w:r>
          </w:p>
        </w:tc>
      </w:tr>
      <w:tr w:rsidR="001936CA" w14:paraId="6DB7EC97" w14:textId="77777777">
        <w:tc>
          <w:tcPr>
            <w:tcW w:w="1632" w:type="dxa"/>
            <w:vAlign w:val="center"/>
          </w:tcPr>
          <w:p w14:paraId="6F62E9EE" w14:textId="77777777" w:rsidR="001936C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趋势上行</w:t>
            </w:r>
            <w:proofErr w:type="spellEnd"/>
          </w:p>
        </w:tc>
        <w:tc>
          <w:tcPr>
            <w:tcW w:w="1632" w:type="dxa"/>
            <w:vAlign w:val="center"/>
          </w:tcPr>
          <w:p w14:paraId="40B532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632" w:type="dxa"/>
            <w:vAlign w:val="center"/>
          </w:tcPr>
          <w:p w14:paraId="02710FF7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-0.0028</w:t>
            </w:r>
          </w:p>
        </w:tc>
        <w:tc>
          <w:tcPr>
            <w:tcW w:w="1632" w:type="dxa"/>
            <w:vAlign w:val="center"/>
          </w:tcPr>
          <w:p w14:paraId="467E2F3A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0.4082</w:t>
            </w:r>
          </w:p>
        </w:tc>
        <w:tc>
          <w:tcPr>
            <w:tcW w:w="1632" w:type="dxa"/>
            <w:vAlign w:val="center"/>
          </w:tcPr>
          <w:p w14:paraId="71E69C43" w14:textId="77777777" w:rsidR="001936CA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0.6925</w:t>
            </w:r>
          </w:p>
        </w:tc>
        <w:tc>
          <w:tcPr>
            <w:tcW w:w="1632" w:type="dxa"/>
            <w:vAlign w:val="center"/>
          </w:tcPr>
          <w:p w14:paraId="37059F2A" w14:textId="77777777" w:rsidR="001936CA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趋势和宽度共振，适合提高权益暴露并强化动量类信号</w:t>
            </w:r>
          </w:p>
        </w:tc>
      </w:tr>
    </w:tbl>
    <w:p w14:paraId="43FC50FF" w14:textId="77777777" w:rsidR="001936C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306C35F" wp14:editId="65820DCB">
            <wp:extent cx="5669280" cy="30236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ing_regime_enhan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F18" w14:textId="77777777" w:rsidR="001936C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（九）落地实施方案</w:t>
      </w:r>
    </w:p>
    <w:p w14:paraId="669BD7FE" w14:textId="77777777" w:rsidR="001936CA" w:rsidRDefault="00000000">
      <w:pPr>
        <w:rPr>
          <w:rFonts w:hint="eastAsia"/>
          <w:lang w:eastAsia="zh-CN"/>
        </w:rPr>
      </w:pPr>
      <w:r>
        <w:rPr>
          <w:lang w:eastAsia="zh-CN"/>
        </w:rPr>
        <w:t>AI能力落地划分为四个可审计模块：第一，因子研究助手，负责自动生成IC、相关性、分层和动作归类；第二，模型复盘助手，负责读取回测曲线、换手、回撤和风格暴露并输出问题清单；第三，分钟结构标签助手，负责把60分钟量价结构转成日频可用标签；第四，择时状态解释助手，负责把趋势、宽度、量能和波动状态转成仓位与风险提示。该实施框架保留量化研究的可复现性，同时发挥AI在归纳、解释和迭代效率上的优势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28"/>
        </w:rPr>
        <w:t>十、关键步骤汇总与AI执行方法论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章对前述选股与择时AI落地流程进行归纳，形成从任务边界设定、数据读取、因子构建、模型选择、结果复盘到报告输出的闭环方法。该闭环强调两个原则：一是所有模型输入均来自可复现的数据底座，二是AI只承担归纳、筛选、解释和迭代增强功能，不替代数据校验、样本外验证和研究结论审定。</w:t>
      </w:r>
    </w:p>
    <w:p>
      <w:r>
        <w:rPr>
          <w:rFonts w:ascii="Microsoft YaHei" w:hAnsi="Microsoft YaHei" w:eastAsia="Microsoft YaHei"/>
          <w:b/>
          <w:color w:val="1F4E79"/>
          <w:sz w:val="24"/>
        </w:rPr>
        <w:t>（一）关键步骤汇总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本方案的关键步骤可以拆分为六个环节。每个环节均包含明确输入、AI执行动作、输出结果和校验口径，使研究过程从一次性文本讨论转化为可复盘的标准化流程。</w:t>
      </w:r>
    </w:p>
    <w:p>
      <w:r>
        <w:rPr>
          <w:rFonts w:ascii="Microsoft YaHei" w:hAnsi="Microsoft YaHei" w:eastAsia="Microsoft YaHei"/>
          <w:b/>
          <w:sz w:val="20"/>
        </w:rPr>
        <w:t>表12：关键步骤、AI执行动作与输出结果汇总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环节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输入材料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AI执行动作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输出结果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校验口径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任务边界设定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研究目标、数据范围、报告用途、可用数据目录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归纳任务目标，拆分选股、择时、复盘和报告四类工作边界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形成研究边界、样本区间、训练区间和样本外区间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确认不使用样本外数据制定权重和参数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数据底座梳理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日频行情、财务指标、交易约束、指数数据、60分钟价量数据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识别可用字段、数据覆盖范围和潜在口径风险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形成数据覆盖表和未来函数检查表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检查财务公告日、滚动窗口和分钟样本选择口径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候选因子构建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估值、规模、动量、反转、波动、换手、质量、成长、杠杆等字段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将原始字段转化为标准化因子，并按横截面做去极值和标准化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形成候选因子池和因子IC摘要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检查因子仅使用交易日当日及以前信息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AI辅助筛选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训练期IC、IC_IR、正IC占比、因子相关性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把因子归类为核心加权、辅助过滤、观察保留、反向验证或降权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形成因子动作清单和权重表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权重仅由训练期表现生成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模型组合验证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训练期候选标签、TopN持仓数量、交易成本、基准收益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枚举候选模型并按训练期目标函数排序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选定未来20日收益/Top200组合并做样本外验证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样本外只作为验证，不参与模型选择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报告复盘输出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回测摘要、分层收益、净值曲线、市场状态、分钟特征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将结果转化为管理层可读的结论、表格和图形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形成正式方案报告和可复现输出目录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检查表格、图形、成本口径和章节表述一致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4"/>
        </w:rPr>
        <w:t>（二）AI执行对话框架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AI执行并非一次性生成结论，而是围绕“任务澄清—数据读取—假设生成—实验执行—结果解释—迭代优化”的连续对话框架展开。对话内容在报告中不以聊天记录形式展示，而是沉淀为可执行指令、结构化输出和复盘结论。</w:t>
      </w:r>
    </w:p>
    <w:p>
      <w:r>
        <w:rPr>
          <w:rFonts w:ascii="Microsoft YaHei" w:hAnsi="Microsoft YaHei" w:eastAsia="Microsoft YaHei"/>
          <w:b/>
          <w:sz w:val="20"/>
        </w:rPr>
        <w:t>表13：AI执行对话与结构化输出示例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对话指令口径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AI输出要求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进入下一步的条件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任务澄清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围绕选股与择时中的AI可应用环节，限定数据目录、报告目标和交付形态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输出任务边界、数据范围、研究模块和报告结构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边界清晰，训练期和样本外区间明确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数据检查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读取日频数据、财务数据、交易约束和60分钟价量数据，识别可用字段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输出数据覆盖、字段口径、缺失情况和潜在风险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字段能支撑因子构建，且无明显未来函数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因子假设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基于强势样本、历史有效因子和数据字段生成候选因子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输出因子名称、经济含义、计算方式和预期方向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因子可计算、方向可解释、口径可复现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实验执行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计算IC、分层收益、因子相关性和组合回测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输出CSV、图形、摘要指标和异常点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训练期和样本外结果分开呈现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复盘解释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根据收益、回撤、换手、风格和市场状态解释模型表现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输出优势、短板、适用环境和失效情景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结论与数据证据对应，不使用空泛判断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报告固化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把实验过程写成方案报告章节，保留方法论和关键数据表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输出正式Word报告、表格和图形附件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报告用语为方案正文口吻，指标和成本口径一致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4"/>
        </w:rPr>
        <w:t>（三）具体执行路径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具体执行路径采用“先数据、后因子、再模型、最后复盘”的顺序。第一步读取研究数据库和分钟数据，完成字段识别和样本筛选；第二步构建候选因子并进行横截面标准化；第三步用训练期IC和稳定性生成因子权重；第四步在训练期内枚举不同目标期限和持仓数量；第五步将选定模型放入样本外区间验证；第六步把样本外表现、分层曲线、分钟特征和择时状态统一写入报告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执行过程中，AI的作用集中在信息压缩和结构化表达。对于因子研究，AI负责把大量IC、正IC占比和相关性结果压缩为动作清单；对于模型复盘，AI负责把收益、回撤、换手和状态标签转化为可读解释；对于报告生成，AI负责把数据表和图形组织成正式方案文本。</w:t>
      </w:r>
    </w:p>
    <w:p>
      <w:r>
        <w:rPr>
          <w:rFonts w:ascii="Microsoft YaHei" w:hAnsi="Microsoft YaHei" w:eastAsia="Microsoft YaHei"/>
          <w:b/>
          <w:color w:val="1F4E79"/>
          <w:sz w:val="24"/>
        </w:rPr>
        <w:t>（四）优化前后对比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轮优化经历了从初版等权复合因子到训练期模型选择的迭代。初版模型以固定权重组合为主，样本外表现受到因子方向和持仓结构影响；优化版引入训练期内模型选择和更严格的未来函数隔离，组合表现和报告可解释性均有提升。</w:t>
      </w:r>
    </w:p>
    <w:p>
      <w:r>
        <w:rPr>
          <w:rFonts w:ascii="Microsoft YaHei" w:hAnsi="Microsoft YaHei" w:eastAsia="Microsoft YaHei"/>
          <w:b/>
          <w:sz w:val="20"/>
        </w:rPr>
        <w:t>表14：优化前后关键结果对比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初版数据支撑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增强优化版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变化说明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模型形成方式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人工设定复合因子权重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训练期IC和稳定性自动生成权重，并枚举目标期限与TopN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从经验权重转向可审计规则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训练/验证隔离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已区分研究期和验证结果，但标签边界较粗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模型权重和参数仅使用2024.11.29及以前数据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样本外验证口径更严格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选定组合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固定Top50组合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训练期选定未来20日收益/Top200组合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组合更稳定，换手更低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样本外年化收益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约11.30%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约19.14%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收益表现提升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样本外年化超额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约-7.98%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约-1.13%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相对基准差距明显收敛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最大回撤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约-10.07%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约-10.16%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回撤基本保持稳定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报告表达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以实证补充为主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补充关键步骤汇总、执行框架和方法论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更接近正式方案报告</w:t>
            </w:r>
          </w:p>
        </w:tc>
      </w:tr>
    </w:tbl>
    <w:p>
      <w:r>
        <w:rPr>
          <w:rFonts w:ascii="Microsoft YaHei" w:hAnsi="Microsoft YaHei" w:eastAsia="Microsoft YaHei"/>
          <w:b/>
          <w:color w:val="1F4E79"/>
          <w:sz w:val="24"/>
        </w:rPr>
        <w:t>（五）方法论沉淀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方案沉淀的方法论可以概括为“三层闭环”。第一层是数据闭环，即所有研究结论均对应可追溯的数据表、图形和计算脚本；第二层是模型闭环，即因子权重、模型参数和样本外验证严格分离；第三层是复盘闭环，即每一次模型输出均转化为可解释的问题清单、适用场景和下一轮迭代方向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在该方法论下，AI不直接输出不可验证的投资判断，而是把研究过程中的非结构化讨论转化为结构化实验，把零散指标转化为可读结论，把单次回测转化为可持续迭代的研究流程。该定位能够同时满足研究效率、模型复盘、因子提升和管理层汇报四类需求。</w:t>
      </w:r>
    </w:p>
    <w:p>
      <w:r>
        <w:rPr>
          <w:rFonts w:ascii="Microsoft YaHei" w:hAnsi="Microsoft YaHei" w:eastAsia="Microsoft YaHei"/>
          <w:b/>
          <w:color w:val="1F4E79"/>
          <w:sz w:val="24"/>
        </w:rPr>
        <w:t>（六）AI协同搭建研究工程底座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项目的实施过程本身也体现了AI在研究流程优化中的应用价值。研究数据底座、代码工程结构、数据读取脚本、因子计算脚本、回测验证模块、图表生成模块和Word报告生成流程，均在人机协同方式下逐步搭建完成。研究人员负责确定任务目标、数据边界、业务含义和结果取舍，AI负责把需求拆解为可执行代码、自动读取本地数据、生成中间表和图形，并将计算结果组织为方案报告。</w:t>
      </w:r>
    </w:p>
    <w:p>
      <w:pPr>
        <w:spacing w:line="300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该协作方式使任务从单纯撰写文字方案，扩展为“数据工程—因子研究—模型验证—结果复盘—报告输出”的一体化工作流。AI在其中承担了工程搭建和研究辅助双重角色：一方面快速形成可复用的本地研究框架，降低数据整理和重复计算成本；另一方面把模型测试结果转化为可解释结论，提升报告的证据密度和复盘效率。</w:t>
      </w:r>
    </w:p>
    <w:p>
      <w:r>
        <w:rPr>
          <w:rFonts w:ascii="Microsoft YaHei" w:hAnsi="Microsoft YaHei" w:eastAsia="Microsoft YaHei"/>
          <w:b/>
          <w:sz w:val="20"/>
        </w:rPr>
        <w:t>表15：本项目中AI协同完成的工作内容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工作模块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人工输入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AI协同执行内容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形成结果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研究工程搭建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明确本地数据目录、研究目标和交付报告形态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搭建脚本目录、输出目录和可复现运行流程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形成面向选股与择时研究的数据支撑工程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数据接入与检查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指定60分钟数据、Tushare数据和已有研究库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读取DuckDB、Parquet和Word文件，识别字段和覆盖范围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形成数据覆盖表和口径检查结果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因子计算与验证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确定可用因子类型和训练/样本外边界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编写因子计算、IC检验、分层收益和组合回测逻辑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形成因子IC表、权重表、回测摘要和图形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模型复盘与优化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判断模型表现是否需要优化和防未来函数检查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枚举目标期限和持仓数量，比较优化前后结果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形成训练期模型选择和样本外验证结果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报告生成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确定报告应呈现为正式方案而非对话记录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将数据表、图形和方法论写入Word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形成可直接用于汇报的方案文档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十一、技术因子扩展与机器学习模型增强</w:t>
      </w:r>
    </w:p>
    <w:p>
      <w:pPr>
        <w:spacing w:line="300" w:lineRule="auto"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在前述基本面、估值和规模因子基础上，本章进一步补充A股量化研究中常用的技术面因子，并引入可在当前本地环境直接复现的横截面机器学习模型。该扩展的目标不是简单堆叠更多指标，而是把趋势、反转、低波动、量价配合、价格位置、流动性冲击成本等可交易信号纳入同一套训练期验证框架，再用样本外回测检验其增量价值。</w:t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1F4E79"/>
          <w:sz w:val="24"/>
        </w:rPr>
        <w:t>（一）A股技术因子扩展</w:t>
      </w:r>
    </w:p>
    <w:p>
      <w:pPr>
        <w:spacing w:line="300" w:lineRule="auto"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本轮新增技术因子覆盖五类信号：第一类为反转与动量，刻画短期过度反应和中期趋势延续；第二类为均线与价格位置，刻画价格相对历史区间、均线斜率和突破状态；第三类为波动率与ATR，刻画风险暴露和振幅结构；第四类为换手率、成交额和Amihud冲击成本，刻画流动性拥挤与交易摩擦；第五类为相对沪深300强度，用于区分个股自身强弱与市场整体 beta 推动。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0"/>
        </w:rPr>
        <w:t>表11-1：新增技术因子分组与计算口径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因子类别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代表因子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计算口径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预期用途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反转/动量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1日反转、5日反转、20/60/120日动量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基于复权收盘价历史收益率计算，不使用未来收益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识别短期均值回复与中期趋势延续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价格位置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均线乖离、20日区间位置、20日突破、布林带位置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使用当日及以前滚动均线、高低点和标准差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刻画趋势斜率、突破强度和价格拥挤程度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风险结构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20/60日低波、低ATR波动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使用历史日收益波动和真实波幅滚动均值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控制高波动回撤风险，识别稳健趋势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量价流动性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短期换手放大、成交额放大、低冲击成本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使用历史换手、成交额和Amihud指标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识别资金参与度和潜在交易摩擦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相对强度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相对沪深300强度20/60日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个股历史收益减同期沪深300历史收益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剥离市场整体涨跌后的个股强弱</w:t>
            </w:r>
          </w:p>
        </w:tc>
      </w:tr>
    </w:tbl>
    <w:p>
      <w:pPr>
        <w:spacing w:before="100" w:after="80"/>
      </w:pPr>
      <w:r>
        <w:rPr>
          <w:rFonts w:ascii="Microsoft YaHei" w:hAnsi="Microsoft YaHei" w:eastAsia="Microsoft YaHei"/>
          <w:b/>
          <w:color w:val="1F4E79"/>
          <w:sz w:val="24"/>
        </w:rPr>
        <w:t>（二）技术因子有效性检验</w:t>
      </w:r>
    </w:p>
    <w:p>
      <w:pPr>
        <w:spacing w:line="300" w:lineRule="auto"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技术因子的有效性仍采用训练期和样本外分离口径。训练期截至20241129，样本外从20250101开始；因子标准化仅在同一交易日横截面内完成，滚动窗口仅使用当日及以前历史数据，未来5日和未来20日收益只作为训练标签和回测评价，不进入当日信号计算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0"/>
        </w:rPr>
        <w:t>表11-2：样本外技术因子Rank IC表现（未来5日收益）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平均IC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IC_IR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正IC占比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观测交易日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20日反转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0.0604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0.433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67.99%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低ATR波动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0.0540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0.281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61.59%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20日低波动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0.0525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62.80%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5日反转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0.0451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0.364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63.72%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20日低换手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0.0442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0.246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59.15%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60日低波动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0.0349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0.171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60.98%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1日反转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0.0205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0.151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51.52%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20日突破强度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-0.0150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-0.105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49.39%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factor_oos_ic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1F4E79"/>
          <w:sz w:val="24"/>
        </w:rPr>
        <w:t>（三）机器学习模型选择与环境约束</w:t>
      </w:r>
    </w:p>
    <w:p>
      <w:pPr>
        <w:spacing w:line="300" w:lineRule="auto"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在模型层面，本轮把技术因子IC加权组合与横截面Ridge机器学习模型放入同一训练期选模框架。Ridge模型以基本面因子和新增技术因子的横截面标准化值作为输入，以未来5日或未来20日收益的横截面标准化标签作为训练目标，通过L2正则控制多因子共线性和过拟合风险。当前本地环境未安装LightGBM、XGBoost、PyTorch或TensorFlow等外部训练包，因此本章只呈现可以在现有环境完整复现的模型结果；LightGBM适合在下一阶段作为非线性树模型扩展，LSTM更适合分钟序列或更长时序样本任务，不写入本轮已验证结果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0"/>
        </w:rPr>
        <w:t>表11-3：选定Ridge模型主要特征系数（按绝对值排序）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特征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系数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训练目标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短期成交额放大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-0.1976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短期换手放大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0.1833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小市值暴露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0.0705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均线斜率20/60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0.0631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20日低换手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0.0500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RSI14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0.0378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经营现金流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0.0352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低杠杆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0.0333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低冲击成本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-0.0323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估值BP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0.0312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</w:tbl>
    <w:p>
      <w:pPr>
        <w:spacing w:before="100" w:after="80"/>
      </w:pPr>
      <w:r>
        <w:rPr>
          <w:rFonts w:ascii="Microsoft YaHei" w:hAnsi="Microsoft YaHei" w:eastAsia="Microsoft YaHei"/>
          <w:b/>
          <w:color w:val="1F4E79"/>
          <w:sz w:val="24"/>
        </w:rPr>
        <w:t>（四）技术因子/机器学习模型回测对比</w:t>
      </w:r>
    </w:p>
    <w:p>
      <w:pPr>
        <w:spacing w:line="300" w:lineRule="auto"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选模仍只依据训练期目标函数完成，目标函数综合考虑年化收益、超额收益、夏普、回撤和换手成本，样本外结果不参与模型选择。按照该口径，本轮技术扩展选定模型为“Ridge横截面机器学习 / 未来20日收益 / Top50”，样本外年化收益为56.30%，同期沪深300年化收益为19.76%，年化超额收益为30.75%，最大回撤为-17.69%，平均换手率为19.54%。交易成本按单边0.10%计入。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sz w:val="20"/>
        </w:rPr>
        <w:t>表11-4：技术因子与机器学习候选模型对比（按训练期目标函数排序）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模型类型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训练目标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组合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训练目标函数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样本外年化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样本外超额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样本外回撤</w:t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平均换手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Top50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1.321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56.30%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30.75%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-17.69%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19.54%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Top100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1.172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56.02%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30.46%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-16.42%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17.83%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Top100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0.778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56.92%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31.49%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-16.29%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25.68%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Top50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0.748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52.19%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27.66%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-18.00%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29.33%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Top200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55.94%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30.39%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-14.87%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15.76%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Top200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0.614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56.40%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31.05%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-16.63%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23.01%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Top300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0.584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54.34%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29.01%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-14.67%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14.54%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Top300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0.504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54.66%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29.55%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-16.55%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21.29%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ml_selected_na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80"/>
      </w:pPr>
      <w:r>
        <w:rPr>
          <w:rFonts w:ascii="Microsoft YaHei" w:hAnsi="Microsoft YaHei" w:eastAsia="Microsoft YaHei"/>
          <w:b/>
          <w:color w:val="1F4E79"/>
          <w:sz w:val="24"/>
        </w:rPr>
        <w:t>（五）研究结论与AI优化落地方式</w:t>
      </w:r>
    </w:p>
    <w:p>
      <w:pPr>
        <w:spacing w:line="300" w:lineRule="auto"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技术因子扩展后，研究流程从单一基本面因子验证升级为“基本面 + 技术面 + 流动性 + 横截面机器学习”的组合验证框架。AI在其中承担三类落地功能：一是快速把A股常用量化假设转化为可计算因子并形成字段口径；二是基于训练期IC、稳定性、相关性和回测表现自动归纳因子组合；三是把模型结果转化为报告中的因子解释、选模依据和样本外表现对比。该过程保留了量化研究的可复现性，同时提升了因子迭代、模型复盘和报告汇总效率。</w:t>
      </w:r>
    </w:p>
    <w:p>
      <w:pPr>
        <w:spacing w:line="300" w:lineRule="auto" w:after="60"/>
        <w:ind w:firstLine="420"/>
      </w:pPr>
      <w:r>
        <w:rPr>
          <w:rFonts w:ascii="Microsoft YaHei" w:hAnsi="Microsoft YaHei" w:eastAsia="Microsoft YaHei"/>
          <w:b w:val="0"/>
          <w:sz w:val="21"/>
        </w:rPr>
        <w:t>从本轮结果看，技术因子和机器学习模型并非无条件替代原组合，而是为选股模型提供了更完整的信号池和更严格的比较基准。报告后续可继续沿用本章框架，引入LightGBM等非线性模型、行业/市值中性化处理、月度换仓约束和分钟级序列特征，在统一的训练期选模和样本外验证框架下持续迭代。</w:t>
      </w:r>
    </w:p>
    <w:sectPr w:rsidR="001936CA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669046">
    <w:abstractNumId w:val="8"/>
  </w:num>
  <w:num w:numId="2" w16cid:durableId="734158171">
    <w:abstractNumId w:val="6"/>
  </w:num>
  <w:num w:numId="3" w16cid:durableId="1183318739">
    <w:abstractNumId w:val="5"/>
  </w:num>
  <w:num w:numId="4" w16cid:durableId="1012026104">
    <w:abstractNumId w:val="4"/>
  </w:num>
  <w:num w:numId="5" w16cid:durableId="1953783004">
    <w:abstractNumId w:val="7"/>
  </w:num>
  <w:num w:numId="6" w16cid:durableId="454637023">
    <w:abstractNumId w:val="3"/>
  </w:num>
  <w:num w:numId="7" w16cid:durableId="1032534546">
    <w:abstractNumId w:val="2"/>
  </w:num>
  <w:num w:numId="8" w16cid:durableId="1051609003">
    <w:abstractNumId w:val="1"/>
  </w:num>
  <w:num w:numId="9" w16cid:durableId="123647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81"/>
    <w:rsid w:val="0006063C"/>
    <w:rsid w:val="0015074B"/>
    <w:rsid w:val="001936CA"/>
    <w:rsid w:val="0029639D"/>
    <w:rsid w:val="00326F90"/>
    <w:rsid w:val="00792F95"/>
    <w:rsid w:val="008A62FA"/>
    <w:rsid w:val="00AA1D8D"/>
    <w:rsid w:val="00AD3D4C"/>
    <w:rsid w:val="00B47730"/>
    <w:rsid w:val="00CB0664"/>
    <w:rsid w:val="00D01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5F3D0"/>
  <w14:defaultImageDpi w14:val="300"/>
  <w15:docId w15:val="{7F245D86-FD71-45E8-AC52-5B43E313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2235</Words>
  <Characters>3466</Characters>
  <Application>Microsoft Office Word</Application>
  <DocSecurity>0</DocSecurity>
  <Lines>385</Lines>
  <Paragraphs>518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DJCT</cp:lastModifiedBy>
  <cp:revision>4</cp:revision>
  <dcterms:created xsi:type="dcterms:W3CDTF">2013-12-23T23:15:00Z</dcterms:created>
  <dcterms:modified xsi:type="dcterms:W3CDTF">2026-05-25T08:07:00Z</dcterms:modified>
  <cp:category/>
</cp:coreProperties>
</file>