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选股与择时中AI可应用部分因子总结方案</w:t>
      </w:r>
    </w:p>
    <w:p>
      <w:pPr>
        <w:jc w:val="center"/>
      </w:pPr>
      <w:r>
        <w:rPr>
          <w:rFonts w:ascii="Microsoft YaHei" w:hAnsi="Microsoft YaHei" w:eastAsia="Microsoft YaHei"/>
          <w:b/>
          <w:sz w:val="28"/>
        </w:rPr>
        <w:t>增强优化数据支撑版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生成日期：2026年05月25日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一、方案定位与核心结论</w:t>
      </w:r>
    </w:p>
    <w:p>
      <w:r>
        <w:t>本方案定位为AI增强型选股与择时研究流程。AI承担候选因子归纳、因子有效性筛选、模型组合参数枚举、回测复盘解释和市场状态识别等工作，量化数据底座负责提供可复现的行情、财务、交易约束和分钟级价量证据。</w:t>
      </w:r>
    </w:p>
    <w:p>
      <w:r>
        <w:t>本轮训练期内选定模型为未来20日收益 / Top200，样本外组合年化收益为56.39%，沪深300同期年化收益为19.76%，年化超额为30.76%，最大回撤为-14.79%，平均换手为15.70%。该结果表明，AI辅助流程能够把因子研究从人工经验枚举推进到可审计、可复盘、可迭代的系统化流程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二、数据底座与研究口径</w:t>
      </w:r>
    </w:p>
    <w:p>
      <w:r>
        <w:t>本方案使用当前本地A股研究数据底座完成实证补充。目的不是宣称AI可以替代量化研究，而是展示AI可以嵌入研究流程：先自动识别因子有效性和冗余，再给出因子组合权重、样本共性解释、回测复盘和择时状态归因，最终形成可供研究员复核的结构化结论。</w:t>
      </w:r>
    </w:p>
    <w:p>
      <w:r>
        <w:rPr>
          <w:rFonts w:ascii="Microsoft YaHei" w:hAnsi="Microsoft YaHei" w:eastAsia="Microsoft YaHei"/>
          <w:b/>
          <w:sz w:val="20"/>
        </w:rPr>
        <w:t>表1：数据覆盖情况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数据集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记录数/文件数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daily_base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5538632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DuckDB研究底座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tradable_daily_base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5538632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DuckDB研究底座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daily_fundamental_base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5538632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DuckDB研究底座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index_daily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6354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DuckDB研究底座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stock_basic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5522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DuckDB研究底座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60m_stock_data_parquet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5490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同花顺60分钟价量数据文件数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analysis_universe_days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4058650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20230101以来可交易股票-日期样本</w:t>
            </w:r>
          </w:p>
        </w:tc>
      </w:tr>
    </w:tbl>
    <w:p>
      <w:r>
        <w:rPr>
          <w:rFonts w:ascii="Microsoft YaHei" w:hAnsi="Microsoft YaHei" w:eastAsia="Microsoft YaHei"/>
          <w:b/>
          <w:sz w:val="20"/>
        </w:rPr>
        <w:t>表2：未来函数与样本外隔离检查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检查项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处理方式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结论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财务指标可得性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财务面板按公告日ann_date向后匹配到交易日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避免报告期数据提前进入历史样本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价量因子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动量、反转、波动率、换手均使用pct_change或rolling历史窗口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信号仅使用t日及以前行情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训练标签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模型权重和参数选择仅使用20241129及以前标签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与20250101后的样本外区间隔离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模型参数选择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候选模型先在训练期内部做滚动验证，再用全训练期复核，不用最终样本外结果筛选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降低单段训练期筛优偏差，最终样本外结果只用于验证和复盘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60分钟样本选择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分钟样本股票按训练期成交额中位数选取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不使用样本外流动性挑选股票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（一）研究口径与防未来函数设计</w:t>
      </w:r>
    </w:p>
    <w:p>
      <w:r>
        <w:t>本轮优化将研究过程拆分为训练、滚动验证、全训练期复核和最终样本外验证四个环节。因子权重、Ridge系数和持仓参数的形成均限制在20241129及以前；20250101之后只用于最终样本外检验、图表展示和复盘解释。财务指标使用公告日向后匹配，价量指标使用历史滚动窗口，模型选择优先依据训练期内部滚动验证结果，以降低未来数据泄露和单段样本筛优偏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（二）因子筛选：用AI辅助形成候选因子动作清单</w:t>
      </w:r>
    </w:p>
    <w:p>
      <w:r>
        <w:t>本次以20230101以来的可交易股票样本为基础，将20241129及以前作为权重和参数形成区间，20250101以来作为样本外观察区间。候选因子覆盖估值、质量、成长、资本结构、反转与趋势、相对强弱、波动防御、价格位置以及流动性/拥挤等九类信号。AI辅助部分并不直接生成交易结论，而是根据平均IC、IC_IR和正IC占比，把因子分为“核心加权、辅助过滤、观察保留、反向验证或降权”。</w:t>
      </w:r>
    </w:p>
    <w:p>
      <w:r>
        <w:rPr>
          <w:rFonts w:ascii="Microsoft YaHei" w:hAnsi="Microsoft YaHei" w:eastAsia="Microsoft YaHei"/>
          <w:b/>
          <w:sz w:val="20"/>
        </w:rPr>
        <w:t>表3：训练期因子IC摘要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因子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平均IC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IC_IR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正IC占比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观测日数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低ATR波动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0.0777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0.3630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0.6601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456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低波动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0.0682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0.3273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0.6372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452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估值-BP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0.0666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0.4328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0.6710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462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60日低波动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0.0655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0.2844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0.6222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442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20日反转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0.0580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0.3381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0.6584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442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低换手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0.0541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0.2751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0.6049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453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小市值暴露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0.0488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0.2233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0.6342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462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短期反转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0.0388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0.2385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0.6018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457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股息率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0.0327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0.2896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0.6082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462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估值-EP(TTM)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0.0300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0.2216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0.5714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462</w:t>
            </w:r>
          </w:p>
        </w:tc>
      </w:tr>
    </w:tbl>
    <w:p>
      <w:r>
        <w:rPr>
          <w:rFonts w:ascii="Microsoft YaHei" w:hAnsi="Microsoft YaHei" w:eastAsia="Microsoft YaHei"/>
          <w:b/>
          <w:sz w:val="20"/>
        </w:rPr>
        <w:t>表4：样本外因子IC摘要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因子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平均IC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IC_IR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正IC占比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观测日数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20日反转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0.0604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0.4332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0.6799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低ATR波动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0.0538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0.2803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0.6128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低波动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0.0525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0.2793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0.6280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短期反转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0.0451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0.3645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0.6372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低换手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0.0442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0.2463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0.5915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小市值暴露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0.0380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0.2514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0.6159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60日低波动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0.0349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0.1709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0.6098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估值-BP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0.0275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0.1660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0.5579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1日反转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0.0205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0.1515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0.5152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收入成长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0.0040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0.2299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0.5884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328</w:t>
            </w:r>
          </w:p>
        </w:tc>
      </w:tr>
    </w:tbl>
    <w:p>
      <w:r>
        <w:rPr>
          <w:rFonts w:ascii="Microsoft YaHei" w:hAnsi="Microsoft YaHei" w:eastAsia="Microsoft YaHei"/>
          <w:b/>
          <w:sz w:val="20"/>
        </w:rPr>
        <w:t>表5：AI辅助因子动作清单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因子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平均IC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正IC占比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AI动作归类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原因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低ATR波动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0.0777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0.6601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核心加权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方向稳定，可作为组合主输入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低波动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0.0682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0.6372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核心加权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方向稳定，可作为组合主输入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估值-BP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0.0666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0.6710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核心加权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方向稳定，可作为组合主输入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60日低波动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0.0655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0.6222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核心加权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方向稳定，可作为组合主输入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20日反转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0.0580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0.6584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核心加权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方向稳定，可作为组合主输入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低换手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0.0541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0.6049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核心加权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方向稳定，可作为组合主输入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小市值暴露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0.0488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0.6342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核心加权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方向稳定，可作为组合主输入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短期反转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0.0388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0.6018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核心加权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方向稳定，可作为组合主输入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股息率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0.0327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0.6082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核心加权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方向稳定，可作为组合主输入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估值-EP(TTM)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0.0300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0.5714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核心加权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方向稳定，可作为组合主输入</w:t>
            </w:r>
          </w:p>
        </w:tc>
      </w:tr>
    </w:tbl>
    <w:p>
      <w:r>
        <w:rPr>
          <w:rFonts w:ascii="Microsoft YaHei" w:hAnsi="Microsoft YaHei" w:eastAsia="Microsoft YaHei"/>
          <w:b/>
          <w:sz w:val="20"/>
        </w:rPr>
        <w:t>表6：因子分组稳定性摘要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因子组</w:t>
            </w:r>
          </w:p>
        </w:tc>
        <w:tc>
          <w:tcPr>
            <w:tcW w:type="dxa" w:w="1632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因子数量</w:t>
            </w:r>
          </w:p>
        </w:tc>
        <w:tc>
          <w:tcPr>
            <w:tcW w:type="dxa" w:w="1632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训练期平均IC</w:t>
            </w:r>
          </w:p>
        </w:tc>
        <w:tc>
          <w:tcPr>
            <w:tcW w:type="dxa" w:w="1632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训练期正IC占比</w:t>
            </w:r>
          </w:p>
        </w:tc>
        <w:tc>
          <w:tcPr>
            <w:tcW w:type="dxa" w:w="1632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样本外平均IC</w:t>
            </w:r>
          </w:p>
        </w:tc>
        <w:tc>
          <w:tcPr>
            <w:tcW w:type="dxa" w:w="1632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样本外正IC占比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波动与防御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0.0705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0.6398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0.0471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0.6169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规模与风险补偿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0.0488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0.6342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0.0380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0.6159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估值与质量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0.0263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0.5874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0.0068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0.5171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现金流与成长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-0.0001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0.5043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0.0017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0.5274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资本结构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0.0031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0.5844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0.0009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0.5640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反转与趋势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-0.0097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0.4827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-0.0069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0.4808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流动性与拥挤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-0.0200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0.4233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-0.0221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0.3796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价格位置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-0.0460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0.3861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-0.0442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0.3647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相对强弱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-0.0556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0.3636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-0.0594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0.3491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807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s_factor_ic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7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4296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6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（三）模型选择：训练期内比较目标期限与持仓数量</w:t>
      </w:r>
    </w:p>
    <w:p>
      <w:r>
        <w:t>本轮没有直接用最终样本外表现挑模型，而是在训练期内部比较未来5日、未来20日两类标签下的多因子IC加权与Ridge横截面模型，并对Top50/100/200/300持仓数量做滚动验证。滚动验证目标函数综合收益、超额、回撤和换手后，当前选定方案为Ridge横截面机器学习 / 未来20日收益 / Top200。这个流程更接近真实量化研究：先看训练期内部跨阶段稳定性，再看全训练期复核结果，最后把最终样本外单独留作验证。</w:t>
      </w:r>
    </w:p>
    <w:p>
      <w:r>
        <w:rPr>
          <w:rFonts w:ascii="Microsoft YaHei" w:hAnsi="Microsoft YaHei" w:eastAsia="Microsoft YaHei"/>
          <w:b/>
          <w:sz w:val="20"/>
        </w:rPr>
        <w:t>表7：滚动验证窗口划分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验证窗口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训练截止日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验证开始日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验证结束日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window_1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20240305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20240306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20240604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window_2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20240604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20240605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20240828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window_3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20240828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20240829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20241129</w:t>
            </w:r>
          </w:p>
        </w:tc>
      </w:tr>
    </w:tbl>
    <w:p>
      <w:r>
        <w:rPr>
          <w:rFonts w:ascii="Microsoft YaHei" w:hAnsi="Microsoft YaHei" w:eastAsia="Microsoft YaHei"/>
          <w:b/>
          <w:sz w:val="20"/>
        </w:rPr>
        <w:t>表8：模型选择结果（按滚动验证优先排序）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模型类型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训练标签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持仓数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滚动验证目标分均值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滚动验证目标分波动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滚动验证年化超额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滚动验证平均换手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全训练期目标分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全训练期年化收益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全训练期最大回撤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未来20日收益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1.43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2.09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0.4873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0.1955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0.7529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0.6020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-0.3895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未来20日收益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300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1.42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2.14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0.4683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0.1814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0.5806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0.4873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-0.3919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未来20日收益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1.34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2.04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0.4476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0.2173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1.18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0.8844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-0.3608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未来5日收益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300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1.30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2.05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0.4204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0.2566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0.4920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0.4277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-0.3780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未来5日收益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1.29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2.07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0.4072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0.2732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0.5913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0.4916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-0.3657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未来5日收益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1.25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2.01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0.3865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0.3032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0.7376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0.5878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-0.3533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未来20日收益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1.19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2.05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0.3536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0.2286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1.33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0.9812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-0.3505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Ridge横截面机器学习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未来5日收益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0.9960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1.90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0.2493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0.3219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0.7410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0.5863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-0.3281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（四）因子组合优化：从人工等权走向可解释权重</w:t>
      </w:r>
    </w:p>
    <w:p>
      <w:r>
        <w:t>根据训练期IC和稳定性自动形成组合权重，优先选择方向为正、正IC占比较高且IC_IR较好的因子。本轮权重靠前的因子包括：短期成交额放大(17.4%)、短期换手放大(16.1%)、小市值暴露(6.3%)、均线斜率20/60(5.7%)。这类方法适合让AI承担“规则化初筛与解释”的角色，研究员再结合行业、市值和交易约束做二次确认。</w:t>
      </w:r>
    </w:p>
    <w:p>
      <w:r>
        <w:rPr>
          <w:rFonts w:ascii="Microsoft YaHei" w:hAnsi="Microsoft YaHei" w:eastAsia="Microsoft YaHei"/>
          <w:b/>
          <w:sz w:val="20"/>
        </w:rPr>
        <w:t>表9：AI辅助优化因子权重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因子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权重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训练期平均IC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训练期正IC占比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短期成交额放大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0.1738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-0.0376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0.3488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短期换手放大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0.1612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-0.0299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0.3731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小市值暴露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0.0626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0.0865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0.7424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均线斜率20/60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0.0566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-0.0471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0.4249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低换手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0.0446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0.0764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0.6667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RSI14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0.0332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-0.0526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0.3495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经营现金流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0.0313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0.0021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0.5779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低杠杆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0.0296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0.0041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0.6385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低冲击成本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0.0286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-0.0853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0.2450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估值-BP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0.0277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0.0971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0.7359</w:t>
            </w:r>
          </w:p>
        </w:tc>
      </w:tr>
    </w:tbl>
    <w:p>
      <w:r>
        <w:rPr>
          <w:rFonts w:ascii="Microsoft YaHei" w:hAnsi="Microsoft YaHei" w:eastAsia="Microsoft YaHei"/>
          <w:b/>
          <w:sz w:val="20"/>
        </w:rPr>
        <w:t>表10：选定Ridge模型主要特征系数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特征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因子组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系数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训练标签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短期成交额放大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流动性与拥挤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-0.1958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短期换手放大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流动性与拥挤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0.1816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小市值暴露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规模与风险补偿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0.0705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均线斜率20/60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价格位置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0.0638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低换手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流动性与拥挤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0.0502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RSI14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价格位置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0.0374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经营现金流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现金流与成长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0.0352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低杠杆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资本结构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0.0333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低冲击成本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流动性与拥挤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-0.0323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估值-BP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估值与质量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0.0312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next_20d_return</w:t>
            </w:r>
          </w:p>
        </w:tc>
      </w:tr>
    </w:tbl>
    <w:p>
      <w:r>
        <w:t>样本外分层检验中，综合分Q5-Q1日均多空收益折年约为13.83%。分层收益曲线用于检验综合分是否具备排序能力，也可作为AI复盘模型是否过度依赖单一风格的输入。</w:t>
      </w:r>
    </w:p>
    <w:p>
      <w:r>
        <w:drawing>
          <wp:inline xmlns:a="http://schemas.openxmlformats.org/drawingml/2006/main" xmlns:pic="http://schemas.openxmlformats.org/drawingml/2006/picture">
            <wp:extent cx="5669280" cy="2807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d_long_short_na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7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（五）选股模型测试：样本外组合回测与AI复盘切入点</w:t>
      </w:r>
    </w:p>
    <w:p>
      <w:r>
        <w:t>以训练期选定方案每日调仓、单边交易成本0.10%估算，样本外组合年化收益为56.39%，沪深300同期年化收益为19.76%，年化超额为30.76%，最大回撤为-14.79%，平均换手为15.70%。该结果适合作为AI复盘输入：当收益不稳定或回撤扩大时，AI可自动追问是否存在风格暴露过度、换手过高、因子拥挤或市场状态错配。</w:t>
      </w:r>
    </w:p>
    <w:p>
      <w:r>
        <w:rPr>
          <w:rFonts w:ascii="Microsoft YaHei" w:hAnsi="Microsoft YaHei" w:eastAsia="Microsoft YaHei"/>
          <w:b/>
          <w:sz w:val="20"/>
        </w:rPr>
        <w:t>表11：样本外组合回测摘要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交易日数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组合年化收益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基准年化收益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年化超额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年化波动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Sharpe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最大回撤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超额最大回撤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胜率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平均换手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332.00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0.5639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0.1976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0.3076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0.2366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2.38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-0.1479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-0.1258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0.5934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0.1570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d_selected_na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作为风险控制增强版补充，本轮进一步构建了Barra风格/行业中性框架：先形成原始多因子或Ridge打分，再在每日横截面上对规模、估值、动量、低波、流动性、质量以及行业哑变量做残差化处理。在同样的滚动验证口径下，Barra增强版当前选定模型为Barra风格行业中性-多因子IC加权 / 未来20日收益 / Top50。这一步的作用不是追求更高的名义收益，而是验证收益是否能在更低的行业偏离和风格暴露下保持稳定。</w:t>
      </w:r>
    </w:p>
    <w:p>
      <w:r>
        <w:rPr>
          <w:rFonts w:ascii="Microsoft YaHei" w:hAnsi="Microsoft YaHei" w:eastAsia="Microsoft YaHei"/>
          <w:b/>
          <w:sz w:val="20"/>
        </w:rPr>
        <w:t>表11-1：Barra风格行业中性模型选择结果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模型类型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训练标签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持仓数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滚动验证目标分均值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滚动验证目标分波动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滚动验证年化超额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滚动验证平均换手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全训练期目标分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全训练期年化收益</w:t>
            </w:r>
          </w:p>
        </w:tc>
        <w:tc>
          <w:tcPr>
            <w:tcW w:type="dxa" w:w="97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全训练期最大回撤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Barra风格行业中性-多因子IC加权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未来20日收益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2.54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4.14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0.8593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0.2456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0.1459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0.1719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-0.2749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Barra风格行业中性-多因子IC加权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未来5日收益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2.17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3.63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0.7067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0.2817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0.0883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0.1470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-0.3295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Barra风格行业中性-多因子IC加权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未来5日收益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2.15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3.48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0.7253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0.2458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0.1109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0.1542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-0.2994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Barra风格行业中性-多因子IC加权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未来20日收益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2.05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3.26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0.6921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0.2113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0.2379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0.2287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-0.2593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Barra风格行业中性-Ridge横截面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未来20日收益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2.03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3.60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0.6244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0.2470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0.1951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0.2063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-0.2848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Barra风格行业中性-Ridge横截面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未来5日收益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1.94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3.52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0.5747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0.2839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0.2333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0.2317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-0.2794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Barra风格行业中性-Ridge横截面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未来20日收益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50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1.92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3.51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0.5695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0.2782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0.1158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0.1568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-0.2939</w:t>
            </w:r>
          </w:p>
        </w:tc>
      </w:tr>
      <w:tr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Barra风格行业中性-多因子IC加权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未来20日收益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1.92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3.15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0.6247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0.1900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0.2467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0.2340</w:t>
            </w:r>
          </w:p>
        </w:tc>
        <w:tc>
          <w:tcPr>
            <w:tcW w:type="dxa" w:w="979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-0.2590</w:t>
            </w:r>
          </w:p>
        </w:tc>
      </w:tr>
    </w:tbl>
    <w:p>
      <w:r>
        <w:rPr>
          <w:rFonts w:ascii="Microsoft YaHei" w:hAnsi="Microsoft YaHei" w:eastAsia="Microsoft YaHei"/>
          <w:b/>
          <w:sz w:val="20"/>
        </w:rPr>
        <w:t>表11-2：Barra风格行业中性模型训练/样本外回测对比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指标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全训练期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样本外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组合年化收益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0.1719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0.2846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基准年化收益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0.0084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0.1976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年化超额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0.1682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0.0804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年化波动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0.2941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0.2596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Sharpe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0.5843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1.10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最大回撤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-0.2749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-0.2071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超额最大回撤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-0.2712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-0.1159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胜率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0.5216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0.5452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平均换手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0.2780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0.2965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交易日数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462.00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332.00</w:t>
            </w:r>
          </w:p>
        </w:tc>
      </w:tr>
    </w:tbl>
    <w:p>
      <w:r>
        <w:rPr>
          <w:rFonts w:ascii="Microsoft YaHei" w:hAnsi="Microsoft YaHei" w:eastAsia="Microsoft YaHei"/>
          <w:b/>
          <w:sz w:val="20"/>
        </w:rPr>
        <w:t>表11-3：Barra风格主动暴露摘要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风格因子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平均主动暴露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绝对主动暴露均值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低波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-1.33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1.33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动量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0.8635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0.8635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估值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-0.3315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0.3315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规模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0.1133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0.1898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流动性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-0.0469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0.1243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质量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-0.0008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0.0032</w:t>
            </w:r>
          </w:p>
        </w:tc>
      </w:tr>
    </w:tbl>
    <w:p>
      <w:r>
        <w:rPr>
          <w:rFonts w:ascii="Microsoft YaHei" w:hAnsi="Microsoft YaHei" w:eastAsia="Microsoft YaHei"/>
          <w:b/>
          <w:sz w:val="20"/>
        </w:rPr>
        <w:t>表11-4：Barra行业主动权重摘要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行业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平均主动权重</w:t>
            </w:r>
          </w:p>
        </w:tc>
        <w:tc>
          <w:tcPr>
            <w:tcW w:type="dxa" w:w="326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绝对主动权重均值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机械基件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0.0311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0.0335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电气设备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0.0091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0.0331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专用机械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0.0176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0.0319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软件服务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0.0065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0.0271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元器件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-0.0070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0.0268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汽车配件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-0.0090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0.0236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半导体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-0.0017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0.0235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化工原料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-0.0074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0.0227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医疗保健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-0.0050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0.0225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通信设备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0.0045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0.0194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（六）样本共性分析：把强势样本转化为候选因子假设</w:t>
      </w:r>
    </w:p>
    <w:p>
      <w:r>
        <w:t>对样本外未来20个交易日收益进入当日横截面前10%的股票进行共性对比，可以看到强势样本在哪些标准化因子上相对全市场更突出。这一过程对应报告前文提到的“给AI一批强势股票，让AI归纳共性因子”：AI的价值在于把大量横截面数据快速压缩为可验证假设。</w:t>
      </w:r>
    </w:p>
    <w:p>
      <w:r>
        <w:rPr>
          <w:rFonts w:ascii="Microsoft YaHei" w:hAnsi="Microsoft YaHei" w:eastAsia="Microsoft YaHei"/>
          <w:b/>
          <w:sz w:val="20"/>
        </w:rPr>
        <w:t>表12：强势样本相对全市场的共性因子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因子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强势样本中位Z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全市场中位Z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差异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AI共性归纳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120日动量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0.0108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-0.2439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0.2547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强势样本显著偏高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20日价格区间位置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0.2090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-0.0312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0.2402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强势样本显著偏高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中长期动量剔除近端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-0.0296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-0.2396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0.2100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强势样本显著偏高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中期动量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-0.0128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-0.2174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0.2046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强势样本显著偏高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相对沪深300强度60日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-0.0128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-0.2174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0.2046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强势样本显著偏高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布林带位置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0.1240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-0.0763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0.2003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强势样本显著偏高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60日乖离率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0.0006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-0.1971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0.1977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强势样本显著偏高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均线斜率20/60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0.0038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-0.1657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0.1694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强势样本显著偏高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RSI14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0.1734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0.0051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0.1682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强势样本显著偏高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20日动量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-0.0172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-0.1637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0.1465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差异不显著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（七）60分钟数据：日内结构作为选股和择时的辅助标签</w:t>
      </w:r>
    </w:p>
    <w:p>
      <w:r>
        <w:t>基于60分钟价量数据，本次抽取近期流动性较好的股票样本，计算日内收益、首小时强弱、尾盘成交占比、日内振幅和日内波动等特征。其中样本内表现相对靠前的日内结构变量为首小时强弱，平均IC为-0.0029。这说明分钟数据更适合作为AI辅助标签：帮助识别资金交易结构、尾盘确认、日内波动放大等短周期信息，而不是单独替代日频基本面因子。</w:t>
      </w:r>
    </w:p>
    <w:p>
      <w:r>
        <w:rPr>
          <w:rFonts w:ascii="Microsoft YaHei" w:hAnsi="Microsoft YaHei" w:eastAsia="Microsoft YaHei"/>
          <w:b/>
          <w:sz w:val="20"/>
        </w:rPr>
        <w:t>表13：60分钟日内结构特征IC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因子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平均IC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IC_IR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正IC占比</w:t>
            </w:r>
          </w:p>
        </w:tc>
        <w:tc>
          <w:tcPr>
            <w:tcW w:type="dxa" w:w="19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观测日数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首小时强弱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-0.0029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-0.0173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0.5103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243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尾盘成交占比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-0.0042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-0.0379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0.4691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243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日内波动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-0.0182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-0.1037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0.4774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243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日内振幅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-0.0218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-0.0965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0.4650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243</w:t>
            </w:r>
          </w:p>
        </w:tc>
      </w:tr>
      <w:tr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日内收益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-0.0284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-0.1546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0.4609</w:t>
            </w:r>
          </w:p>
        </w:tc>
        <w:tc>
          <w:tcPr>
            <w:tcW w:type="dxa" w:w="195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243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0923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_60m_ic_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（八）择时状态识别：从信号阈值走向状态解释</w:t>
      </w:r>
    </w:p>
    <w:p>
      <w:r>
        <w:t>择时部分使用沪深300趋势、市场宽度、成交量和波动率构造市场状态。AI在这里的落地方式是把状态标签、未来收益、胜率和解释文本组合起来，用于辅助判断当前模型应该偏进攻、防御还是等待确认。</w:t>
      </w:r>
    </w:p>
    <w:p>
      <w:r>
        <w:rPr>
          <w:rFonts w:ascii="Microsoft YaHei" w:hAnsi="Microsoft YaHei" w:eastAsia="Microsoft YaHei"/>
          <w:b/>
          <w:sz w:val="20"/>
        </w:rPr>
        <w:t>表14：市场状态与未来5日收益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市场状态</w:t>
            </w:r>
          </w:p>
        </w:tc>
        <w:tc>
          <w:tcPr>
            <w:tcW w:type="dxa" w:w="1632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观测日数</w:t>
            </w:r>
          </w:p>
        </w:tc>
        <w:tc>
          <w:tcPr>
            <w:tcW w:type="dxa" w:w="1632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未来5日平均收益</w:t>
            </w:r>
          </w:p>
        </w:tc>
        <w:tc>
          <w:tcPr>
            <w:tcW w:type="dxa" w:w="1632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胜率</w:t>
            </w:r>
          </w:p>
        </w:tc>
        <w:tc>
          <w:tcPr>
            <w:tcW w:type="dxa" w:w="1632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平均上涨家数占比</w:t>
            </w:r>
          </w:p>
        </w:tc>
        <w:tc>
          <w:tcPr>
            <w:tcW w:type="dxa" w:w="1632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AI解释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高波动分化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93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0.0087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0.6667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0.2823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波动抬升且赚钱效应不足，适合降低换手并控制回撤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修复反弹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104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0.0056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0.5288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0.7407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宽度改善但趋势仍需确认，适合结合反转与低估值修复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中性震荡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459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0.0000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0.5033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0.4883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趋势信号不充分，适合等待宽度或量能确认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风险收缩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107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-0.0000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0.4112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0.2533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趋势与宽度同步走弱，适合降低仓位或提高防御过滤</w:t>
            </w:r>
          </w:p>
        </w:tc>
      </w:tr>
      <w:tr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趋势上行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49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-0.0028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0.4082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0.6925</w:t>
            </w:r>
          </w:p>
        </w:tc>
        <w:tc>
          <w:tcPr>
            <w:tcW w:type="dxa" w:w="1632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趋势和宽度共振，适合提高权益暴露并强化动量类信号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0155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ing_regime_enhanc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5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sz w:val="24"/>
        </w:rPr>
        <w:t>（九）落地实施方案</w:t>
      </w:r>
    </w:p>
    <w:p>
      <w:r>
        <w:t>AI能力落地划分为四个可审计模块：第一，因子研究助手，负责自动生成IC、相关性、分层和动作归类；第二，模型复盘助手，负责读取回测曲线、换手、回撤和风格暴露并输出问题清单；第三，分钟结构标签助手，负责把60分钟量价结构转成日频可用标签；第四，择时状态解释助手，负责把趋势、宽度、量能和波动状态转成仓位与风险提示。该实施框架保留量化研究的可复现性，同时发挥AI在归纳、解释和迭代效率上的优势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十、关键步骤汇总与AI执行方法论</w:t>
      </w:r>
    </w:p>
    <w:p>
      <w:r>
        <w:t>本项目的落地方式，不是让AI直接替代研究判断，而是把研究目标拆解为任务边界设定、数据底座复用、候选因子构建、滚动验证选模、样本外回测复盘和正式报告输出六个环节。在该框架下，AI承担结构化归纳、参数枚举、结果解释与文档汇总职责，研究人员负责数据口径确认、策略取舍与最终结论审定，从而形成可复现、可审计、可持续迭代的研究闭环。</w:t>
      </w:r>
    </w:p>
    <w:p>
      <w:r>
        <w:t>本轮升级后，第十章的作用不再只是补充说明，而是用于沉淀本项目已经验证过的方法路径：一方面说明技术因子、机器学习和分钟结构特征如何被纳入统一研究框架；另一方面说明未来函数防范、滚动验证和样本外隔离如何在实际工程中落地。</w:t>
      </w:r>
    </w:p>
    <w:p>
      <w:r>
        <w:rPr>
          <w:rFonts w:ascii="Microsoft YaHei" w:hAnsi="Microsoft YaHei" w:eastAsia="Microsoft YaHei"/>
          <w:b/>
          <w:sz w:val="20"/>
        </w:rPr>
        <w:t>表15：关键步骤、AI执行动作与输出结果汇总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环节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输入材料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AI执行动作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输出结果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任务边界设定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研究目标、数据范围、报告用途、可用目录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拆分选股、择时、复盘和报告模块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研究边界、训练期、滚动验证期和样本外区间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数据底座梳理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DuckDB日频底座、交易约束、指数、60分钟价量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识别字段、覆盖范围与口径风险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覆盖情况表、未来函数检查表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候选因子构建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基本面、技术面、流动性、价格位置与分钟标签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批量生成因子、标准化、分组归纳与相关性识别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因子IC摘要、分组稳定性、动作清单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模型组合验证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训练标签、持仓数量、交易成本、候选模型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滚动验证枚举模型并按目标函数排序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滚动验证表、全训练期复核结果、选定模型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样本外复盘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最终样本外净值、回撤、换手、分层收益、市场状态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归纳优势、短板与适用环境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回测摘要图表、择时解释、问题清单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报告固化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表格、图形、模型说明、项目过程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组织为正式方案文字并保留工程化路径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正式Word报告、摘要Markdown、输出目录</w:t>
            </w:r>
          </w:p>
        </w:tc>
      </w:tr>
    </w:tbl>
    <w:p>
      <w:r>
        <w:rPr>
          <w:rFonts w:ascii="Microsoft YaHei" w:hAnsi="Microsoft YaHei" w:eastAsia="Microsoft YaHei"/>
          <w:b/>
          <w:sz w:val="20"/>
        </w:rPr>
        <w:t>表16：本项目中AI与研究员的分工方式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角色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职责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研究员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定义任务目标、确认数据口径、判断模型取舍、审核最终结论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AI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批量生成因子、输出滚动验证与回测结果、归纳图表结论、组织正式报告表达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人机协同结果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形成可复现的研究工程，而不是一次性文字报告；后续可继续迭代新因子、新模型和新验证框架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