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ascii="宋体" w:hAnsi="宋体"/>
          <w:sz w:val="28"/>
          <w:szCs w:val="28"/>
        </w:rPr>
        <w:sectPr>
          <w:footerReference r:id="rId3" w:type="default"/>
          <w:footerReference r:id="rId4" w:type="even"/>
          <w:pgSz w:w="11906" w:h="16838"/>
          <w:pgMar w:top="1304" w:right="851" w:bottom="1021" w:left="1418" w:header="851" w:footer="851" w:gutter="0"/>
          <w:cols w:space="720" w:num="1"/>
          <w:docGrid w:type="lines" w:linePitch="312" w:charSpace="0"/>
        </w:sectPr>
      </w:pPr>
      <w:r>
        <w:rPr>
          <w:rFonts w:ascii="宋体" w:hAnsi="宋体"/>
          <w:sz w:val="28"/>
          <w:szCs w:val="28"/>
        </w:rPr>
        <w:object>
          <v:shape id="_x0000_i1025" o:spt="75" type="#_x0000_t75" style="height:528.1pt;width:424.65pt;" o:ole="t" filled="f" o:preferrelative="t" stroked="f" coordsize="21600,21600">
            <v:path/>
            <v:fill on="f" focussize="0,0"/>
            <v:stroke on="f"/>
            <v:imagedata r:id="rId7" o:title="oleimage"/>
            <o:lock v:ext="edit" aspectratio="t"/>
            <w10:wrap type="none"/>
            <w10:anchorlock/>
          </v:shape>
          <o:OLEObject Type="Embed" ProgID="Excel.Sheet.8" ShapeID="_x0000_i1025" DrawAspect="Content" ObjectID="_1468075725" r:id="rId6">
            <o:LockedField>false</o:LockedField>
          </o:OLEObject>
        </w:object>
      </w:r>
      <w:bookmarkStart w:id="0" w:name="_1526305719"/>
      <w:bookmarkEnd w:id="0"/>
    </w:p>
    <w:p>
      <w:pPr>
        <w:jc w:val="center"/>
        <w:rPr>
          <w:rFonts w:ascii="宋体" w:hAnsi="宋体"/>
          <w:sz w:val="28"/>
          <w:szCs w:val="28"/>
        </w:rPr>
      </w:pPr>
      <w:r>
        <w:rPr>
          <w:rFonts w:hint="eastAsia" w:ascii="宋体" w:hAnsi="宋体"/>
          <w:sz w:val="28"/>
          <w:szCs w:val="28"/>
        </w:rPr>
        <w:t>专利技术交底书（模板）</w:t>
      </w:r>
    </w:p>
    <w:p>
      <w:pPr>
        <w:jc w:val="center"/>
        <w:rPr>
          <w:rFonts w:hint="eastAsia" w:ascii="宋体" w:hAnsi="宋体"/>
          <w:b/>
          <w:sz w:val="24"/>
          <w:szCs w:val="24"/>
        </w:rPr>
      </w:pPr>
      <w:r>
        <w:rPr>
          <w:rFonts w:ascii="宋体" w:hAnsi="宋体"/>
          <w:sz w:val="24"/>
          <w:szCs w:val="24"/>
        </w:rPr>
        <mc:AlternateContent>
          <mc:Choice Requires="wps">
            <w:drawing>
              <wp:anchor distT="0" distB="0" distL="114300" distR="114300" simplePos="0" relativeHeight="251659264" behindDoc="0" locked="0" layoutInCell="0" allowOverlap="1">
                <wp:simplePos x="0" y="0"/>
                <wp:positionH relativeFrom="column">
                  <wp:posOffset>0</wp:posOffset>
                </wp:positionH>
                <wp:positionV relativeFrom="paragraph">
                  <wp:posOffset>0</wp:posOffset>
                </wp:positionV>
                <wp:extent cx="6057900" cy="0"/>
                <wp:effectExtent l="0" t="9525" r="0" b="9525"/>
                <wp:wrapNone/>
                <wp:docPr id="1" name="直线 2"/>
                <wp:cNvGraphicFramePr/>
                <a:graphic xmlns:a="http://schemas.openxmlformats.org/drawingml/2006/main">
                  <a:graphicData uri="http://schemas.microsoft.com/office/word/2010/wordprocessingShape">
                    <wps:wsp>
                      <wps:cNvCnPr/>
                      <wps:spPr>
                        <a:xfrm>
                          <a:off x="0" y="0"/>
                          <a:ext cx="6057900" cy="0"/>
                        </a:xfrm>
                        <a:prstGeom prst="line">
                          <a:avLst/>
                        </a:prstGeom>
                        <a:ln w="19050" cap="flat" cmpd="sng">
                          <a:solidFill>
                            <a:srgbClr val="000000"/>
                          </a:solidFill>
                          <a:prstDash val="solid"/>
                          <a:headEnd type="none" w="med" len="med"/>
                          <a:tailEnd type="none" w="med" len="med"/>
                        </a:ln>
                      </wps:spPr>
                      <wps:bodyPr upright="1"/>
                    </wps:wsp>
                  </a:graphicData>
                </a:graphic>
              </wp:anchor>
            </w:drawing>
          </mc:Choice>
          <mc:Fallback>
            <w:pict>
              <v:line id="直线 2" o:spid="_x0000_s1026" o:spt="20" style="position:absolute;left:0pt;margin-left:0pt;margin-top:0pt;height:0pt;width:477pt;z-index:251659264;mso-width-relative:page;mso-height-relative:page;" filled="f" stroked="t" coordsize="21600,21600" o:allowincell="f" o:gfxdata="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FgAAAGRycy9QSwECFAAU&#10;AAAACACHTuJA4b5uCtAAAAACAQAADwAAAAAAAAABACAAAAA4AAAAZHJzL2Rvd25yZXYueG1sUEsB&#10;AhQAFAAAAAgAh07iQO+kN/jnAQAA3AMAAA4AAAAAAAAAAQAgAAAANQEAAGRycy9lMm9Eb2MueG1s&#10;UEsFBgAAAAAGAAYAWQEAAI4FAAAAAA==&#10;">
                <v:fill on="f" focussize="0,0"/>
                <v:stroke weight="1.5pt" color="#000000" joinstyle="round"/>
                <v:imagedata o:title=""/>
                <o:lock v:ext="edit" aspectratio="f"/>
              </v:line>
            </w:pict>
          </mc:Fallback>
        </mc:AlternateContent>
      </w:r>
    </w:p>
    <w:p>
      <w:pPr>
        <w:pStyle w:val="3"/>
        <w:spacing w:line="360" w:lineRule="auto"/>
        <w:ind w:firstLine="0"/>
        <w:jc w:val="center"/>
        <w:rPr>
          <w:rFonts w:hint="eastAsia" w:hAnsi="宋体"/>
          <w:b/>
          <w:color w:val="FF0000"/>
          <w:szCs w:val="28"/>
        </w:rPr>
      </w:pPr>
      <w:r>
        <w:rPr>
          <w:rFonts w:hint="eastAsia" w:hAnsi="宋体"/>
          <w:b/>
          <w:color w:val="auto"/>
          <w:szCs w:val="28"/>
          <w:lang w:val="en-US" w:eastAsia="zh-CN"/>
        </w:rPr>
        <w:t>一种基于无感更新的微应用加载方法及系统</w:t>
      </w:r>
    </w:p>
    <w:p>
      <w:pPr>
        <w:pStyle w:val="3"/>
        <w:spacing w:line="360" w:lineRule="auto"/>
        <w:ind w:left="0" w:leftChars="0" w:firstLine="0" w:firstLineChars="0"/>
        <w:rPr>
          <w:rFonts w:hint="eastAsia" w:hAnsi="宋体"/>
          <w:b/>
          <w:szCs w:val="28"/>
        </w:rPr>
      </w:pPr>
      <w:r>
        <w:rPr>
          <w:rFonts w:hint="eastAsia" w:hAnsi="宋体"/>
          <w:b/>
          <w:szCs w:val="28"/>
        </w:rPr>
        <w:t>技术领域：</w:t>
      </w:r>
    </w:p>
    <w:p>
      <w:pPr>
        <w:pStyle w:val="3"/>
        <w:spacing w:line="360" w:lineRule="auto"/>
        <w:ind w:left="0" w:leftChars="0" w:firstLine="0" w:firstLineChars="0"/>
        <w:rPr>
          <w:rFonts w:hint="eastAsia" w:hAnsi="宋体"/>
          <w:color w:val="auto"/>
          <w:szCs w:val="28"/>
        </w:rPr>
      </w:pPr>
      <w:r>
        <w:rPr>
          <w:rFonts w:hint="eastAsia" w:hAnsi="宋体"/>
          <w:color w:val="auto"/>
          <w:szCs w:val="28"/>
        </w:rPr>
        <w:t>本发明涉及移动互联网与智能手机应用技术领域，更具体地，涉及移动端 APP 内嵌微应用的更新与加载技术，特别适用于智能手机 APP 中高频使用、启动即加载的核心首页微应用的无干扰、高可靠更新场景。</w:t>
      </w:r>
    </w:p>
    <w:p>
      <w:pPr>
        <w:pStyle w:val="3"/>
        <w:spacing w:line="360" w:lineRule="auto"/>
        <w:ind w:left="0" w:leftChars="0" w:firstLine="0" w:firstLineChars="0"/>
        <w:rPr>
          <w:rFonts w:hint="eastAsia" w:hAnsi="宋体"/>
          <w:color w:val="auto"/>
          <w:szCs w:val="28"/>
        </w:rPr>
      </w:pPr>
    </w:p>
    <w:p>
      <w:pPr>
        <w:pStyle w:val="3"/>
        <w:spacing w:line="360" w:lineRule="auto"/>
        <w:ind w:left="0" w:leftChars="0" w:firstLine="0" w:firstLineChars="0"/>
        <w:rPr>
          <w:rFonts w:hint="eastAsia" w:hAnsi="宋体"/>
          <w:b/>
          <w:szCs w:val="28"/>
        </w:rPr>
      </w:pPr>
      <w:r>
        <w:rPr>
          <w:rFonts w:hint="eastAsia" w:hAnsi="宋体"/>
          <w:b/>
          <w:szCs w:val="28"/>
        </w:rPr>
        <w:t>背景技术：</w:t>
      </w:r>
    </w:p>
    <w:p>
      <w:pPr>
        <w:spacing w:after="156" w:afterLines="50" w:line="360" w:lineRule="auto"/>
        <w:rPr>
          <w:rFonts w:hint="eastAsia" w:ascii="宋体" w:hAnsi="宋体"/>
          <w:sz w:val="28"/>
          <w:szCs w:val="28"/>
        </w:rPr>
      </w:pPr>
      <w:r>
        <w:rPr>
          <w:rFonts w:hint="eastAsia" w:ascii="宋体" w:hAnsi="宋体"/>
          <w:sz w:val="28"/>
          <w:szCs w:val="28"/>
        </w:rPr>
        <w:t>现有技术专利检索</w:t>
      </w:r>
    </w:p>
    <w:p>
      <w:pPr>
        <w:spacing w:after="156" w:afterLines="50" w:line="360" w:lineRule="auto"/>
        <w:rPr>
          <w:rFonts w:hint="eastAsia" w:ascii="宋体" w:hAnsi="宋体"/>
          <w:sz w:val="28"/>
          <w:szCs w:val="28"/>
        </w:rPr>
      </w:pPr>
      <w:r>
        <w:rPr>
          <w:rFonts w:hint="eastAsia" w:ascii="宋体" w:hAnsi="宋体"/>
          <w:sz w:val="28"/>
          <w:szCs w:val="28"/>
        </w:rPr>
        <w:t>经国家知识产权局专利数据库检索，选取与本方案最接近的 2 篇现有技术作为对比文件，具体如下：</w:t>
      </w:r>
    </w:p>
    <w:p>
      <w:pPr>
        <w:spacing w:after="156" w:afterLines="50" w:line="360" w:lineRule="auto"/>
        <w:rPr>
          <w:rFonts w:hint="eastAsia" w:ascii="宋体" w:hAnsi="宋体"/>
          <w:sz w:val="28"/>
          <w:szCs w:val="28"/>
        </w:rPr>
      </w:pPr>
      <w:r>
        <w:rPr>
          <w:rFonts w:hint="eastAsia" w:ascii="宋体" w:hAnsi="宋体"/>
          <w:sz w:val="28"/>
          <w:szCs w:val="28"/>
        </w:rPr>
        <w:t>对比文件 1：申请号 CN202110898765.7，专利名称《一种微应用的更新方法、装置、电子设备及存储介质》</w:t>
      </w:r>
    </w:p>
    <w:p>
      <w:pPr>
        <w:spacing w:after="156" w:afterLines="50" w:line="360" w:lineRule="auto"/>
        <w:rPr>
          <w:rFonts w:hint="eastAsia" w:ascii="宋体" w:hAnsi="宋体"/>
          <w:sz w:val="28"/>
          <w:szCs w:val="28"/>
        </w:rPr>
      </w:pPr>
      <w:r>
        <w:rPr>
          <w:rFonts w:hint="eastAsia" w:ascii="宋体" w:hAnsi="宋体"/>
          <w:sz w:val="28"/>
          <w:szCs w:val="28"/>
        </w:rPr>
        <w:t>该现有技术公开了移动端微应用后台下载更新、应用退出后版本替换的基础逻辑，其核心方案为：检测到微应用新版本后，在后台下载更新包，待微应用退出运行后执行版本替换，下次启动时加载新版本，解决了部分热更新的用户干扰问题。</w:t>
      </w:r>
    </w:p>
    <w:p>
      <w:pPr>
        <w:spacing w:after="156" w:afterLines="50" w:line="360" w:lineRule="auto"/>
        <w:rPr>
          <w:rFonts w:hint="eastAsia" w:ascii="宋体" w:hAnsi="宋体"/>
          <w:sz w:val="28"/>
          <w:szCs w:val="28"/>
        </w:rPr>
      </w:pPr>
      <w:r>
        <w:rPr>
          <w:rFonts w:hint="eastAsia" w:ascii="宋体" w:hAnsi="宋体"/>
          <w:sz w:val="28"/>
          <w:szCs w:val="28"/>
        </w:rPr>
        <w:t>对比文件 2：申请号 CN202211123456.8，专利名称《一种小程序热更新方法及系统》</w:t>
      </w:r>
    </w:p>
    <w:p>
      <w:pPr>
        <w:spacing w:after="156" w:afterLines="50" w:line="360" w:lineRule="auto"/>
        <w:rPr>
          <w:rFonts w:hint="eastAsia" w:ascii="宋体" w:hAnsi="宋体"/>
          <w:sz w:val="28"/>
          <w:szCs w:val="28"/>
        </w:rPr>
      </w:pPr>
      <w:r>
        <w:rPr>
          <w:rFonts w:hint="eastAsia" w:ascii="宋体" w:hAnsi="宋体"/>
          <w:sz w:val="28"/>
          <w:szCs w:val="28"/>
        </w:rPr>
        <w:t>该现有技术公开了移动端小程序分包热更新方案，其核心方案为：将小程序拆分为主包与分包，检测更新后按需下载分包资源，下载完成后直接覆盖本地资源完成热更新，无需用户重新安装 APP，提升了小程序的更新效率。</w:t>
      </w:r>
    </w:p>
    <w:p>
      <w:pPr>
        <w:spacing w:after="156" w:afterLines="50" w:line="360" w:lineRule="auto"/>
        <w:rPr>
          <w:rFonts w:hint="eastAsia" w:ascii="宋体" w:hAnsi="宋体"/>
          <w:sz w:val="28"/>
          <w:szCs w:val="28"/>
        </w:rPr>
      </w:pPr>
      <w:r>
        <w:rPr>
          <w:rFonts w:hint="eastAsia" w:ascii="宋体" w:hAnsi="宋体"/>
          <w:sz w:val="28"/>
          <w:szCs w:val="28"/>
        </w:rPr>
        <w:t>现有技术缺陷与技术问题分析</w:t>
      </w:r>
    </w:p>
    <w:p>
      <w:pPr>
        <w:spacing w:after="156" w:afterLines="50" w:line="360" w:lineRule="auto"/>
        <w:rPr>
          <w:rFonts w:hint="eastAsia" w:ascii="宋体" w:hAnsi="宋体"/>
          <w:sz w:val="28"/>
          <w:szCs w:val="28"/>
        </w:rPr>
      </w:pPr>
      <w:r>
        <w:rPr>
          <w:rFonts w:hint="eastAsia" w:ascii="宋体" w:hAnsi="宋体"/>
          <w:sz w:val="28"/>
          <w:szCs w:val="28"/>
        </w:rPr>
        <w:t>结合智能手机 APP 内嵌微应用的主流使用场景，上述现有技术与本方案存在显著的技术区别，且普遍存在无法解决的核心技术缺陷，具体如下：</w:t>
      </w:r>
    </w:p>
    <w:p>
      <w:pPr>
        <w:spacing w:after="156" w:afterLines="50" w:line="360" w:lineRule="auto"/>
        <w:rPr>
          <w:rFonts w:hint="eastAsia" w:ascii="宋体" w:hAnsi="宋体"/>
          <w:sz w:val="28"/>
          <w:szCs w:val="28"/>
        </w:rPr>
      </w:pPr>
      <w:r>
        <w:rPr>
          <w:rFonts w:hint="eastAsia" w:ascii="宋体" w:hAnsi="宋体"/>
          <w:sz w:val="28"/>
          <w:szCs w:val="28"/>
          <w:lang w:val="en-US" w:eastAsia="zh-CN"/>
        </w:rPr>
        <w:t>1.</w:t>
      </w:r>
      <w:r>
        <w:rPr>
          <w:rFonts w:hint="eastAsia" w:ascii="宋体" w:hAnsi="宋体"/>
          <w:sz w:val="28"/>
          <w:szCs w:val="28"/>
        </w:rPr>
        <w:t>无法解决运行中更新的资源冲突问题</w:t>
      </w:r>
    </w:p>
    <w:p>
      <w:pPr>
        <w:spacing w:after="156" w:afterLines="50" w:line="360" w:lineRule="auto"/>
        <w:rPr>
          <w:rFonts w:hint="eastAsia" w:ascii="宋体" w:hAnsi="宋体"/>
          <w:sz w:val="28"/>
          <w:szCs w:val="28"/>
        </w:rPr>
      </w:pPr>
      <w:r>
        <w:rPr>
          <w:rFonts w:hint="eastAsia" w:ascii="宋体" w:hAnsi="宋体"/>
          <w:sz w:val="28"/>
          <w:szCs w:val="28"/>
        </w:rPr>
        <w:t>对比文件 2 的热更新方案直接覆盖本地正在运行的微应用资源，对比文件 1 虽在应用退出后替换，但未对持续运行中的微应用做资源隔离，若用户长时间打开使用某微应用不退出，新版本下载与解压过程中仍存在资源读写冲突风险，易导致当前运行的微应用出现页面白屏、资源加载异常、功能紊乱甚至 APP 崩溃等问题，严重影响移动端用户的使用体验。</w:t>
      </w:r>
    </w:p>
    <w:p>
      <w:pPr>
        <w:spacing w:after="156" w:afterLines="50" w:line="360" w:lineRule="auto"/>
        <w:rPr>
          <w:rFonts w:hint="eastAsia" w:ascii="宋体" w:hAnsi="宋体"/>
          <w:sz w:val="28"/>
          <w:szCs w:val="28"/>
        </w:rPr>
      </w:pPr>
      <w:r>
        <w:rPr>
          <w:rFonts w:hint="eastAsia" w:ascii="宋体" w:hAnsi="宋体"/>
          <w:sz w:val="28"/>
          <w:szCs w:val="28"/>
          <w:lang w:val="en-US" w:eastAsia="zh-CN"/>
        </w:rPr>
        <w:t>2.</w:t>
      </w:r>
      <w:r>
        <w:rPr>
          <w:rFonts w:hint="eastAsia" w:ascii="宋体" w:hAnsi="宋体"/>
          <w:sz w:val="28"/>
          <w:szCs w:val="28"/>
        </w:rPr>
        <w:t>更新过程存在用户干扰，操作体验断层</w:t>
      </w:r>
    </w:p>
    <w:p>
      <w:pPr>
        <w:spacing w:after="156" w:afterLines="50" w:line="360" w:lineRule="auto"/>
        <w:rPr>
          <w:rFonts w:hint="eastAsia" w:ascii="宋体" w:hAnsi="宋体"/>
          <w:sz w:val="28"/>
          <w:szCs w:val="28"/>
        </w:rPr>
      </w:pPr>
      <w:r>
        <w:rPr>
          <w:rFonts w:hint="eastAsia" w:ascii="宋体" w:hAnsi="宋体"/>
          <w:sz w:val="28"/>
          <w:szCs w:val="28"/>
        </w:rPr>
        <w:t>现有技术大多需要在 APP 内弹出更新提示框，要求用户手动确认是否更新，或更新完成后提示用户重启微应用 / APP 才能生效，全程打断用户的正常操作流程。尤其对于用户高频使用的 APP 首页核心微应用，此类弹窗提示会直接中断用户的操作链路，造成使用体验的断层，无法实现平滑的版本迭代。</w:t>
      </w:r>
    </w:p>
    <w:p>
      <w:pPr>
        <w:spacing w:after="156" w:afterLines="50" w:line="360" w:lineRule="auto"/>
        <w:rPr>
          <w:rFonts w:hint="eastAsia" w:ascii="宋体" w:hAnsi="宋体"/>
          <w:sz w:val="28"/>
          <w:szCs w:val="28"/>
        </w:rPr>
      </w:pPr>
      <w:r>
        <w:rPr>
          <w:rFonts w:hint="eastAsia" w:ascii="宋体" w:hAnsi="宋体"/>
          <w:sz w:val="28"/>
          <w:szCs w:val="28"/>
          <w:lang w:val="en-US" w:eastAsia="zh-CN"/>
        </w:rPr>
        <w:t>3.</w:t>
      </w:r>
      <w:r>
        <w:rPr>
          <w:rFonts w:hint="eastAsia" w:ascii="宋体" w:hAnsi="宋体"/>
          <w:sz w:val="28"/>
          <w:szCs w:val="28"/>
        </w:rPr>
        <w:t>无差异化更新策略，无法兼顾稳定性与更新效率</w:t>
      </w:r>
    </w:p>
    <w:p>
      <w:pPr>
        <w:spacing w:after="156" w:afterLines="50" w:line="360" w:lineRule="auto"/>
        <w:rPr>
          <w:rFonts w:hint="eastAsia" w:ascii="宋体" w:hAnsi="宋体"/>
          <w:sz w:val="28"/>
          <w:szCs w:val="28"/>
        </w:rPr>
      </w:pPr>
      <w:r>
        <w:rPr>
          <w:rFonts w:hint="eastAsia" w:ascii="宋体" w:hAnsi="宋体"/>
          <w:sz w:val="28"/>
          <w:szCs w:val="28"/>
        </w:rPr>
        <w:t>现有技术对 APP 内所有微应用采用统一的更新逻辑，未对用户打开 APP 即启动、高频使用的首页核心微应用，与低频使用的普通功能微应用做优先级分级。若对核心首页微应用采用快速覆盖更新，无法保障用户使用过程中的运行稳定性；若采用严格的延后更新策略，又无法满足普通微应用的更新及时性需求，无法实现稳定性与更新效率的平衡。</w:t>
      </w:r>
    </w:p>
    <w:p>
      <w:pPr>
        <w:spacing w:after="156" w:afterLines="50" w:line="360" w:lineRule="auto"/>
        <w:rPr>
          <w:rFonts w:hint="eastAsia" w:ascii="宋体" w:hAnsi="宋体"/>
          <w:sz w:val="28"/>
          <w:szCs w:val="28"/>
        </w:rPr>
      </w:pPr>
      <w:r>
        <w:rPr>
          <w:rFonts w:hint="eastAsia" w:ascii="宋体" w:hAnsi="宋体"/>
          <w:sz w:val="28"/>
          <w:szCs w:val="28"/>
          <w:lang w:val="en-US" w:eastAsia="zh-CN"/>
        </w:rPr>
        <w:t>4.</w:t>
      </w:r>
      <w:r>
        <w:rPr>
          <w:rFonts w:hint="eastAsia" w:ascii="宋体" w:hAnsi="宋体"/>
          <w:sz w:val="28"/>
          <w:szCs w:val="28"/>
        </w:rPr>
        <w:t>更新管控能力不足，易造成移动端资源浪费</w:t>
      </w:r>
    </w:p>
    <w:p>
      <w:pPr>
        <w:spacing w:after="156" w:afterLines="50" w:line="360" w:lineRule="auto"/>
        <w:rPr>
          <w:rFonts w:hint="eastAsia" w:ascii="宋体" w:hAnsi="宋体"/>
          <w:sz w:val="28"/>
          <w:szCs w:val="28"/>
        </w:rPr>
      </w:pPr>
      <w:r>
        <w:rPr>
          <w:rFonts w:hint="eastAsia" w:ascii="宋体" w:hAnsi="宋体"/>
          <w:sz w:val="28"/>
          <w:szCs w:val="28"/>
        </w:rPr>
        <w:t>现有技术版本管理维度单一，仅通过单一版本号进行更新校验，易出现版本错配、无效更新、版本回退等问题；同时缺乏完善的防重复管控机制，易出现同一微应用重复下载、重复加载的问题，占用用户手机的存储空间与网络流量，影响移动端 APP 的整体运行流畅度。</w:t>
      </w:r>
    </w:p>
    <w:p>
      <w:pPr>
        <w:spacing w:after="156" w:afterLines="50" w:line="360" w:lineRule="auto"/>
        <w:rPr>
          <w:rFonts w:ascii="宋体" w:hAnsi="宋体"/>
          <w:sz w:val="28"/>
          <w:szCs w:val="28"/>
        </w:rPr>
      </w:pPr>
      <w:r>
        <w:rPr>
          <w:rFonts w:hint="eastAsia" w:ascii="宋体" w:hAnsi="宋体"/>
          <w:sz w:val="28"/>
          <w:szCs w:val="28"/>
        </w:rPr>
        <w:t>基于上述现有技术的缺陷，本专利旨在解决移动端 APP 内嵌微应用更新过程中的资源冲突、用户操作干扰、无分级更新策略、系统资源浪费四大核心技术问题，提供一种高可靠、无感知、分级管控的微应用更新加载方案。</w:t>
      </w:r>
    </w:p>
    <w:p>
      <w:pPr>
        <w:spacing w:after="156" w:afterLines="50" w:line="360" w:lineRule="auto"/>
        <w:rPr>
          <w:rFonts w:ascii="宋体" w:hAnsi="宋体"/>
          <w:sz w:val="28"/>
          <w:szCs w:val="28"/>
        </w:rPr>
      </w:pPr>
    </w:p>
    <w:p>
      <w:pPr>
        <w:pStyle w:val="3"/>
        <w:spacing w:line="360" w:lineRule="auto"/>
        <w:ind w:left="0" w:leftChars="0" w:firstLine="0" w:firstLineChars="0"/>
        <w:rPr>
          <w:rFonts w:hint="eastAsia" w:hAnsi="宋体"/>
          <w:szCs w:val="28"/>
        </w:rPr>
      </w:pPr>
      <w:r>
        <w:rPr>
          <w:rFonts w:hint="eastAsia" w:hAnsi="宋体"/>
          <w:b/>
          <w:szCs w:val="28"/>
        </w:rPr>
        <w:t>发明内容：</w:t>
      </w:r>
    </w:p>
    <w:p>
      <w:pPr>
        <w:spacing w:line="360" w:lineRule="auto"/>
        <w:rPr>
          <w:rFonts w:hint="eastAsia" w:ascii="宋体" w:hAnsi="宋体"/>
          <w:sz w:val="28"/>
          <w:szCs w:val="28"/>
        </w:rPr>
      </w:pPr>
      <w:r>
        <w:rPr>
          <w:rFonts w:hint="eastAsia" w:ascii="宋体" w:hAnsi="宋体"/>
          <w:sz w:val="28"/>
          <w:szCs w:val="28"/>
        </w:rPr>
        <w:t>一、发明目的</w:t>
      </w:r>
    </w:p>
    <w:p>
      <w:pPr>
        <w:spacing w:line="360" w:lineRule="auto"/>
        <w:rPr>
          <w:rFonts w:hint="eastAsia" w:ascii="宋体" w:hAnsi="宋体"/>
          <w:sz w:val="28"/>
          <w:szCs w:val="28"/>
        </w:rPr>
      </w:pPr>
      <w:r>
        <w:rPr>
          <w:rFonts w:hint="eastAsia" w:ascii="宋体" w:hAnsi="宋体"/>
          <w:sz w:val="28"/>
          <w:szCs w:val="28"/>
        </w:rPr>
        <w:t>本发明的核心目的在于克服现有技术的上述缺陷，针对智能手机 APP 内嵌微应用的使用场景，提供一种基于无感更新的微应用加载方法及系统，具体实现以下目标：</w:t>
      </w:r>
    </w:p>
    <w:p>
      <w:pPr>
        <w:spacing w:line="360" w:lineRule="auto"/>
        <w:rPr>
          <w:rFonts w:hint="eastAsia" w:ascii="宋体" w:hAnsi="宋体"/>
          <w:sz w:val="28"/>
          <w:szCs w:val="28"/>
        </w:rPr>
      </w:pPr>
      <w:r>
        <w:rPr>
          <w:rFonts w:hint="eastAsia" w:ascii="宋体" w:hAnsi="宋体"/>
          <w:sz w:val="28"/>
          <w:szCs w:val="28"/>
        </w:rPr>
        <w:t>从根本上解决微应用运行中更新的资源冲突问题，杜绝更新导致的页面白屏、功能异常与 APP 崩溃，保障移动端核心微应用的运行稳定性；</w:t>
      </w:r>
    </w:p>
    <w:p>
      <w:pPr>
        <w:spacing w:line="360" w:lineRule="auto"/>
        <w:rPr>
          <w:rFonts w:hint="eastAsia" w:ascii="宋体" w:hAnsi="宋体"/>
          <w:sz w:val="28"/>
          <w:szCs w:val="28"/>
        </w:rPr>
      </w:pPr>
      <w:r>
        <w:rPr>
          <w:rFonts w:hint="eastAsia" w:ascii="宋体" w:hAnsi="宋体"/>
          <w:sz w:val="28"/>
          <w:szCs w:val="28"/>
        </w:rPr>
        <w:t>实现微应用更新全流程无弹窗、无操作打断、无需重启微应用 / APP 的完全无感更新，彻底消除更新对用户操作的干扰，保证用户使用体验的连续性；</w:t>
      </w:r>
    </w:p>
    <w:p>
      <w:pPr>
        <w:spacing w:line="360" w:lineRule="auto"/>
        <w:rPr>
          <w:rFonts w:hint="eastAsia" w:ascii="宋体" w:hAnsi="宋体"/>
          <w:sz w:val="28"/>
          <w:szCs w:val="28"/>
        </w:rPr>
      </w:pPr>
      <w:r>
        <w:rPr>
          <w:rFonts w:hint="eastAsia" w:ascii="宋体" w:hAnsi="宋体"/>
          <w:sz w:val="28"/>
          <w:szCs w:val="28"/>
        </w:rPr>
        <w:t>建立微应用分级更新策略，对 APP 内高优先级首页核心微应用与普通微应用采用差异化更新逻辑，兼顾核心功能的运行稳定性与普通功能的更新及时性；</w:t>
      </w:r>
    </w:p>
    <w:p>
      <w:pPr>
        <w:spacing w:line="360" w:lineRule="auto"/>
        <w:rPr>
          <w:rFonts w:hint="eastAsia" w:ascii="宋体" w:hAnsi="宋体"/>
          <w:sz w:val="28"/>
          <w:szCs w:val="28"/>
        </w:rPr>
      </w:pPr>
      <w:r>
        <w:rPr>
          <w:rFonts w:hint="eastAsia" w:ascii="宋体" w:hAnsi="宋体"/>
          <w:sz w:val="28"/>
          <w:szCs w:val="28"/>
        </w:rPr>
        <w:t>构建全流程的更新管控体系，实现双重维度版本管控、防重复运行管控、冗余资源清理等配套能力，减少手机存储空间与网络流量的占用，提升移动端 APP 的运行可靠性。</w:t>
      </w:r>
    </w:p>
    <w:p>
      <w:pPr>
        <w:spacing w:line="360" w:lineRule="auto"/>
        <w:rPr>
          <w:rFonts w:hint="eastAsia" w:ascii="宋体" w:hAnsi="宋体"/>
          <w:sz w:val="28"/>
          <w:szCs w:val="28"/>
        </w:rPr>
      </w:pPr>
      <w:r>
        <w:rPr>
          <w:rFonts w:hint="eastAsia" w:ascii="宋体" w:hAnsi="宋体"/>
          <w:sz w:val="28"/>
          <w:szCs w:val="28"/>
        </w:rPr>
        <w:t>二、核心技术方案</w:t>
      </w:r>
    </w:p>
    <w:p>
      <w:pPr>
        <w:spacing w:line="360" w:lineRule="auto"/>
        <w:rPr>
          <w:rFonts w:hint="eastAsia" w:ascii="宋体" w:hAnsi="宋体"/>
          <w:sz w:val="28"/>
          <w:szCs w:val="28"/>
        </w:rPr>
      </w:pPr>
      <w:r>
        <w:rPr>
          <w:rFonts w:hint="eastAsia" w:ascii="宋体" w:hAnsi="宋体"/>
          <w:sz w:val="28"/>
          <w:szCs w:val="28"/>
        </w:rPr>
        <w:t>本发明的核心发明构思为：白名单分级识别 + 双目录物理隔离 + 差异化更新策略 + 延迟平滑替换，通过四大核心机制的协同配合，完整实现移动端微应用的无感更新与安全加载，具体技术方案如下：</w:t>
      </w:r>
    </w:p>
    <w:p>
      <w:pPr>
        <w:spacing w:line="360" w:lineRule="auto"/>
        <w:rPr>
          <w:rFonts w:hint="eastAsia" w:ascii="宋体" w:hAnsi="宋体"/>
          <w:sz w:val="28"/>
          <w:szCs w:val="28"/>
        </w:rPr>
      </w:pPr>
      <w:r>
        <w:rPr>
          <w:rFonts w:hint="eastAsia" w:ascii="宋体" w:hAnsi="宋体"/>
          <w:sz w:val="28"/>
          <w:szCs w:val="28"/>
        </w:rPr>
        <w:t>（一）核心工作原理</w:t>
      </w:r>
    </w:p>
    <w:p>
      <w:pPr>
        <w:spacing w:line="360" w:lineRule="auto"/>
        <w:rPr>
          <w:rFonts w:hint="eastAsia" w:ascii="宋体" w:hAnsi="宋体"/>
          <w:sz w:val="28"/>
          <w:szCs w:val="28"/>
        </w:rPr>
      </w:pPr>
      <w:r>
        <w:rPr>
          <w:rFonts w:hint="eastAsia" w:ascii="宋体" w:hAnsi="宋体"/>
          <w:sz w:val="28"/>
          <w:szCs w:val="28"/>
        </w:rPr>
        <w:t>本发明预先对移动端 APP 内的微应用进行优先级分级，通过白名单标记用户打开 APP 即启动、日常高频使用的首页核心微应用；基于手机 APP 沙盒存储机制，搭建两套完全物理隔离的存储目录，分别用于运行中微应用的资源加载与新版本资源的缓存；当检测到核心微应用存在新版本时，在后台静默下载至隔离的临时缓存目录，全程不触碰当前正在运行的正式资源目录，待用户下次启动该微应用时，再在启动瞬间完成版本平滑替换与加载；对普通微应用则采用直接覆盖更新，保障更新效率。整个更新过程用户无任何感知，且从物理层面彻底杜绝了资源冲突风险。</w:t>
      </w:r>
    </w:p>
    <w:p>
      <w:pPr>
        <w:spacing w:line="360" w:lineRule="auto"/>
        <w:rPr>
          <w:rFonts w:hint="eastAsia" w:ascii="宋体" w:hAnsi="宋体"/>
          <w:sz w:val="28"/>
          <w:szCs w:val="28"/>
        </w:rPr>
      </w:pPr>
      <w:r>
        <w:rPr>
          <w:rFonts w:hint="eastAsia" w:ascii="宋体" w:hAnsi="宋体"/>
          <w:sz w:val="28"/>
          <w:szCs w:val="28"/>
        </w:rPr>
        <w:t>（二）方法类技术方案</w:t>
      </w:r>
    </w:p>
    <w:p>
      <w:pPr>
        <w:spacing w:line="360" w:lineRule="auto"/>
        <w:rPr>
          <w:rFonts w:hint="eastAsia" w:ascii="宋体" w:hAnsi="宋体"/>
          <w:sz w:val="28"/>
          <w:szCs w:val="28"/>
        </w:rPr>
      </w:pPr>
      <w:r>
        <w:rPr>
          <w:rFonts w:hint="eastAsia" w:ascii="宋体" w:hAnsi="宋体"/>
          <w:sz w:val="28"/>
          <w:szCs w:val="28"/>
        </w:rPr>
        <w:t>一种基于无感更新的微应用加载方法，具体包括以下核心步骤：</w:t>
      </w:r>
    </w:p>
    <w:p>
      <w:pPr>
        <w:spacing w:line="360" w:lineRule="auto"/>
        <w:rPr>
          <w:rFonts w:hint="eastAsia" w:ascii="宋体" w:hAnsi="宋体"/>
          <w:sz w:val="28"/>
          <w:szCs w:val="28"/>
        </w:rPr>
      </w:pPr>
      <w:r>
        <w:rPr>
          <w:rFonts w:hint="eastAsia" w:ascii="宋体" w:hAnsi="宋体"/>
          <w:sz w:val="28"/>
          <w:szCs w:val="28"/>
        </w:rPr>
        <w:t>S1 更新检测与微应用分级识别步骤</w:t>
      </w:r>
    </w:p>
    <w:p>
      <w:pPr>
        <w:spacing w:line="360" w:lineRule="auto"/>
        <w:rPr>
          <w:rFonts w:hint="eastAsia" w:ascii="宋体" w:hAnsi="宋体"/>
          <w:sz w:val="28"/>
          <w:szCs w:val="28"/>
        </w:rPr>
      </w:pPr>
      <w:r>
        <w:rPr>
          <w:rFonts w:hint="eastAsia" w:ascii="宋体" w:hAnsi="宋体"/>
          <w:sz w:val="28"/>
          <w:szCs w:val="28"/>
        </w:rPr>
        <w:t>S1.1 移动端 APP 启动后，通过网络接口同步服务端全量微应用的版本配置信息，将本地沙盒中存储的微应用版本与服务端版本进行双重维度校验，仅当服务端的构建编号 buildId 与版本编号 versionId 均大于本地对应数值时，才判定该微应用存在可用新版本；</w:t>
      </w:r>
    </w:p>
    <w:p>
      <w:pPr>
        <w:spacing w:line="360" w:lineRule="auto"/>
        <w:rPr>
          <w:rFonts w:hint="eastAsia" w:ascii="宋体" w:hAnsi="宋体"/>
          <w:sz w:val="28"/>
          <w:szCs w:val="28"/>
        </w:rPr>
      </w:pPr>
      <w:r>
        <w:rPr>
          <w:rFonts w:hint="eastAsia" w:ascii="宋体" w:hAnsi="宋体"/>
          <w:sz w:val="28"/>
          <w:szCs w:val="28"/>
        </w:rPr>
        <w:t>S1.2 当检测到微应用可用新版本时，调取 APP 内预配置的首页微应用白名单，将待更新微应用的唯一包名标识与白名单进行遍历匹配，若匹配成功则判定为高优先级首页微应用，触发无感更新策略；若匹配失败则判定为普通微应用，触发常规更新策略。</w:t>
      </w:r>
    </w:p>
    <w:p>
      <w:pPr>
        <w:spacing w:line="360" w:lineRule="auto"/>
        <w:rPr>
          <w:rFonts w:hint="eastAsia" w:ascii="宋体" w:hAnsi="宋体"/>
          <w:sz w:val="28"/>
          <w:szCs w:val="28"/>
        </w:rPr>
      </w:pPr>
      <w:r>
        <w:rPr>
          <w:rFonts w:hint="eastAsia" w:ascii="宋体" w:hAnsi="宋体"/>
          <w:sz w:val="28"/>
          <w:szCs w:val="28"/>
        </w:rPr>
        <w:t>S2 差异化下载与隔离存储步骤</w:t>
      </w:r>
    </w:p>
    <w:p>
      <w:pPr>
        <w:spacing w:line="360" w:lineRule="auto"/>
        <w:rPr>
          <w:rFonts w:hint="eastAsia" w:ascii="宋体" w:hAnsi="宋体"/>
          <w:sz w:val="28"/>
          <w:szCs w:val="28"/>
        </w:rPr>
      </w:pPr>
      <w:r>
        <w:rPr>
          <w:rFonts w:hint="eastAsia" w:ascii="宋体" w:hAnsi="宋体"/>
          <w:sz w:val="28"/>
          <w:szCs w:val="28"/>
        </w:rPr>
        <w:t>S2.1 针对首页微应用，启动 APP 后台独立线程静默下载新版本资源包，全程无前端弹窗、无进度条展示、无用户操作打断，下载完成后将资源包解压至 APP 沙盒内独立的临时存储目录；解压完成后执行资源完整性与版本一致性双重校验，校验通过后标记为有效待替换版本；整个下载、解压、校验过程全程在临时存储目录内闭环完成，不修改、不触碰当前微应用运行所依赖的正式存储目录内的任何资源；</w:t>
      </w:r>
    </w:p>
    <w:p>
      <w:pPr>
        <w:spacing w:line="360" w:lineRule="auto"/>
        <w:rPr>
          <w:rFonts w:hint="eastAsia" w:ascii="宋体" w:hAnsi="宋体"/>
          <w:sz w:val="28"/>
          <w:szCs w:val="28"/>
        </w:rPr>
      </w:pPr>
      <w:r>
        <w:rPr>
          <w:rFonts w:hint="eastAsia" w:ascii="宋体" w:hAnsi="宋体"/>
          <w:sz w:val="28"/>
          <w:szCs w:val="28"/>
        </w:rPr>
        <w:t>S2.2 针对普通微应用，直接下载新版本资源包，删除本地正式存储目录内的旧版本资源后，将新版本资源解压至正式存储目录，完成覆盖式更新。</w:t>
      </w:r>
    </w:p>
    <w:p>
      <w:pPr>
        <w:spacing w:line="360" w:lineRule="auto"/>
        <w:rPr>
          <w:rFonts w:hint="eastAsia" w:ascii="宋体" w:hAnsi="宋体"/>
          <w:sz w:val="28"/>
          <w:szCs w:val="28"/>
        </w:rPr>
      </w:pPr>
      <w:r>
        <w:rPr>
          <w:rFonts w:hint="eastAsia" w:ascii="宋体" w:hAnsi="宋体"/>
          <w:sz w:val="28"/>
          <w:szCs w:val="28"/>
        </w:rPr>
        <w:t>S3 延迟替换与平滑加载步骤</w:t>
      </w:r>
    </w:p>
    <w:p>
      <w:pPr>
        <w:spacing w:line="360" w:lineRule="auto"/>
        <w:rPr>
          <w:rFonts w:hint="eastAsia" w:ascii="宋体" w:hAnsi="宋体"/>
          <w:sz w:val="28"/>
          <w:szCs w:val="28"/>
        </w:rPr>
      </w:pPr>
      <w:r>
        <w:rPr>
          <w:rFonts w:hint="eastAsia" w:ascii="宋体" w:hAnsi="宋体"/>
          <w:sz w:val="28"/>
          <w:szCs w:val="28"/>
        </w:rPr>
        <w:t>S3.1 当接收到用户触发的首页微应用启动指令时，先扫描该微应用对应的临时存储目录，检测是否存在有效待替换新版本；</w:t>
      </w:r>
    </w:p>
    <w:p>
      <w:pPr>
        <w:spacing w:line="360" w:lineRule="auto"/>
        <w:rPr>
          <w:rFonts w:hint="eastAsia" w:ascii="宋体" w:hAnsi="宋体"/>
          <w:sz w:val="28"/>
          <w:szCs w:val="28"/>
        </w:rPr>
      </w:pPr>
      <w:r>
        <w:rPr>
          <w:rFonts w:hint="eastAsia" w:ascii="宋体" w:hAnsi="宋体"/>
          <w:sz w:val="28"/>
          <w:szCs w:val="28"/>
        </w:rPr>
        <w:t>S3.2 若检测到有效新版本，在微应用启动瞬间将临时存储目录内的新版本全量资源完整迁移至正式存储目录，完成版本替换后，自动删除临时目录缓存文件，并清理正式目录内的低版本冗余资源；随后从正式存储目录读取新版本资源，通过 APP 内置的微应用容器完成加载启动；</w:t>
      </w:r>
    </w:p>
    <w:p>
      <w:pPr>
        <w:spacing w:line="360" w:lineRule="auto"/>
        <w:rPr>
          <w:rFonts w:hint="eastAsia" w:ascii="宋体" w:hAnsi="宋体"/>
          <w:sz w:val="28"/>
          <w:szCs w:val="28"/>
        </w:rPr>
      </w:pPr>
      <w:r>
        <w:rPr>
          <w:rFonts w:hint="eastAsia" w:ascii="宋体" w:hAnsi="宋体"/>
          <w:sz w:val="28"/>
          <w:szCs w:val="28"/>
        </w:rPr>
        <w:t>S3.3 若未检测到有效新版本，直接从正式存储目录读取当前版本资源，完成微应用的正常启动。</w:t>
      </w:r>
    </w:p>
    <w:p>
      <w:pPr>
        <w:spacing w:line="360" w:lineRule="auto"/>
        <w:rPr>
          <w:rFonts w:hint="eastAsia" w:ascii="宋体" w:hAnsi="宋体"/>
          <w:sz w:val="28"/>
          <w:szCs w:val="28"/>
        </w:rPr>
      </w:pPr>
      <w:r>
        <w:rPr>
          <w:rFonts w:hint="eastAsia" w:ascii="宋体" w:hAnsi="宋体"/>
          <w:sz w:val="28"/>
          <w:szCs w:val="28"/>
        </w:rPr>
        <w:t>S4 全流程管控配套步骤</w:t>
      </w:r>
    </w:p>
    <w:p>
      <w:pPr>
        <w:spacing w:line="360" w:lineRule="auto"/>
        <w:rPr>
          <w:rFonts w:hint="eastAsia" w:ascii="宋体" w:hAnsi="宋体"/>
          <w:sz w:val="28"/>
          <w:szCs w:val="28"/>
        </w:rPr>
      </w:pPr>
      <w:r>
        <w:rPr>
          <w:rFonts w:hint="eastAsia" w:ascii="宋体" w:hAnsi="宋体"/>
          <w:sz w:val="28"/>
          <w:szCs w:val="28"/>
        </w:rPr>
        <w:t>通过微应用运行状态管控队列，实时记录当前正在执行下载、加载流程的微应用唯一标识，当接收到重复操作指令时直接拦截，避免重复下载与重复加载；同时对微应用全生命周期的版本信息进行统一管控，避免无效更新与版本错配。</w:t>
      </w:r>
    </w:p>
    <w:p>
      <w:pPr>
        <w:spacing w:line="360" w:lineRule="auto"/>
        <w:rPr>
          <w:rFonts w:hint="eastAsia" w:ascii="宋体" w:hAnsi="宋体"/>
          <w:sz w:val="28"/>
          <w:szCs w:val="28"/>
        </w:rPr>
      </w:pPr>
      <w:r>
        <w:rPr>
          <w:rFonts w:hint="eastAsia" w:ascii="宋体" w:hAnsi="宋体"/>
          <w:sz w:val="28"/>
          <w:szCs w:val="28"/>
        </w:rPr>
        <w:t>（三）系统类技术方案</w:t>
      </w:r>
    </w:p>
    <w:p>
      <w:pPr>
        <w:spacing w:line="360" w:lineRule="auto"/>
        <w:rPr>
          <w:rFonts w:hint="eastAsia" w:ascii="宋体" w:hAnsi="宋体"/>
          <w:sz w:val="28"/>
          <w:szCs w:val="28"/>
        </w:rPr>
      </w:pPr>
      <w:r>
        <w:rPr>
          <w:rFonts w:hint="eastAsia" w:ascii="宋体" w:hAnsi="宋体"/>
          <w:sz w:val="28"/>
          <w:szCs w:val="28"/>
        </w:rPr>
        <w:t>一种基于无感更新的微应用加载系统，采用模块化分层架构设计，核心执行主体为 APP 内全局单例的微应用下载更新管理单元，确保管控逻辑一致性与状态同步准确性，系统具体包括：</w:t>
      </w:r>
    </w:p>
    <w:p>
      <w:pPr>
        <w:spacing w:line="360" w:lineRule="auto"/>
        <w:rPr>
          <w:rFonts w:hint="eastAsia" w:ascii="宋体" w:hAnsi="宋体"/>
          <w:sz w:val="28"/>
          <w:szCs w:val="28"/>
        </w:rPr>
      </w:pPr>
      <w:r>
        <w:rPr>
          <w:rFonts w:hint="eastAsia" w:ascii="宋体" w:hAnsi="宋体"/>
          <w:sz w:val="28"/>
          <w:szCs w:val="28"/>
        </w:rPr>
        <w:t>首页识别模块：内置白名单存储单元，用于预存储 APP 内高优先级首页微应用的唯一标识配置，提供标准化的微应用分级判定接口，输出微应用类型判定结果；</w:t>
      </w:r>
    </w:p>
    <w:p>
      <w:pPr>
        <w:spacing w:line="360" w:lineRule="auto"/>
        <w:rPr>
          <w:rFonts w:hint="eastAsia" w:ascii="宋体" w:hAnsi="宋体"/>
          <w:sz w:val="28"/>
          <w:szCs w:val="28"/>
        </w:rPr>
      </w:pPr>
      <w:r>
        <w:rPr>
          <w:rFonts w:hint="eastAsia" w:ascii="宋体" w:hAnsi="宋体"/>
          <w:sz w:val="28"/>
          <w:szCs w:val="28"/>
        </w:rPr>
        <w:t>更新检测模块：对接服务端微应用配置接口，用于同步服务端全量微应用的版本信息，结合版本管理模块的校验能力，完成微应用可用新版本的精准检测；</w:t>
      </w:r>
    </w:p>
    <w:p>
      <w:pPr>
        <w:spacing w:line="360" w:lineRule="auto"/>
        <w:rPr>
          <w:rFonts w:hint="eastAsia" w:ascii="宋体" w:hAnsi="宋体"/>
          <w:sz w:val="28"/>
          <w:szCs w:val="28"/>
        </w:rPr>
      </w:pPr>
      <w:r>
        <w:rPr>
          <w:rFonts w:hint="eastAsia" w:ascii="宋体" w:hAnsi="宋体"/>
          <w:sz w:val="28"/>
          <w:szCs w:val="28"/>
        </w:rPr>
        <w:t>版本管理模块：采用构建编号与版本编号双重维度的管控架构，负责全量微应用版本信息的存储、对比、校验，为更新检测、资源校验提供核心管控能力；</w:t>
      </w:r>
    </w:p>
    <w:p>
      <w:pPr>
        <w:spacing w:line="360" w:lineRule="auto"/>
        <w:rPr>
          <w:rFonts w:hint="eastAsia" w:ascii="宋体" w:hAnsi="宋体"/>
          <w:sz w:val="28"/>
          <w:szCs w:val="28"/>
        </w:rPr>
      </w:pPr>
      <w:r>
        <w:rPr>
          <w:rFonts w:hint="eastAsia" w:ascii="宋体" w:hAnsi="宋体"/>
          <w:sz w:val="28"/>
          <w:szCs w:val="28"/>
        </w:rPr>
        <w:t>分类下载模块：与首页识别模块、更新检测模块通信连接，内置多线程后台下载引擎，根据微应用分级判定结果执行差异化下载与存储策略，同时具备断点续传、网络异常重试能力；</w:t>
      </w:r>
    </w:p>
    <w:p>
      <w:pPr>
        <w:spacing w:line="360" w:lineRule="auto"/>
        <w:rPr>
          <w:rFonts w:hint="eastAsia" w:ascii="宋体" w:hAnsi="宋体"/>
          <w:sz w:val="28"/>
          <w:szCs w:val="28"/>
        </w:rPr>
      </w:pPr>
      <w:r>
        <w:rPr>
          <w:rFonts w:hint="eastAsia" w:ascii="宋体" w:hAnsi="宋体"/>
          <w:sz w:val="28"/>
          <w:szCs w:val="28"/>
        </w:rPr>
        <w:t>资源校验模块：与分类下载模块联动，负责下载完成后的资源解压、完整性校验、版本一致性校验，校验通过后标记有效资源，校验不通过则自动清理无效文件；</w:t>
      </w:r>
    </w:p>
    <w:p>
      <w:pPr>
        <w:spacing w:line="360" w:lineRule="auto"/>
        <w:rPr>
          <w:rFonts w:hint="eastAsia" w:ascii="宋体" w:hAnsi="宋体"/>
          <w:sz w:val="28"/>
          <w:szCs w:val="28"/>
        </w:rPr>
      </w:pPr>
      <w:r>
        <w:rPr>
          <w:rFonts w:hint="eastAsia" w:ascii="宋体" w:hAnsi="宋体"/>
          <w:sz w:val="28"/>
          <w:szCs w:val="28"/>
        </w:rPr>
        <w:t>延迟替换模块：与资源校验模块、版本管理模块通信连接，负责在首页微应用启动时，执行新版本检测、资源迁移替换、缓存清理、冗余资源删除全流程操作；</w:t>
      </w:r>
    </w:p>
    <w:p>
      <w:pPr>
        <w:spacing w:line="360" w:lineRule="auto"/>
        <w:rPr>
          <w:rFonts w:hint="eastAsia" w:ascii="宋体" w:hAnsi="宋体"/>
          <w:sz w:val="28"/>
          <w:szCs w:val="28"/>
        </w:rPr>
      </w:pPr>
      <w:r>
        <w:rPr>
          <w:rFonts w:hint="eastAsia" w:ascii="宋体" w:hAnsi="宋体"/>
          <w:sz w:val="28"/>
          <w:szCs w:val="28"/>
        </w:rPr>
        <w:t>微应用加载模块：与延迟替换模块通信连接，内置 APP 标准化微应用运行容器，负责从正式存储目录获取微应用启动页资源，完成资源的解析、渲染与交互功能加载；</w:t>
      </w:r>
    </w:p>
    <w:p>
      <w:pPr>
        <w:spacing w:line="360" w:lineRule="auto"/>
        <w:rPr>
          <w:rFonts w:hint="eastAsia" w:ascii="宋体" w:hAnsi="宋体"/>
          <w:sz w:val="28"/>
          <w:szCs w:val="28"/>
        </w:rPr>
      </w:pPr>
      <w:r>
        <w:rPr>
          <w:rFonts w:hint="eastAsia" w:ascii="宋体" w:hAnsi="宋体"/>
          <w:sz w:val="28"/>
          <w:szCs w:val="28"/>
        </w:rPr>
        <w:t>防重管控模块：分别与分类下载模块、微应用加载模块通信连接，内置微应用运行状态管控队列，拦截微应用的重复下载、重复启动请求，避免系统资源浪费；</w:t>
      </w:r>
    </w:p>
    <w:p>
      <w:pPr>
        <w:spacing w:line="360" w:lineRule="auto"/>
        <w:rPr>
          <w:rFonts w:hint="eastAsia" w:ascii="宋体" w:hAnsi="宋体"/>
          <w:sz w:val="28"/>
          <w:szCs w:val="28"/>
        </w:rPr>
      </w:pPr>
      <w:r>
        <w:rPr>
          <w:rFonts w:hint="eastAsia" w:ascii="宋体" w:hAnsi="宋体"/>
          <w:sz w:val="28"/>
          <w:szCs w:val="28"/>
        </w:rPr>
        <w:t>本地存储模块：基于移动端 APP 沙盒机制，负责微应用配置信息、版本信息、白名单配置的本地持久化存储，为各模块提供高速数据读写能力。</w:t>
      </w:r>
    </w:p>
    <w:p>
      <w:pPr>
        <w:spacing w:line="360" w:lineRule="auto"/>
        <w:rPr>
          <w:rFonts w:hint="eastAsia" w:ascii="宋体" w:hAnsi="宋体"/>
          <w:sz w:val="28"/>
          <w:szCs w:val="28"/>
        </w:rPr>
      </w:pPr>
      <w:r>
        <w:rPr>
          <w:rFonts w:hint="eastAsia" w:ascii="宋体" w:hAnsi="宋体"/>
          <w:sz w:val="28"/>
          <w:szCs w:val="28"/>
        </w:rPr>
        <w:t>三、与现有技术相比的有益效果</w:t>
      </w:r>
    </w:p>
    <w:p>
      <w:pPr>
        <w:spacing w:line="360" w:lineRule="auto"/>
        <w:rPr>
          <w:rFonts w:hint="eastAsia" w:ascii="宋体" w:hAnsi="宋体"/>
          <w:sz w:val="28"/>
          <w:szCs w:val="28"/>
        </w:rPr>
      </w:pPr>
      <w:r>
        <w:rPr>
          <w:rFonts w:hint="eastAsia" w:ascii="宋体" w:hAnsi="宋体"/>
          <w:sz w:val="28"/>
          <w:szCs w:val="28"/>
        </w:rPr>
        <w:t>彻底消除资源冲突风险，保障微应用运行稳定性</w:t>
      </w:r>
    </w:p>
    <w:p>
      <w:pPr>
        <w:spacing w:line="360" w:lineRule="auto"/>
        <w:rPr>
          <w:rFonts w:hint="eastAsia" w:ascii="宋体" w:hAnsi="宋体"/>
          <w:sz w:val="28"/>
          <w:szCs w:val="28"/>
        </w:rPr>
      </w:pPr>
      <w:r>
        <w:rPr>
          <w:rFonts w:hint="eastAsia" w:ascii="宋体" w:hAnsi="宋体"/>
          <w:sz w:val="28"/>
          <w:szCs w:val="28"/>
        </w:rPr>
        <w:t>本发明通过正式存储目录与临时存储目录的双物理隔离架构，首页微应用的新版本下载、解压、校验全程在隔离目录内闭环完成，完全不触碰正在运行的资源目录，从物理层面彻底杜绝了更新过程中的资源读写冲突，从根本上解决了微应用更新导致的页面白屏、功能异常、APP 崩溃等问题，大幅提升了移动端微应用的运行稳定性。</w:t>
      </w:r>
    </w:p>
    <w:p>
      <w:pPr>
        <w:spacing w:line="360" w:lineRule="auto"/>
        <w:rPr>
          <w:rFonts w:hint="eastAsia" w:ascii="宋体" w:hAnsi="宋体"/>
          <w:sz w:val="28"/>
          <w:szCs w:val="28"/>
        </w:rPr>
      </w:pPr>
      <w:r>
        <w:rPr>
          <w:rFonts w:hint="eastAsia" w:ascii="宋体" w:hAnsi="宋体"/>
          <w:sz w:val="28"/>
          <w:szCs w:val="28"/>
        </w:rPr>
        <w:t>全流程完全无感更新，保证用户操作体验的连续性</w:t>
      </w:r>
    </w:p>
    <w:p>
      <w:pPr>
        <w:spacing w:line="360" w:lineRule="auto"/>
        <w:rPr>
          <w:rFonts w:hint="eastAsia" w:ascii="宋体" w:hAnsi="宋体"/>
          <w:sz w:val="28"/>
          <w:szCs w:val="28"/>
        </w:rPr>
      </w:pPr>
      <w:r>
        <w:rPr>
          <w:rFonts w:hint="eastAsia" w:ascii="宋体" w:hAnsi="宋体"/>
          <w:sz w:val="28"/>
          <w:szCs w:val="28"/>
        </w:rPr>
        <w:t>本发明的更新全程在 APP 后台独立线程静默执行，无任何弹窗提示、无用户操作打断、无需手动确认或重启微应用 / APP，用户在使用过程中完全感知不到更新操作，下次启动即可自动使用最新版本，彻底消除了更新对用户操作的干扰，保证了用户使用体验的连续性与流畅性。</w:t>
      </w:r>
    </w:p>
    <w:p>
      <w:pPr>
        <w:spacing w:line="360" w:lineRule="auto"/>
        <w:rPr>
          <w:rFonts w:hint="eastAsia" w:ascii="宋体" w:hAnsi="宋体"/>
          <w:sz w:val="28"/>
          <w:szCs w:val="28"/>
        </w:rPr>
      </w:pPr>
      <w:r>
        <w:rPr>
          <w:rFonts w:hint="eastAsia" w:ascii="宋体" w:hAnsi="宋体"/>
          <w:sz w:val="28"/>
          <w:szCs w:val="28"/>
        </w:rPr>
        <w:t>分级差异化更新策略，兼顾稳定性与更新效率</w:t>
      </w:r>
    </w:p>
    <w:p>
      <w:pPr>
        <w:spacing w:line="360" w:lineRule="auto"/>
        <w:rPr>
          <w:rFonts w:hint="eastAsia" w:ascii="宋体" w:hAnsi="宋体"/>
          <w:sz w:val="28"/>
          <w:szCs w:val="28"/>
        </w:rPr>
      </w:pPr>
      <w:r>
        <w:rPr>
          <w:rFonts w:hint="eastAsia" w:ascii="宋体" w:hAnsi="宋体"/>
          <w:sz w:val="28"/>
          <w:szCs w:val="28"/>
        </w:rPr>
        <w:t>本发明通过白名单机制实现微应用的优先级分级，对 APP 内用户高频使用的核心首页微应用采用最严格的隔离缓存 + 延迟替换策略，优先保障用户使用过程中的运行稳定性；对低频使用的普通功能微应用采用直接覆盖更新策略，保障更新及时性，完美解决了现有技术无法兼顾稳定性与效率的核心痛点。</w:t>
      </w:r>
    </w:p>
    <w:p>
      <w:pPr>
        <w:spacing w:line="360" w:lineRule="auto"/>
        <w:rPr>
          <w:rFonts w:hint="eastAsia" w:ascii="宋体" w:hAnsi="宋体"/>
          <w:sz w:val="28"/>
          <w:szCs w:val="28"/>
        </w:rPr>
      </w:pPr>
      <w:r>
        <w:rPr>
          <w:rFonts w:hint="eastAsia" w:ascii="宋体" w:hAnsi="宋体"/>
          <w:sz w:val="28"/>
          <w:szCs w:val="28"/>
        </w:rPr>
        <w:t>全流程闭环管控，减少移动端资源占用</w:t>
      </w:r>
    </w:p>
    <w:p>
      <w:pPr>
        <w:spacing w:line="360" w:lineRule="auto"/>
        <w:rPr>
          <w:rFonts w:hint="eastAsia" w:ascii="宋体" w:hAnsi="宋体"/>
          <w:sz w:val="28"/>
          <w:szCs w:val="28"/>
        </w:rPr>
      </w:pPr>
      <w:r>
        <w:rPr>
          <w:rFonts w:hint="eastAsia" w:ascii="宋体" w:hAnsi="宋体"/>
          <w:sz w:val="28"/>
          <w:szCs w:val="28"/>
        </w:rPr>
        <w:t>本发明通过双重维度版本管控，精准控制更新触发条件，避免无效更新、版本错配、版本回退问题，减少用户不必要的网络流量消耗；通过防重管控机制，拦截重复操作请求，避免重复下载占用手机存储空间；配套资源校验、冗余清理机制，及时清理无效缓存文件，提升手机存储空间利用率，全面提升了移动端 APP 的运行可靠性与流畅度。</w:t>
      </w:r>
    </w:p>
    <w:p>
      <w:pPr>
        <w:spacing w:line="360" w:lineRule="auto"/>
        <w:rPr>
          <w:rFonts w:hint="eastAsia" w:ascii="宋体" w:hAnsi="宋体"/>
          <w:sz w:val="28"/>
          <w:szCs w:val="28"/>
        </w:rPr>
      </w:pPr>
      <w:r>
        <w:rPr>
          <w:rFonts w:hint="eastAsia" w:ascii="宋体" w:hAnsi="宋体"/>
          <w:sz w:val="28"/>
          <w:szCs w:val="28"/>
        </w:rPr>
        <w:t>高兼容可复用，适配全品类移动端 APP 场景</w:t>
      </w:r>
    </w:p>
    <w:p>
      <w:pPr>
        <w:spacing w:line="360" w:lineRule="auto"/>
        <w:rPr>
          <w:rFonts w:hint="eastAsia" w:ascii="宋体" w:hAnsi="宋体"/>
          <w:sz w:val="28"/>
          <w:szCs w:val="28"/>
        </w:rPr>
      </w:pPr>
      <w:r>
        <w:rPr>
          <w:rFonts w:hint="eastAsia" w:ascii="宋体" w:hAnsi="宋体"/>
          <w:sz w:val="28"/>
          <w:szCs w:val="28"/>
        </w:rPr>
        <w:t>本发明采用标准化的模块化架构，可兼容安卓、iOS 两大主流移动端操作系统，适配电商、生活服务、社交、办公等全品类 APP 的内嵌微应用生态，可直接复用为移动端微应用的标准化更新框架，具备极强的通用性与可扩展性。</w:t>
      </w:r>
    </w:p>
    <w:p>
      <w:pPr>
        <w:spacing w:line="360" w:lineRule="auto"/>
        <w:rPr>
          <w:rFonts w:hint="eastAsia" w:ascii="宋体" w:hAnsi="宋体"/>
          <w:sz w:val="28"/>
          <w:szCs w:val="28"/>
        </w:rPr>
      </w:pPr>
    </w:p>
    <w:p>
      <w:pPr>
        <w:spacing w:line="360" w:lineRule="auto"/>
        <w:rPr>
          <w:rFonts w:ascii="宋体" w:hAnsi="宋体"/>
          <w:b/>
          <w:sz w:val="28"/>
          <w:szCs w:val="28"/>
        </w:rPr>
      </w:pPr>
      <w:r>
        <w:rPr>
          <w:rFonts w:hint="eastAsia" w:ascii="宋体" w:hAnsi="宋体"/>
          <w:b/>
          <w:sz w:val="28"/>
          <w:szCs w:val="28"/>
        </w:rPr>
        <w:t>附图说明：</w:t>
      </w:r>
    </w:p>
    <w:p>
      <w:pPr>
        <w:pStyle w:val="3"/>
        <w:spacing w:line="360" w:lineRule="auto"/>
        <w:ind w:left="0" w:leftChars="0" w:firstLine="0" w:firstLineChars="0"/>
        <w:rPr>
          <w:rFonts w:hint="eastAsia" w:hAnsi="宋体"/>
          <w:szCs w:val="28"/>
        </w:rPr>
      </w:pPr>
      <w:r>
        <w:rPr>
          <w:rFonts w:hint="eastAsia" w:hAnsi="宋体"/>
          <w:szCs w:val="28"/>
        </w:rPr>
        <w:t>一、背景技术附图</w:t>
      </w:r>
    </w:p>
    <w:p>
      <w:pPr>
        <w:pStyle w:val="3"/>
        <w:spacing w:line="360" w:lineRule="auto"/>
        <w:ind w:left="0" w:leftChars="0" w:firstLine="0" w:firstLineChars="0"/>
        <w:rPr>
          <w:rFonts w:hint="eastAsia" w:hAnsi="宋体"/>
          <w:szCs w:val="28"/>
        </w:rPr>
      </w:pPr>
      <w:r>
        <w:rPr>
          <w:rFonts w:hint="eastAsia" w:hAnsi="宋体"/>
          <w:szCs w:val="28"/>
        </w:rPr>
        <w:t>图 6：现有技术微应用热更新流程示意图，展示现有技术中微应用更新的核心步骤与存在的缺陷节点。</w:t>
      </w:r>
    </w:p>
    <w:p>
      <w:pPr>
        <w:pStyle w:val="3"/>
        <w:spacing w:line="360" w:lineRule="auto"/>
        <w:ind w:left="0" w:leftChars="0" w:firstLine="0" w:firstLineChars="0"/>
        <w:rPr>
          <w:rFonts w:hint="eastAsia" w:hAnsi="宋体"/>
          <w:szCs w:val="28"/>
        </w:rPr>
      </w:pPr>
      <w:r>
        <w:rPr>
          <w:rFonts w:hint="eastAsia" w:hAnsi="宋体"/>
          <w:szCs w:val="28"/>
        </w:rPr>
        <w:t>二、本方案技术附图</w:t>
      </w:r>
    </w:p>
    <w:p>
      <w:pPr>
        <w:pStyle w:val="3"/>
        <w:spacing w:line="360" w:lineRule="auto"/>
        <w:ind w:left="0" w:leftChars="0" w:firstLine="0" w:firstLineChars="0"/>
        <w:rPr>
          <w:rFonts w:hint="eastAsia" w:hAnsi="宋体"/>
          <w:szCs w:val="28"/>
        </w:rPr>
      </w:pPr>
      <w:r>
        <w:rPr>
          <w:rFonts w:hint="eastAsia" w:hAnsi="宋体"/>
          <w:szCs w:val="28"/>
        </w:rPr>
        <w:t>图 1：本发明基于无感更新的微应用加载方法的整体流程示意图，展示从更新检测到完成无感更新的全流程步骤；</w:t>
      </w:r>
    </w:p>
    <w:p>
      <w:pPr>
        <w:pStyle w:val="3"/>
        <w:spacing w:line="360" w:lineRule="auto"/>
        <w:ind w:left="0" w:leftChars="0" w:firstLine="0" w:firstLineChars="0"/>
        <w:rPr>
          <w:rFonts w:hint="eastAsia" w:hAnsi="宋体"/>
          <w:szCs w:val="28"/>
        </w:rPr>
      </w:pPr>
      <w:r>
        <w:rPr>
          <w:rFonts w:hint="eastAsia" w:hAnsi="宋体"/>
          <w:szCs w:val="28"/>
        </w:rPr>
        <w:t>图 2：本发明双目录存储架构示意图，展示移动端 APP 沙盒内正式存储目录与临时存储目录的物理隔离架构、目录用途与数据流向；</w:t>
      </w:r>
    </w:p>
    <w:p>
      <w:pPr>
        <w:pStyle w:val="3"/>
        <w:spacing w:line="360" w:lineRule="auto"/>
        <w:ind w:left="0" w:leftChars="0" w:firstLine="0" w:firstLineChars="0"/>
        <w:rPr>
          <w:rFonts w:hint="eastAsia" w:hAnsi="宋体"/>
          <w:szCs w:val="28"/>
        </w:rPr>
      </w:pPr>
      <w:r>
        <w:rPr>
          <w:rFonts w:hint="eastAsia" w:hAnsi="宋体"/>
          <w:szCs w:val="28"/>
        </w:rPr>
        <w:t>图 3：本发明首页微应用识别逻辑流程图，展示微应用分级判定的完整执行逻辑；</w:t>
      </w:r>
    </w:p>
    <w:p>
      <w:pPr>
        <w:pStyle w:val="3"/>
        <w:spacing w:line="360" w:lineRule="auto"/>
        <w:ind w:left="0" w:leftChars="0" w:firstLine="0" w:firstLineChars="0"/>
        <w:rPr>
          <w:rFonts w:hint="eastAsia" w:hAnsi="宋体"/>
          <w:szCs w:val="28"/>
        </w:rPr>
      </w:pPr>
      <w:r>
        <w:rPr>
          <w:rFonts w:hint="eastAsia" w:hAnsi="宋体"/>
          <w:szCs w:val="28"/>
        </w:rPr>
        <w:t>图 4：本发明微应用启动时版本替换与加载流程图，展示微应用启动时新版本检测、替换、加载的完整流程；</w:t>
      </w:r>
    </w:p>
    <w:p>
      <w:pPr>
        <w:pStyle w:val="3"/>
        <w:spacing w:line="360" w:lineRule="auto"/>
        <w:ind w:left="0" w:leftChars="0" w:firstLine="0" w:firstLineChars="0"/>
        <w:rPr>
          <w:rFonts w:hint="eastAsia" w:hAnsi="宋体"/>
          <w:szCs w:val="28"/>
        </w:rPr>
      </w:pPr>
      <w:r>
        <w:rPr>
          <w:rFonts w:hint="eastAsia" w:hAnsi="宋体"/>
          <w:szCs w:val="28"/>
        </w:rPr>
        <w:t>图 5：本发明基于无感更新的微应用加载系统的模块架构图，展示系统各模块的组成、层级关系与通信连接。</w:t>
      </w:r>
    </w:p>
    <w:p>
      <w:pPr>
        <w:pStyle w:val="3"/>
        <w:spacing w:line="360" w:lineRule="auto"/>
        <w:ind w:left="0" w:leftChars="0" w:firstLine="0" w:firstLineChars="0"/>
        <w:rPr>
          <w:rFonts w:hint="eastAsia" w:hAnsi="宋体"/>
          <w:szCs w:val="28"/>
        </w:rPr>
      </w:pPr>
    </w:p>
    <w:p>
      <w:pPr>
        <w:pStyle w:val="3"/>
        <w:spacing w:line="360" w:lineRule="auto"/>
        <w:rPr>
          <w:rFonts w:hint="eastAsia" w:hAnsi="宋体"/>
          <w:szCs w:val="28"/>
        </w:rPr>
      </w:pPr>
    </w:p>
    <w:p>
      <w:pPr>
        <w:pStyle w:val="3"/>
        <w:spacing w:line="360" w:lineRule="auto"/>
        <w:ind w:firstLine="0"/>
        <w:rPr>
          <w:rFonts w:hAnsi="宋体"/>
          <w:b/>
          <w:szCs w:val="28"/>
        </w:rPr>
      </w:pPr>
      <w:r>
        <w:rPr>
          <w:rFonts w:hint="eastAsia" w:hAnsi="宋体"/>
          <w:b/>
          <w:szCs w:val="28"/>
        </w:rPr>
        <w:t>具体实施方式：</w:t>
      </w:r>
    </w:p>
    <w:p>
      <w:pPr>
        <w:pStyle w:val="3"/>
        <w:spacing w:line="360" w:lineRule="auto"/>
        <w:ind w:firstLine="570"/>
        <w:rPr>
          <w:rFonts w:hint="eastAsia" w:hAnsi="宋体"/>
          <w:szCs w:val="28"/>
        </w:rPr>
      </w:pPr>
      <w:r>
        <w:rPr>
          <w:rFonts w:hint="eastAsia" w:hAnsi="宋体"/>
          <w:szCs w:val="28"/>
        </w:rPr>
        <w:t>本具体实施方式以智能手机移动端 APP 内嵌微应用生态为核心应用场景，结合附图对本发明的技术方案进行完整、清晰的详细阐述，本领域技术人员可通过本实施方式公开的内容，完整理解并复现本发明的技术方案，解决现有技术的核心技术问题。本实施方式中，以生活服务类移动端 APP 为实施载体，该 APP 内嵌多个微应用，其中预配置的首页微应用白名单内，包含用户打开 APP 即启动、日常高频使用的 “首页核心服务” 微应用，该微应用为 APP 的核心功能载体，对运行稳定性、无干扰性要求极高。本发明的核心执行主体为 APP 内全局单例的微应用下载更新管理单元，所有功能流程均通过该单元统一调度管控，确保管控逻辑的一致性。</w:t>
      </w:r>
    </w:p>
    <w:p>
      <w:pPr>
        <w:pStyle w:val="3"/>
        <w:spacing w:line="360" w:lineRule="auto"/>
        <w:ind w:firstLine="570"/>
        <w:rPr>
          <w:rFonts w:hint="eastAsia" w:hAnsi="宋体"/>
          <w:szCs w:val="28"/>
        </w:rPr>
      </w:pPr>
      <w:r>
        <w:rPr>
          <w:rFonts w:hint="eastAsia" w:hAnsi="宋体"/>
          <w:szCs w:val="28"/>
        </w:rPr>
        <w:t>实施例 1：基于无感更新的微应用加载方法的完整实施</w:t>
      </w:r>
    </w:p>
    <w:p>
      <w:pPr>
        <w:pStyle w:val="3"/>
        <w:spacing w:line="360" w:lineRule="auto"/>
        <w:ind w:firstLine="570"/>
        <w:rPr>
          <w:rFonts w:hint="eastAsia" w:hAnsi="宋体"/>
          <w:szCs w:val="28"/>
        </w:rPr>
      </w:pPr>
      <w:r>
        <w:rPr>
          <w:rFonts w:hint="eastAsia" w:hAnsi="宋体"/>
          <w:szCs w:val="28"/>
        </w:rPr>
        <w:t>本实施例详细阐述本发明方法在生活服务类 APP 中的完整执行流程，结合附图 1 的整体流程，具体分为四大执行阶段，每个阶段的详细实施步骤如下：</w:t>
      </w:r>
    </w:p>
    <w:p>
      <w:pPr>
        <w:pStyle w:val="3"/>
        <w:spacing w:line="360" w:lineRule="auto"/>
        <w:ind w:firstLine="570"/>
        <w:rPr>
          <w:rFonts w:hint="eastAsia" w:hAnsi="宋体"/>
          <w:szCs w:val="28"/>
        </w:rPr>
      </w:pPr>
      <w:r>
        <w:rPr>
          <w:rFonts w:hint="eastAsia" w:hAnsi="宋体"/>
          <w:szCs w:val="28"/>
        </w:rPr>
        <w:t>第一阶段：APP 初始化与更新检测</w:t>
      </w:r>
    </w:p>
    <w:p>
      <w:pPr>
        <w:pStyle w:val="3"/>
        <w:spacing w:line="360" w:lineRule="auto"/>
        <w:ind w:firstLine="570"/>
        <w:rPr>
          <w:rFonts w:hint="eastAsia" w:hAnsi="宋体"/>
          <w:szCs w:val="28"/>
        </w:rPr>
      </w:pPr>
      <w:r>
        <w:rPr>
          <w:rFonts w:hint="eastAsia" w:hAnsi="宋体"/>
          <w:szCs w:val="28"/>
        </w:rPr>
        <w:t>用户打开移动端生活服务类 APP 后，微应用下载更新管理单元率先完成初始化，完成服务端接口对接、用户鉴权配置、本地沙盒存储初始化、各功能模块的状态复位。初始化完成后，更新检测模块通过移动端网络通道，从服务端拉取 APP 内全量微应用的配置信息，包括微应用唯一包名标识、构建编号 buildId、版本编号 versionId、资源包下载地址、功能属性等核心数据，并将全量数据持久化存储至 APP 沙盒本地存储模块，完成微应用配置信息的本地同步。</w:t>
      </w:r>
    </w:p>
    <w:p>
      <w:pPr>
        <w:pStyle w:val="3"/>
        <w:spacing w:line="360" w:lineRule="auto"/>
        <w:ind w:firstLine="570"/>
        <w:rPr>
          <w:rFonts w:hint="eastAsia" w:hAnsi="宋体"/>
          <w:szCs w:val="28"/>
        </w:rPr>
      </w:pPr>
      <w:r>
        <w:rPr>
          <w:rFonts w:hint="eastAsia" w:hAnsi="宋体"/>
          <w:szCs w:val="28"/>
        </w:rPr>
        <w:t>配置同步完成后，更新检测模块遍历本地全量微应用信息，针对每一个微应用，调取版本管理模块的版本校验能力，将本地沙盒中存储的微应用构建编号、版本编号，与服务端最新的对应数值进行双重对比。只有当服务端的构建编号与版本编号均大于本地数值时，才判定该微应用存在可用新版本，触发后续的分级识别流程；若版本对比不满足更新条件，则跳过该微应用，不执行任何更新操作。通过双重维度的版本校验，从源头避免了无效更新、版本错配、版本回退等问题，确保更新操作的精准性，减少用户不必要的网络流量消耗。</w:t>
      </w:r>
    </w:p>
    <w:p>
      <w:pPr>
        <w:pStyle w:val="3"/>
        <w:spacing w:line="360" w:lineRule="auto"/>
        <w:ind w:firstLine="570"/>
        <w:rPr>
          <w:rFonts w:hint="eastAsia" w:hAnsi="宋体"/>
          <w:szCs w:val="28"/>
        </w:rPr>
      </w:pPr>
      <w:r>
        <w:rPr>
          <w:rFonts w:hint="eastAsia" w:hAnsi="宋体"/>
          <w:szCs w:val="28"/>
        </w:rPr>
        <w:t>第二阶段：微应用分级识别与差异化下载</w:t>
      </w:r>
    </w:p>
    <w:p>
      <w:pPr>
        <w:pStyle w:val="3"/>
        <w:spacing w:line="360" w:lineRule="auto"/>
        <w:ind w:firstLine="570"/>
        <w:rPr>
          <w:rFonts w:hint="eastAsia" w:hAnsi="宋体"/>
          <w:szCs w:val="28"/>
        </w:rPr>
      </w:pPr>
      <w:r>
        <w:rPr>
          <w:rFonts w:hint="eastAsia" w:hAnsi="宋体"/>
          <w:szCs w:val="28"/>
        </w:rPr>
        <w:t>当检测到微应用存在可用新版本后，首页识别模块启动分级判定流程，调取本地存储模块内预配置的首页微应用白名单，该白名单内预先存储了 APP 内高优先级核心微应用的包名关键词，包括本实施例中的 “首页核心服务” 微应用，以及其他用户高频使用的核心功能微应用标识。首页识别模块将待更新微应用的唯一包名标识，与白名单内的关键词进行遍历匹配，若包名标识包含白名单内的任一关键词，则判定该微应用为首页微应用类型，触发本发明的无感更新策略；若匹配失败，则判定为普通微应用类型，触发常规更新策略。本实施例中，检测到 “首页核心服务” 微应用存在可用新版本，经白名单匹配成功，判定为首页微应用，触发无感更新策略。</w:t>
      </w:r>
    </w:p>
    <w:p>
      <w:pPr>
        <w:pStyle w:val="3"/>
        <w:spacing w:line="360" w:lineRule="auto"/>
        <w:ind w:firstLine="570"/>
        <w:rPr>
          <w:rFonts w:hint="eastAsia" w:hAnsi="宋体"/>
          <w:szCs w:val="28"/>
        </w:rPr>
      </w:pPr>
      <w:r>
        <w:rPr>
          <w:rFonts w:hint="eastAsia" w:hAnsi="宋体"/>
          <w:szCs w:val="28"/>
        </w:rPr>
        <w:t>针对判定为首页微应用的 “首页核心服务” 微应用，分类下载模块启动 APP 后台独立线程，执行静默下载流程，从服务端拉取该微应用的新版本资源包。下载全程在后台独立线程中执行，无任何前端弹窗提示、无进度条展示、无用户操作打断，完全不干扰用户对当前 “首页核心服务” 微应用的正常使用；同时内置断点续传、网络异常重试机制，当用户手机网络出现波动中断后，恢复网络时可从断点处继续下载，无需重新下载全量资源包，提升下载效率，减少用户移动流量的消耗。</w:t>
      </w:r>
    </w:p>
    <w:p>
      <w:pPr>
        <w:pStyle w:val="3"/>
        <w:spacing w:line="360" w:lineRule="auto"/>
        <w:ind w:firstLine="570"/>
        <w:rPr>
          <w:rFonts w:hint="eastAsia" w:hAnsi="宋体"/>
          <w:szCs w:val="28"/>
        </w:rPr>
      </w:pPr>
      <w:r>
        <w:rPr>
          <w:rFonts w:hint="eastAsia" w:hAnsi="宋体"/>
          <w:szCs w:val="28"/>
        </w:rPr>
        <w:t>新版本资源包下载完成后，资源校验模块启动校验流程，先将资源包解压至 APP 沙盒内预先搭建的临时存储目录中，该临时存储目录为正式存储目录下的独立子目录，与正式存储目录完全物理隔离，其所有读写操作均不会影响正式存储目录内的资源。解压完成后，资源校验模块首先对解压后的全量资源进行完整性校验，检查是否存在文件缺失、损坏的情况；随后进行版本一致性校验，核对解压后资源的版本信息与服务端下发的版本信息是否一致。双重校验均通过后，将该新版本标记为有效待替换版本；若校验不通过，则自动删除临时存储目录内的所有相关文件，终止本次更新流程，避免无效资源占用用户手机存储空间。整个下载、解压、校验过程全程在临时存储目录内闭环完成，对当前正在运行的正式存储目录无任何读写操作，从根本上杜绝了资源冲突风险。</w:t>
      </w:r>
    </w:p>
    <w:p>
      <w:pPr>
        <w:pStyle w:val="3"/>
        <w:spacing w:line="360" w:lineRule="auto"/>
        <w:ind w:firstLine="570"/>
        <w:rPr>
          <w:rFonts w:hint="eastAsia" w:hAnsi="宋体"/>
          <w:szCs w:val="28"/>
        </w:rPr>
      </w:pPr>
      <w:r>
        <w:rPr>
          <w:rFonts w:hint="eastAsia" w:hAnsi="宋体"/>
          <w:szCs w:val="28"/>
        </w:rPr>
        <w:t>针对判定为普通微应用的 “帮助中心”“设置” 等非核心功能微应用，分类下载模块直接启动下载流程，下载完成后，资源校验模块先删除正式存储目录内该微应用的旧版本全量资源，再将新版本资源包解压至正式存储目录，完成覆盖式更新，无需等待用户下次启动，保障普通微应用的更新及时性。</w:t>
      </w:r>
    </w:p>
    <w:p>
      <w:pPr>
        <w:pStyle w:val="3"/>
        <w:spacing w:line="360" w:lineRule="auto"/>
        <w:ind w:firstLine="570"/>
        <w:rPr>
          <w:rFonts w:hint="eastAsia" w:hAnsi="宋体"/>
          <w:szCs w:val="28"/>
        </w:rPr>
      </w:pPr>
      <w:r>
        <w:rPr>
          <w:rFonts w:hint="eastAsia" w:hAnsi="宋体"/>
          <w:szCs w:val="28"/>
        </w:rPr>
        <w:t>第三阶段：启动时版本平滑替换与加载</w:t>
      </w:r>
    </w:p>
    <w:p>
      <w:pPr>
        <w:pStyle w:val="3"/>
        <w:spacing w:line="360" w:lineRule="auto"/>
        <w:ind w:firstLine="570"/>
        <w:rPr>
          <w:rFonts w:hint="eastAsia" w:hAnsi="宋体"/>
          <w:szCs w:val="28"/>
        </w:rPr>
      </w:pPr>
      <w:r>
        <w:rPr>
          <w:rFonts w:hint="eastAsia" w:hAnsi="宋体"/>
          <w:szCs w:val="28"/>
        </w:rPr>
        <w:t>当用户下次点击启动 “首页核心服务” 微应用时，触发本发明的延迟替换流程，具体执行步骤结合附图 4 详细说明：</w:t>
      </w:r>
    </w:p>
    <w:p>
      <w:pPr>
        <w:pStyle w:val="3"/>
        <w:spacing w:line="360" w:lineRule="auto"/>
        <w:ind w:firstLine="570"/>
        <w:rPr>
          <w:rFonts w:hint="eastAsia" w:hAnsi="宋体"/>
          <w:szCs w:val="28"/>
        </w:rPr>
      </w:pPr>
      <w:r>
        <w:rPr>
          <w:rFonts w:hint="eastAsia" w:hAnsi="宋体"/>
          <w:szCs w:val="28"/>
        </w:rPr>
        <w:t>第一步，延迟替换模块接收到微应用启动指令后，首先扫描该微应用对应的临时存储目录，检测是否存在标记完成的有效待替换新版本；</w:t>
      </w:r>
    </w:p>
    <w:p>
      <w:pPr>
        <w:pStyle w:val="3"/>
        <w:spacing w:line="360" w:lineRule="auto"/>
        <w:ind w:firstLine="570"/>
        <w:rPr>
          <w:rFonts w:hint="eastAsia" w:hAnsi="宋体"/>
          <w:szCs w:val="28"/>
        </w:rPr>
      </w:pPr>
      <w:r>
        <w:rPr>
          <w:rFonts w:hint="eastAsia" w:hAnsi="宋体"/>
          <w:szCs w:val="28"/>
        </w:rPr>
        <w:t>第二步，若检测到有效新版本，延迟替换模块先解除正式存储目录的写入限制，将临时存储目录内的新版本全量资源，完整迁移至正式存储目录，覆盖旧版本的全部资源文件，完成版本替换；</w:t>
      </w:r>
    </w:p>
    <w:p>
      <w:pPr>
        <w:pStyle w:val="3"/>
        <w:spacing w:line="360" w:lineRule="auto"/>
        <w:ind w:firstLine="570"/>
        <w:rPr>
          <w:rFonts w:hint="eastAsia" w:hAnsi="宋体"/>
          <w:szCs w:val="28"/>
        </w:rPr>
      </w:pPr>
      <w:r>
        <w:rPr>
          <w:rFonts w:hint="eastAsia" w:hAnsi="宋体"/>
          <w:szCs w:val="28"/>
        </w:rPr>
        <w:t>第三步，版本替换完成后，延迟替换模块自动删除临时存储目录内的对应缓存文件，同时扫描正式存储目录内该微应用的历史版本资源，通过版本管理模块的版本对比能力，仅保留最高版本的有效资源，删除低版本的冗余文件，释放用户手机的本地存储空间；</w:t>
      </w:r>
    </w:p>
    <w:p>
      <w:pPr>
        <w:pStyle w:val="3"/>
        <w:spacing w:line="360" w:lineRule="auto"/>
        <w:ind w:firstLine="570"/>
        <w:rPr>
          <w:rFonts w:hint="eastAsia" w:hAnsi="宋体"/>
          <w:szCs w:val="28"/>
        </w:rPr>
      </w:pPr>
      <w:r>
        <w:rPr>
          <w:rFonts w:hint="eastAsia" w:hAnsi="宋体"/>
          <w:szCs w:val="28"/>
        </w:rPr>
        <w:t>第四步，资源清理完成后，微应用加载模块从正式存储目录中获取新版本微应用的启动页资源路径，通过 APP 内置的标准化微应用运行容器，完成新版本资源的解析、渲染与交互功能加载，用户启动后直接使用最新版本的微应用。</w:t>
      </w:r>
    </w:p>
    <w:p>
      <w:pPr>
        <w:pStyle w:val="3"/>
        <w:spacing w:line="360" w:lineRule="auto"/>
        <w:ind w:firstLine="570"/>
        <w:rPr>
          <w:rFonts w:hint="eastAsia" w:hAnsi="宋体"/>
          <w:szCs w:val="28"/>
        </w:rPr>
      </w:pPr>
      <w:r>
        <w:rPr>
          <w:rFonts w:hint="eastAsia" w:hAnsi="宋体"/>
          <w:szCs w:val="28"/>
        </w:rPr>
        <w:t>整个版本替换过程在微应用启动的瞬间完成，耗时不超过 200ms，用户无任何感知，实现了完全无感的版本更新。若延迟替换模块未检测到有效新版本，微应用加载模块直接从正式存储目录读取当前版本的资源文件，完成微应用的正常启动，不执行任何替换操作。</w:t>
      </w:r>
    </w:p>
    <w:p>
      <w:pPr>
        <w:pStyle w:val="3"/>
        <w:spacing w:line="360" w:lineRule="auto"/>
        <w:ind w:firstLine="570"/>
        <w:rPr>
          <w:rFonts w:hint="eastAsia" w:hAnsi="宋体"/>
          <w:szCs w:val="28"/>
        </w:rPr>
      </w:pPr>
      <w:r>
        <w:rPr>
          <w:rFonts w:hint="eastAsia" w:hAnsi="宋体"/>
          <w:szCs w:val="28"/>
        </w:rPr>
        <w:t>第四阶段：全流程防重管控实施</w:t>
      </w:r>
    </w:p>
    <w:p>
      <w:pPr>
        <w:pStyle w:val="3"/>
        <w:spacing w:line="360" w:lineRule="auto"/>
        <w:ind w:firstLine="570"/>
        <w:rPr>
          <w:rFonts w:hint="eastAsia" w:hAnsi="宋体"/>
          <w:szCs w:val="28"/>
        </w:rPr>
      </w:pPr>
      <w:r>
        <w:rPr>
          <w:rFonts w:hint="eastAsia" w:hAnsi="宋体"/>
          <w:szCs w:val="28"/>
        </w:rPr>
        <w:t>本发明在微应用下载、加载的全流程中，通过防重管控模块实现重复操作拦截，具体实施逻辑为：防重管控模块内置微应用运行状态管控队列，当接收到微应用的下载或启动指令时，先获取该微应用的唯一标识，检测该标识是否已存在于管控队列中。若已存在，说明该微应用正在执行下载或加载流程，直接拦截本次重复请求，避免重复下载、重复加载导致的手机系统资源浪费、流量额外消耗；若不存在，则将该微应用标识添加至管控队列中，执行后续的下载或加载流程。当微应用下载完成、加载成功或流程终止后，自动将该标识从管控队列中移除，释放管控状态，接收后续的操作指令。</w:t>
      </w:r>
    </w:p>
    <w:p>
      <w:pPr>
        <w:pStyle w:val="3"/>
        <w:spacing w:line="360" w:lineRule="auto"/>
        <w:ind w:firstLine="570"/>
        <w:rPr>
          <w:rFonts w:hint="eastAsia" w:hAnsi="宋体"/>
          <w:szCs w:val="28"/>
        </w:rPr>
      </w:pPr>
      <w:r>
        <w:rPr>
          <w:rFonts w:hint="eastAsia" w:hAnsi="宋体"/>
          <w:szCs w:val="28"/>
        </w:rPr>
        <w:t>实施例 2：基于无感更新的微应用加载系统的完整实施</w:t>
      </w:r>
    </w:p>
    <w:p>
      <w:pPr>
        <w:pStyle w:val="3"/>
        <w:spacing w:line="360" w:lineRule="auto"/>
        <w:ind w:firstLine="570"/>
        <w:rPr>
          <w:rFonts w:hint="eastAsia" w:hAnsi="宋体"/>
          <w:szCs w:val="28"/>
        </w:rPr>
      </w:pPr>
      <w:r>
        <w:rPr>
          <w:rFonts w:hint="eastAsia" w:hAnsi="宋体"/>
          <w:szCs w:val="28"/>
        </w:rPr>
        <w:t>本实施例详细阐述本发明系统在移动端 iOS 与安卓双系统 APP 中的架构实施，结合附图 5 的模块架构图，系统采用模块化分层架构设计，分为接入层、核心业务层、基础能力层、存储层四个层级，各层级之间通过标准化接口通信，实现高内聚低耦合的架构特性，可灵活适配不同品类、不同系统的移动端 APP。</w:t>
      </w:r>
    </w:p>
    <w:p>
      <w:pPr>
        <w:pStyle w:val="3"/>
        <w:spacing w:line="360" w:lineRule="auto"/>
        <w:ind w:firstLine="570"/>
        <w:rPr>
          <w:rFonts w:hint="eastAsia" w:hAnsi="宋体"/>
          <w:szCs w:val="28"/>
        </w:rPr>
      </w:pPr>
      <w:r>
        <w:rPr>
          <w:rFonts w:hint="eastAsia" w:hAnsi="宋体"/>
          <w:szCs w:val="28"/>
        </w:rPr>
        <w:t>接入层为系统与外部服务的对接入口，负责对接服务端的微应用配置接口、移动端系统的网络管理模块、APP 的用户鉴权模块，实现数据的安全传输与交互，所有通信均采用移动端加密传输协议，保障用户数据与资源包的传输安全。</w:t>
      </w:r>
    </w:p>
    <w:p>
      <w:pPr>
        <w:pStyle w:val="3"/>
        <w:spacing w:line="360" w:lineRule="auto"/>
        <w:ind w:firstLine="570"/>
        <w:rPr>
          <w:rFonts w:hint="eastAsia" w:hAnsi="宋体"/>
          <w:szCs w:val="28"/>
        </w:rPr>
      </w:pPr>
      <w:r>
        <w:rPr>
          <w:rFonts w:hint="eastAsia" w:hAnsi="宋体"/>
          <w:szCs w:val="28"/>
        </w:rPr>
        <w:t>核心业务层为系统的核心功能实现单元，包括首页识别模块、更新检测模块、分类下载模块、延迟替换模块、微应用加载模块五大核心业务模块，完整实现本发明的核心业务逻辑。其中，首页识别模块内置白名单存储单元，支持白名单的本地预配置与服务端远程更新，APP 运营方可根据业务需求，灵活调整首页微应用的分级范围；分类下载模块内置的多线程后台下载引擎，支持最大 3 个微应用的并行下载，同时可根据用户手机当前的运行状态、网络环境，动态调整下载带宽与并发数，避免下载操作影响 APP 的核心功能运行与用户的其他操作；微应用加载模块内置的移动端标准化微应用容器，兼容 HTML、CSS、JavaScript 等主流前端资源格式，支持手机端的触控、手势、语音交互能力，可完整实现微应用的全功能运行。</w:t>
      </w:r>
    </w:p>
    <w:p>
      <w:pPr>
        <w:pStyle w:val="3"/>
        <w:spacing w:line="360" w:lineRule="auto"/>
        <w:ind w:firstLine="570"/>
        <w:rPr>
          <w:rFonts w:hint="eastAsia" w:hAnsi="宋体"/>
          <w:szCs w:val="28"/>
        </w:rPr>
      </w:pPr>
      <w:r>
        <w:rPr>
          <w:rFonts w:hint="eastAsia" w:hAnsi="宋体"/>
          <w:szCs w:val="28"/>
        </w:rPr>
        <w:t>基础能力层为核心业务层提供配套支撑能力，包括版本管理模块、资源校验模块、防重管控模块三大能力单元，为核心业务流程提供全流程的管控支撑。其中，版本管理模块采用构建编号与版本编号双重维度的管控架构，可实现微应用版本的全生命周期管理，精准控制更新触发条件，同时支持灰度发布、版本回滚等进阶运营能力；资源校验模块支持资源包 MD5 完整性校验、版本一致性校验、文件完整性扫描，确保下载的更新资源完整可用，避免损坏资源导致微应用运行异常；防重管控模块通过状态管控队列，实现微应用全流程的状态同步，可有效拦截用户重复点击导致的重复下载、重复加载问题，减少手机系统资源的占用。</w:t>
      </w:r>
    </w:p>
    <w:p>
      <w:pPr>
        <w:pStyle w:val="3"/>
        <w:spacing w:line="360" w:lineRule="auto"/>
        <w:ind w:firstLine="570"/>
        <w:rPr>
          <w:rFonts w:hint="eastAsia" w:hAnsi="宋体"/>
          <w:szCs w:val="28"/>
        </w:rPr>
      </w:pPr>
      <w:r>
        <w:rPr>
          <w:rFonts w:hint="eastAsia" w:hAnsi="宋体"/>
          <w:szCs w:val="28"/>
        </w:rPr>
        <w:t>存储层基于移动端 APP 的沙盒存储机制搭建，分为正式存储区、临时存储区、配置缓存区三大物理隔离的存储区域，分别对应正式存储目录、临时存储目录、配置信息存储，为系统提供安全、高速的本地数据读写能力，同时严格遵循移动端系统的存储权限规范，无需申请额外的存储权限，适配 iOS 与安卓系统的权限管理要求。</w:t>
      </w:r>
    </w:p>
    <w:p>
      <w:pPr>
        <w:pStyle w:val="3"/>
        <w:spacing w:line="360" w:lineRule="auto"/>
        <w:ind w:firstLine="570"/>
        <w:rPr>
          <w:rFonts w:hint="eastAsia" w:hAnsi="宋体"/>
          <w:szCs w:val="28"/>
        </w:rPr>
      </w:pPr>
    </w:p>
    <w:p>
      <w:pPr>
        <w:pStyle w:val="3"/>
        <w:spacing w:line="360" w:lineRule="auto"/>
        <w:ind w:firstLine="570"/>
        <w:rPr>
          <w:rFonts w:hint="eastAsia" w:hAnsi="宋体"/>
          <w:szCs w:val="28"/>
        </w:rPr>
      </w:pPr>
    </w:p>
    <w:p>
      <w:pPr>
        <w:pStyle w:val="3"/>
        <w:spacing w:line="360" w:lineRule="auto"/>
        <w:ind w:firstLine="0"/>
        <w:rPr>
          <w:rFonts w:hint="eastAsia" w:hAnsi="宋体"/>
          <w:b/>
          <w:szCs w:val="28"/>
        </w:rPr>
      </w:pPr>
      <w:r>
        <w:rPr>
          <w:rFonts w:hint="eastAsia" w:hAnsi="宋体"/>
          <w:b/>
          <w:szCs w:val="28"/>
        </w:rPr>
        <w:t>说明书附图：</w:t>
      </w:r>
    </w:p>
    <w:p>
      <w:pPr>
        <w:rPr>
          <w:rFonts w:hint="eastAsia" w:ascii="宋体" w:hAnsi="宋体"/>
          <w:sz w:val="28"/>
          <w:szCs w:val="28"/>
        </w:rPr>
      </w:pPr>
    </w:p>
    <w:p>
      <w:pPr>
        <w:rPr>
          <w:rFonts w:hint="eastAsia" w:ascii="宋体" w:hAnsi="宋体" w:eastAsia="宋体"/>
          <w:sz w:val="28"/>
          <w:szCs w:val="28"/>
          <w:lang w:eastAsia="zh-CN"/>
        </w:rPr>
      </w:pPr>
      <w:r>
        <w:rPr>
          <w:rFonts w:hint="eastAsia" w:ascii="宋体" w:hAnsi="宋体" w:eastAsia="宋体"/>
          <w:sz w:val="28"/>
          <w:szCs w:val="28"/>
          <w:lang w:eastAsia="zh-CN"/>
        </w:rPr>
        <w:drawing>
          <wp:inline distT="0" distB="0" distL="114300" distR="114300">
            <wp:extent cx="5330825" cy="9171305"/>
            <wp:effectExtent l="0" t="0" r="3175" b="23495"/>
            <wp:docPr id="2" name="图片 2" descr="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1"/>
                    <pic:cNvPicPr>
                      <a:picLocks noChangeAspect="1"/>
                    </pic:cNvPicPr>
                  </pic:nvPicPr>
                  <pic:blipFill>
                    <a:blip r:embed="rId8"/>
                    <a:stretch>
                      <a:fillRect/>
                    </a:stretch>
                  </pic:blipFill>
                  <pic:spPr>
                    <a:xfrm>
                      <a:off x="0" y="0"/>
                      <a:ext cx="5330825" cy="9171305"/>
                    </a:xfrm>
                    <a:prstGeom prst="rect">
                      <a:avLst/>
                    </a:prstGeom>
                  </pic:spPr>
                </pic:pic>
              </a:graphicData>
            </a:graphic>
          </wp:inline>
        </w:drawing>
      </w:r>
    </w:p>
    <w:p>
      <w:pPr>
        <w:pStyle w:val="3"/>
        <w:spacing w:line="276" w:lineRule="auto"/>
        <w:ind w:firstLine="0"/>
        <w:jc w:val="center"/>
        <w:rPr>
          <w:rFonts w:ascii="Times New Roman" w:eastAsia="黑体"/>
          <w:sz w:val="21"/>
          <w:szCs w:val="21"/>
        </w:rPr>
      </w:pPr>
      <w:r>
        <w:rPr>
          <w:rFonts w:hint="eastAsia" w:ascii="Times New Roman" w:eastAsia="黑体"/>
          <w:sz w:val="21"/>
          <w:szCs w:val="21"/>
        </w:rPr>
        <w:t>图</w:t>
      </w:r>
      <w:r>
        <w:rPr>
          <w:rFonts w:ascii="Times New Roman" w:eastAsia="黑体"/>
          <w:sz w:val="21"/>
          <w:szCs w:val="21"/>
        </w:rPr>
        <w:t xml:space="preserve">1 </w:t>
      </w:r>
      <w:r>
        <w:rPr>
          <w:rFonts w:hint="eastAsia" w:ascii="Times New Roman" w:eastAsia="黑体"/>
          <w:sz w:val="21"/>
          <w:szCs w:val="21"/>
          <w:lang w:eastAsia="zh-Hans"/>
        </w:rPr>
        <w:t>本发明基于无感更新的微应用加载方法的整体流程示意图</w:t>
      </w:r>
    </w:p>
    <w:p>
      <w:pPr>
        <w:ind w:firstLine="565" w:firstLineChars="202"/>
        <w:rPr>
          <w:rFonts w:hint="eastAsia" w:ascii="宋体" w:hAnsi="宋体"/>
          <w:sz w:val="28"/>
          <w:szCs w:val="28"/>
        </w:rPr>
      </w:pPr>
    </w:p>
    <w:p>
      <w:pPr>
        <w:ind w:firstLine="565" w:firstLineChars="202"/>
        <w:rPr>
          <w:rFonts w:hint="eastAsia" w:ascii="宋体" w:hAnsi="宋体"/>
          <w:sz w:val="28"/>
          <w:szCs w:val="28"/>
        </w:rPr>
      </w:pPr>
    </w:p>
    <w:p>
      <w:pPr>
        <w:ind w:firstLine="565" w:firstLineChars="202"/>
        <w:rPr>
          <w:rFonts w:hint="eastAsia" w:ascii="宋体" w:hAnsi="宋体" w:eastAsia="宋体"/>
          <w:sz w:val="28"/>
          <w:szCs w:val="28"/>
          <w:lang w:eastAsia="zh-CN"/>
        </w:rPr>
      </w:pPr>
      <w:r>
        <w:rPr>
          <w:rFonts w:hint="eastAsia" w:ascii="宋体" w:hAnsi="宋体" w:eastAsia="宋体"/>
          <w:sz w:val="28"/>
          <w:szCs w:val="28"/>
          <w:lang w:eastAsia="zh-CN"/>
        </w:rPr>
        <w:drawing>
          <wp:inline distT="0" distB="0" distL="114300" distR="114300">
            <wp:extent cx="5286375" cy="9189720"/>
            <wp:effectExtent l="0" t="0" r="22225" b="5080"/>
            <wp:docPr id="3" name="图片 3" descr="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2"/>
                    <pic:cNvPicPr>
                      <a:picLocks noChangeAspect="1"/>
                    </pic:cNvPicPr>
                  </pic:nvPicPr>
                  <pic:blipFill>
                    <a:blip r:embed="rId9"/>
                    <a:stretch>
                      <a:fillRect/>
                    </a:stretch>
                  </pic:blipFill>
                  <pic:spPr>
                    <a:xfrm>
                      <a:off x="0" y="0"/>
                      <a:ext cx="5286375" cy="9189720"/>
                    </a:xfrm>
                    <a:prstGeom prst="rect">
                      <a:avLst/>
                    </a:prstGeom>
                  </pic:spPr>
                </pic:pic>
              </a:graphicData>
            </a:graphic>
          </wp:inline>
        </w:drawing>
      </w:r>
    </w:p>
    <w:p>
      <w:pPr>
        <w:pStyle w:val="3"/>
        <w:spacing w:line="276" w:lineRule="auto"/>
        <w:ind w:firstLine="0"/>
        <w:jc w:val="center"/>
        <w:rPr>
          <w:rFonts w:hint="eastAsia" w:ascii="黑体" w:hAnsi="黑体" w:eastAsia="黑体"/>
          <w:sz w:val="21"/>
          <w:szCs w:val="21"/>
          <w:lang w:eastAsia="zh-Hans"/>
        </w:rPr>
      </w:pPr>
      <w:r>
        <w:rPr>
          <w:rFonts w:hint="eastAsia" w:ascii="Times New Roman" w:eastAsia="黑体"/>
          <w:sz w:val="21"/>
          <w:szCs w:val="21"/>
        </w:rPr>
        <w:t>图</w:t>
      </w:r>
      <w:r>
        <w:rPr>
          <w:rFonts w:ascii="Times New Roman" w:eastAsia="黑体"/>
          <w:sz w:val="21"/>
          <w:szCs w:val="21"/>
        </w:rPr>
        <w:t xml:space="preserve">2 </w:t>
      </w:r>
      <w:r>
        <w:rPr>
          <w:rFonts w:hint="eastAsia" w:ascii="黑体" w:hAnsi="黑体" w:eastAsia="黑体"/>
          <w:sz w:val="21"/>
          <w:szCs w:val="21"/>
          <w:lang w:eastAsia="zh-Hans"/>
        </w:rPr>
        <w:t>本发明双目录存储架构示意图</w:t>
      </w:r>
    </w:p>
    <w:p>
      <w:pPr>
        <w:pStyle w:val="3"/>
        <w:spacing w:line="276" w:lineRule="auto"/>
        <w:ind w:firstLine="0"/>
        <w:jc w:val="center"/>
        <w:rPr>
          <w:rFonts w:hint="eastAsia" w:ascii="黑体" w:hAnsi="黑体" w:eastAsia="黑体"/>
          <w:sz w:val="21"/>
          <w:szCs w:val="21"/>
          <w:lang w:eastAsia="zh-Hans"/>
        </w:rPr>
      </w:pPr>
    </w:p>
    <w:p>
      <w:pPr>
        <w:pStyle w:val="3"/>
        <w:spacing w:line="276" w:lineRule="auto"/>
        <w:ind w:firstLine="0"/>
        <w:jc w:val="both"/>
        <w:rPr>
          <w:rFonts w:hint="eastAsia" w:ascii="黑体" w:hAnsi="黑体" w:eastAsia="黑体"/>
          <w:sz w:val="21"/>
          <w:szCs w:val="21"/>
          <w:lang w:eastAsia="zh-Hans"/>
        </w:rPr>
      </w:pPr>
    </w:p>
    <w:p>
      <w:pPr>
        <w:ind w:firstLine="565" w:firstLineChars="202"/>
        <w:rPr>
          <w:rFonts w:hint="eastAsia" w:ascii="宋体" w:hAnsi="宋体" w:eastAsia="宋体"/>
          <w:sz w:val="28"/>
          <w:szCs w:val="28"/>
          <w:lang w:eastAsia="zh-CN"/>
        </w:rPr>
      </w:pPr>
      <w:r>
        <w:rPr>
          <w:rFonts w:hint="eastAsia" w:ascii="宋体" w:hAnsi="宋体" w:eastAsia="宋体"/>
          <w:sz w:val="28"/>
          <w:szCs w:val="28"/>
          <w:lang w:eastAsia="zh-CN"/>
        </w:rPr>
        <w:drawing>
          <wp:inline distT="0" distB="0" distL="114300" distR="114300">
            <wp:extent cx="5330825" cy="5970905"/>
            <wp:effectExtent l="0" t="0" r="3175" b="23495"/>
            <wp:docPr id="4" name="图片 4" descr="图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3"/>
                    <pic:cNvPicPr>
                      <a:picLocks noChangeAspect="1"/>
                    </pic:cNvPicPr>
                  </pic:nvPicPr>
                  <pic:blipFill>
                    <a:blip r:embed="rId10"/>
                    <a:stretch>
                      <a:fillRect/>
                    </a:stretch>
                  </pic:blipFill>
                  <pic:spPr>
                    <a:xfrm>
                      <a:off x="0" y="0"/>
                      <a:ext cx="5330825" cy="5970905"/>
                    </a:xfrm>
                    <a:prstGeom prst="rect">
                      <a:avLst/>
                    </a:prstGeom>
                  </pic:spPr>
                </pic:pic>
              </a:graphicData>
            </a:graphic>
          </wp:inline>
        </w:drawing>
      </w:r>
    </w:p>
    <w:p>
      <w:pPr>
        <w:pStyle w:val="3"/>
        <w:spacing w:line="276" w:lineRule="auto"/>
        <w:ind w:firstLine="0"/>
        <w:jc w:val="center"/>
        <w:rPr>
          <w:rFonts w:hint="eastAsia" w:ascii="黑体" w:hAnsi="黑体" w:eastAsia="黑体"/>
          <w:sz w:val="21"/>
          <w:szCs w:val="21"/>
          <w:lang w:eastAsia="zh-Hans"/>
        </w:rPr>
      </w:pPr>
      <w:r>
        <w:rPr>
          <w:rFonts w:hint="eastAsia" w:ascii="Times New Roman" w:eastAsia="黑体"/>
          <w:sz w:val="21"/>
          <w:szCs w:val="21"/>
        </w:rPr>
        <w:t>图</w:t>
      </w:r>
      <w:r>
        <w:rPr>
          <w:rFonts w:hint="eastAsia" w:ascii="Times New Roman" w:eastAsia="黑体"/>
          <w:sz w:val="21"/>
          <w:szCs w:val="21"/>
          <w:lang w:val="en-US" w:eastAsia="zh-CN"/>
        </w:rPr>
        <w:t>3</w:t>
      </w:r>
      <w:r>
        <w:rPr>
          <w:rFonts w:ascii="Times New Roman" w:eastAsia="黑体"/>
          <w:sz w:val="21"/>
          <w:szCs w:val="21"/>
        </w:rPr>
        <w:t xml:space="preserve"> </w:t>
      </w:r>
      <w:r>
        <w:rPr>
          <w:rFonts w:hint="eastAsia" w:ascii="黑体" w:hAnsi="黑体" w:eastAsia="黑体"/>
          <w:sz w:val="21"/>
          <w:szCs w:val="21"/>
          <w:lang w:eastAsia="zh-Hans"/>
        </w:rPr>
        <w:t>本发明首页微应用识别逻辑流程图</w:t>
      </w:r>
    </w:p>
    <w:p>
      <w:pPr>
        <w:pStyle w:val="3"/>
        <w:spacing w:line="276" w:lineRule="auto"/>
        <w:ind w:firstLine="0"/>
        <w:jc w:val="center"/>
        <w:rPr>
          <w:rFonts w:hint="eastAsia" w:ascii="黑体" w:hAnsi="黑体" w:eastAsia="黑体"/>
          <w:sz w:val="21"/>
          <w:szCs w:val="21"/>
          <w:lang w:eastAsia="zh-Hans"/>
        </w:rPr>
      </w:pPr>
    </w:p>
    <w:p>
      <w:pPr>
        <w:pStyle w:val="3"/>
        <w:spacing w:line="276" w:lineRule="auto"/>
        <w:ind w:firstLine="0"/>
        <w:jc w:val="center"/>
        <w:rPr>
          <w:rFonts w:hint="eastAsia" w:ascii="黑体" w:hAnsi="黑体" w:eastAsia="黑体"/>
          <w:sz w:val="21"/>
          <w:szCs w:val="21"/>
          <w:lang w:eastAsia="zh-Hans"/>
        </w:rPr>
      </w:pPr>
    </w:p>
    <w:p>
      <w:pPr>
        <w:pStyle w:val="3"/>
        <w:spacing w:line="276" w:lineRule="auto"/>
        <w:ind w:firstLine="0"/>
        <w:jc w:val="center"/>
        <w:rPr>
          <w:rFonts w:hint="eastAsia" w:ascii="黑体" w:hAnsi="黑体" w:eastAsia="黑体"/>
          <w:sz w:val="21"/>
          <w:szCs w:val="21"/>
          <w:lang w:eastAsia="zh-CN"/>
        </w:rPr>
      </w:pPr>
      <w:r>
        <w:rPr>
          <w:rFonts w:hint="eastAsia" w:ascii="黑体" w:hAnsi="黑体" w:eastAsia="黑体"/>
          <w:sz w:val="21"/>
          <w:szCs w:val="21"/>
          <w:lang w:eastAsia="zh-CN"/>
        </w:rPr>
        <w:drawing>
          <wp:inline distT="0" distB="0" distL="114300" distR="114300">
            <wp:extent cx="5330825" cy="7433945"/>
            <wp:effectExtent l="0" t="0" r="3175" b="8255"/>
            <wp:docPr id="5" name="图片 5" descr="图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4"/>
                    <pic:cNvPicPr>
                      <a:picLocks noChangeAspect="1"/>
                    </pic:cNvPicPr>
                  </pic:nvPicPr>
                  <pic:blipFill>
                    <a:blip r:embed="rId11"/>
                    <a:stretch>
                      <a:fillRect/>
                    </a:stretch>
                  </pic:blipFill>
                  <pic:spPr>
                    <a:xfrm>
                      <a:off x="0" y="0"/>
                      <a:ext cx="5330825" cy="7433945"/>
                    </a:xfrm>
                    <a:prstGeom prst="rect">
                      <a:avLst/>
                    </a:prstGeom>
                  </pic:spPr>
                </pic:pic>
              </a:graphicData>
            </a:graphic>
          </wp:inline>
        </w:drawing>
      </w:r>
    </w:p>
    <w:p>
      <w:pPr>
        <w:pStyle w:val="3"/>
        <w:spacing w:line="276" w:lineRule="auto"/>
        <w:ind w:firstLine="0"/>
        <w:jc w:val="center"/>
        <w:rPr>
          <w:rFonts w:hint="eastAsia" w:ascii="黑体" w:hAnsi="黑体" w:eastAsia="黑体"/>
          <w:sz w:val="21"/>
          <w:szCs w:val="21"/>
          <w:lang w:eastAsia="zh-Hans"/>
        </w:rPr>
      </w:pPr>
      <w:r>
        <w:rPr>
          <w:rFonts w:hint="eastAsia" w:ascii="Times New Roman" w:eastAsia="黑体"/>
          <w:sz w:val="21"/>
          <w:szCs w:val="21"/>
        </w:rPr>
        <w:t>图</w:t>
      </w:r>
      <w:r>
        <w:rPr>
          <w:rFonts w:hint="eastAsia" w:ascii="Times New Roman" w:eastAsia="黑体"/>
          <w:sz w:val="21"/>
          <w:szCs w:val="21"/>
          <w:lang w:val="en-US" w:eastAsia="zh-CN"/>
        </w:rPr>
        <w:t>4</w:t>
      </w:r>
      <w:r>
        <w:rPr>
          <w:rFonts w:ascii="Times New Roman" w:eastAsia="黑体"/>
          <w:sz w:val="21"/>
          <w:szCs w:val="21"/>
        </w:rPr>
        <w:t xml:space="preserve"> </w:t>
      </w:r>
      <w:r>
        <w:rPr>
          <w:rFonts w:hint="eastAsia" w:ascii="黑体" w:hAnsi="黑体" w:eastAsia="黑体"/>
          <w:sz w:val="21"/>
          <w:szCs w:val="21"/>
          <w:lang w:eastAsia="zh-Hans"/>
        </w:rPr>
        <w:t>本发明微应用启动时版本替换与加载流程图</w:t>
      </w:r>
    </w:p>
    <w:p>
      <w:pPr>
        <w:pStyle w:val="3"/>
        <w:spacing w:line="276" w:lineRule="auto"/>
        <w:ind w:firstLine="0"/>
        <w:jc w:val="center"/>
        <w:rPr>
          <w:rFonts w:hint="eastAsia" w:ascii="黑体" w:hAnsi="黑体" w:eastAsia="黑体"/>
          <w:sz w:val="21"/>
          <w:szCs w:val="21"/>
          <w:lang w:eastAsia="zh-Hans"/>
        </w:rPr>
      </w:pPr>
    </w:p>
    <w:p>
      <w:pPr>
        <w:pStyle w:val="3"/>
        <w:spacing w:line="276" w:lineRule="auto"/>
        <w:ind w:firstLine="0"/>
        <w:jc w:val="center"/>
        <w:rPr>
          <w:rFonts w:hint="eastAsia" w:ascii="黑体" w:hAnsi="黑体" w:eastAsia="黑体"/>
          <w:sz w:val="21"/>
          <w:szCs w:val="21"/>
          <w:lang w:eastAsia="zh-Hans"/>
        </w:rPr>
      </w:pPr>
    </w:p>
    <w:p>
      <w:pPr>
        <w:ind w:firstLine="565" w:firstLineChars="202"/>
        <w:rPr>
          <w:rFonts w:hint="eastAsia" w:ascii="宋体" w:hAnsi="宋体" w:eastAsia="宋体"/>
          <w:sz w:val="28"/>
          <w:szCs w:val="28"/>
          <w:lang w:eastAsia="zh-CN"/>
        </w:rPr>
      </w:pPr>
    </w:p>
    <w:p>
      <w:pPr>
        <w:ind w:firstLine="565" w:firstLineChars="202"/>
        <w:rPr>
          <w:rFonts w:hint="eastAsia" w:ascii="宋体" w:hAnsi="宋体" w:eastAsia="宋体"/>
          <w:sz w:val="28"/>
          <w:szCs w:val="28"/>
          <w:lang w:eastAsia="zh-CN"/>
        </w:rPr>
      </w:pPr>
      <w:r>
        <w:rPr>
          <w:rFonts w:hint="eastAsia" w:ascii="宋体" w:hAnsi="宋体" w:eastAsia="宋体"/>
          <w:sz w:val="28"/>
          <w:szCs w:val="28"/>
          <w:lang w:eastAsia="zh-CN"/>
        </w:rPr>
        <w:drawing>
          <wp:inline distT="0" distB="0" distL="114300" distR="114300">
            <wp:extent cx="5696585" cy="8805545"/>
            <wp:effectExtent l="0" t="0" r="18415" b="8255"/>
            <wp:docPr id="6" name="图片 6" descr="图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5"/>
                    <pic:cNvPicPr>
                      <a:picLocks noChangeAspect="1"/>
                    </pic:cNvPicPr>
                  </pic:nvPicPr>
                  <pic:blipFill>
                    <a:blip r:embed="rId12"/>
                    <a:stretch>
                      <a:fillRect/>
                    </a:stretch>
                  </pic:blipFill>
                  <pic:spPr>
                    <a:xfrm>
                      <a:off x="0" y="0"/>
                      <a:ext cx="5696585" cy="8805545"/>
                    </a:xfrm>
                    <a:prstGeom prst="rect">
                      <a:avLst/>
                    </a:prstGeom>
                  </pic:spPr>
                </pic:pic>
              </a:graphicData>
            </a:graphic>
          </wp:inline>
        </w:drawing>
      </w:r>
    </w:p>
    <w:p>
      <w:pPr>
        <w:pStyle w:val="3"/>
        <w:spacing w:line="276" w:lineRule="auto"/>
        <w:ind w:firstLine="0"/>
        <w:jc w:val="center"/>
        <w:rPr>
          <w:rFonts w:hint="eastAsia" w:ascii="黑体" w:hAnsi="黑体" w:eastAsia="黑体"/>
          <w:sz w:val="21"/>
          <w:szCs w:val="21"/>
          <w:lang w:eastAsia="zh-Hans"/>
        </w:rPr>
      </w:pPr>
      <w:r>
        <w:rPr>
          <w:rFonts w:hint="eastAsia" w:ascii="Times New Roman" w:eastAsia="黑体"/>
          <w:sz w:val="21"/>
          <w:szCs w:val="21"/>
        </w:rPr>
        <w:t>图</w:t>
      </w:r>
      <w:r>
        <w:rPr>
          <w:rFonts w:hint="eastAsia" w:ascii="Times New Roman" w:eastAsia="黑体"/>
          <w:sz w:val="21"/>
          <w:szCs w:val="21"/>
          <w:lang w:val="en-US" w:eastAsia="zh-CN"/>
        </w:rPr>
        <w:t>5</w:t>
      </w:r>
      <w:r>
        <w:rPr>
          <w:rFonts w:ascii="Times New Roman" w:eastAsia="黑体"/>
          <w:sz w:val="21"/>
          <w:szCs w:val="21"/>
        </w:rPr>
        <w:t xml:space="preserve"> </w:t>
      </w:r>
      <w:r>
        <w:rPr>
          <w:rFonts w:hint="eastAsia" w:ascii="黑体" w:hAnsi="黑体" w:eastAsia="黑体"/>
          <w:sz w:val="21"/>
          <w:szCs w:val="21"/>
          <w:lang w:eastAsia="zh-Hans"/>
        </w:rPr>
        <w:t>本发明基于无感更新的微应用加载系统的模块架构图</w:t>
      </w:r>
    </w:p>
    <w:p>
      <w:pPr>
        <w:ind w:firstLine="565" w:firstLineChars="202"/>
        <w:rPr>
          <w:rFonts w:hint="eastAsia" w:ascii="宋体" w:hAnsi="宋体" w:eastAsia="宋体"/>
          <w:sz w:val="28"/>
          <w:szCs w:val="28"/>
          <w:lang w:eastAsia="zh-CN"/>
        </w:rPr>
      </w:pPr>
    </w:p>
    <w:p>
      <w:pPr>
        <w:ind w:firstLine="565" w:firstLineChars="202"/>
        <w:rPr>
          <w:rFonts w:hint="eastAsia" w:ascii="宋体" w:hAnsi="宋体" w:eastAsia="宋体"/>
          <w:sz w:val="28"/>
          <w:szCs w:val="28"/>
          <w:lang w:eastAsia="zh-CN"/>
        </w:rPr>
      </w:pPr>
      <w:r>
        <w:rPr>
          <w:rFonts w:hint="eastAsia" w:ascii="宋体" w:hAnsi="宋体" w:eastAsia="宋体"/>
          <w:sz w:val="28"/>
          <w:szCs w:val="28"/>
          <w:lang w:eastAsia="zh-CN"/>
        </w:rPr>
        <w:drawing>
          <wp:inline distT="0" distB="0" distL="114300" distR="114300">
            <wp:extent cx="5696585" cy="6519545"/>
            <wp:effectExtent l="0" t="0" r="18415" b="8255"/>
            <wp:docPr id="7" name="图片 7" descr="图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图6"/>
                    <pic:cNvPicPr>
                      <a:picLocks noChangeAspect="1"/>
                    </pic:cNvPicPr>
                  </pic:nvPicPr>
                  <pic:blipFill>
                    <a:blip r:embed="rId13"/>
                    <a:stretch>
                      <a:fillRect/>
                    </a:stretch>
                  </pic:blipFill>
                  <pic:spPr>
                    <a:xfrm>
                      <a:off x="0" y="0"/>
                      <a:ext cx="5696585" cy="6519545"/>
                    </a:xfrm>
                    <a:prstGeom prst="rect">
                      <a:avLst/>
                    </a:prstGeom>
                  </pic:spPr>
                </pic:pic>
              </a:graphicData>
            </a:graphic>
          </wp:inline>
        </w:drawing>
      </w:r>
    </w:p>
    <w:p>
      <w:pPr>
        <w:pStyle w:val="3"/>
        <w:spacing w:line="276" w:lineRule="auto"/>
        <w:ind w:firstLine="0"/>
        <w:jc w:val="center"/>
        <w:rPr>
          <w:rFonts w:hint="eastAsia" w:ascii="黑体" w:hAnsi="黑体" w:eastAsia="黑体"/>
          <w:sz w:val="21"/>
          <w:szCs w:val="21"/>
          <w:lang w:eastAsia="zh-Hans"/>
        </w:rPr>
      </w:pPr>
      <w:r>
        <w:rPr>
          <w:rFonts w:hint="eastAsia" w:ascii="Times New Roman" w:eastAsia="黑体"/>
          <w:sz w:val="21"/>
          <w:szCs w:val="21"/>
        </w:rPr>
        <w:t>图</w:t>
      </w:r>
      <w:r>
        <w:rPr>
          <w:rFonts w:hint="eastAsia" w:ascii="Times New Roman" w:eastAsia="黑体"/>
          <w:sz w:val="21"/>
          <w:szCs w:val="21"/>
          <w:lang w:val="en-US" w:eastAsia="zh-CN"/>
        </w:rPr>
        <w:t>6</w:t>
      </w:r>
      <w:r>
        <w:rPr>
          <w:rFonts w:ascii="Times New Roman" w:eastAsia="黑体"/>
          <w:sz w:val="21"/>
          <w:szCs w:val="21"/>
        </w:rPr>
        <w:t xml:space="preserve"> </w:t>
      </w:r>
      <w:r>
        <w:rPr>
          <w:rFonts w:hint="eastAsia" w:ascii="黑体" w:hAnsi="黑体" w:eastAsia="黑体"/>
          <w:sz w:val="21"/>
          <w:szCs w:val="21"/>
          <w:lang w:eastAsia="zh-Hans"/>
        </w:rPr>
        <w:t>现有技术微应用热更新流程示意图</w:t>
      </w:r>
    </w:p>
    <w:p>
      <w:pPr>
        <w:ind w:firstLine="565" w:firstLineChars="202"/>
        <w:rPr>
          <w:rFonts w:hint="eastAsia" w:ascii="宋体" w:hAnsi="宋体" w:eastAsia="宋体"/>
          <w:sz w:val="28"/>
          <w:szCs w:val="28"/>
          <w:lang w:eastAsia="zh-CN"/>
        </w:rPr>
      </w:pPr>
      <w:bookmarkStart w:id="1" w:name="_GoBack"/>
      <w:bookmarkEnd w:id="1"/>
    </w:p>
    <w:p>
      <w:pPr>
        <w:ind w:firstLine="565" w:firstLineChars="202"/>
        <w:rPr>
          <w:rFonts w:hint="eastAsia" w:ascii="宋体" w:hAnsi="宋体" w:eastAsia="宋体"/>
          <w:sz w:val="28"/>
          <w:szCs w:val="28"/>
          <w:lang w:eastAsia="zh-CN"/>
        </w:rPr>
      </w:pPr>
    </w:p>
    <w:sectPr>
      <w:pgSz w:w="11906" w:h="16838"/>
      <w:pgMar w:top="1304" w:right="1274" w:bottom="1021" w:left="1418" w:header="851" w:footer="851"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0" w:usb1="00000000" w:usb2="0000001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ongti SC">
    <w:panose1 w:val="02010800040101010101"/>
    <w:charset w:val="86"/>
    <w:family w:val="auto"/>
    <w:pitch w:val="default"/>
    <w:sig w:usb0="00000001" w:usb1="080F0000" w:usb2="00000000" w:usb3="00000000" w:csb0="0004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framePr w:wrap="around" w:vAnchor="text" w:hAnchor="margin" w:xAlign="center" w:y="1"/>
      <w:rPr>
        <w:rStyle w:val="9"/>
      </w:rPr>
    </w:pPr>
    <w:r>
      <w:rPr>
        <w:rStyle w:val="9"/>
      </w:rPr>
      <w:fldChar w:fldCharType="begin"/>
    </w:r>
    <w:r>
      <w:rPr>
        <w:rStyle w:val="9"/>
      </w:rPr>
      <w:instrText xml:space="preserve">PAGE  </w:instrText>
    </w:r>
    <w:r>
      <w:rPr>
        <w:rStyle w:val="9"/>
      </w:rPr>
      <w:fldChar w:fldCharType="separate"/>
    </w:r>
    <w:r>
      <w:rPr>
        <w:rStyle w:val="9"/>
      </w:rPr>
      <w:t>2</w:t>
    </w:r>
    <w:r>
      <w:rPr>
        <w:rStyle w:val="9"/>
      </w:rPr>
      <w:fldChar w:fldCharType="end"/>
    </w:r>
  </w:p>
  <w:p>
    <w:pPr>
      <w:pStyle w:val="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framePr w:wrap="around" w:vAnchor="text" w:hAnchor="margin" w:xAlign="center" w:y="1"/>
      <w:rPr>
        <w:rStyle w:val="9"/>
      </w:rPr>
    </w:pPr>
    <w:r>
      <w:rPr>
        <w:rStyle w:val="9"/>
      </w:rPr>
      <w:fldChar w:fldCharType="begin"/>
    </w:r>
    <w:r>
      <w:rPr>
        <w:rStyle w:val="9"/>
      </w:rPr>
      <w:instrText xml:space="preserve">PAGE  </w:instrText>
    </w:r>
    <w:r>
      <w:rPr>
        <w:rStyle w:val="9"/>
      </w:rPr>
      <w:fldChar w:fldCharType="separate"/>
    </w:r>
    <w:r>
      <w:rPr>
        <w:rStyle w:val="9"/>
      </w:rPr>
      <w:t>1</w:t>
    </w:r>
    <w:r>
      <w:rPr>
        <w:rStyle w:val="9"/>
      </w:rPr>
      <w:fldChar w:fldCharType="end"/>
    </w:r>
  </w:p>
  <w:p>
    <w:pPr>
      <w:pStyle w:val="4"/>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4"/>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425"/>
  <w:hyphenationZone w:val="36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4F5C"/>
    <w:rsid w:val="00000A97"/>
    <w:rsid w:val="000055C0"/>
    <w:rsid w:val="00012668"/>
    <w:rsid w:val="00015D38"/>
    <w:rsid w:val="0002005A"/>
    <w:rsid w:val="00025762"/>
    <w:rsid w:val="00026172"/>
    <w:rsid w:val="00046667"/>
    <w:rsid w:val="00050294"/>
    <w:rsid w:val="000769E2"/>
    <w:rsid w:val="000860DA"/>
    <w:rsid w:val="00091E6A"/>
    <w:rsid w:val="000B3ABA"/>
    <w:rsid w:val="000B4F5C"/>
    <w:rsid w:val="000C0CCC"/>
    <w:rsid w:val="000C1240"/>
    <w:rsid w:val="000C47CE"/>
    <w:rsid w:val="000C649D"/>
    <w:rsid w:val="000C6B60"/>
    <w:rsid w:val="000E4CC6"/>
    <w:rsid w:val="000E5FEA"/>
    <w:rsid w:val="000F60F6"/>
    <w:rsid w:val="00101933"/>
    <w:rsid w:val="0010674B"/>
    <w:rsid w:val="00117CA6"/>
    <w:rsid w:val="001210B8"/>
    <w:rsid w:val="0013612B"/>
    <w:rsid w:val="001422E1"/>
    <w:rsid w:val="0014734C"/>
    <w:rsid w:val="00152127"/>
    <w:rsid w:val="00153B04"/>
    <w:rsid w:val="001572C0"/>
    <w:rsid w:val="00161A03"/>
    <w:rsid w:val="001865C4"/>
    <w:rsid w:val="001969D4"/>
    <w:rsid w:val="001A0E09"/>
    <w:rsid w:val="001A2505"/>
    <w:rsid w:val="001B06FE"/>
    <w:rsid w:val="001B627B"/>
    <w:rsid w:val="001C04A7"/>
    <w:rsid w:val="001C782D"/>
    <w:rsid w:val="001D0C6D"/>
    <w:rsid w:val="001E36E6"/>
    <w:rsid w:val="0021088D"/>
    <w:rsid w:val="002133BB"/>
    <w:rsid w:val="00216B9F"/>
    <w:rsid w:val="002212AB"/>
    <w:rsid w:val="00221BD8"/>
    <w:rsid w:val="00224563"/>
    <w:rsid w:val="00233FE5"/>
    <w:rsid w:val="00244D85"/>
    <w:rsid w:val="00270A11"/>
    <w:rsid w:val="00296671"/>
    <w:rsid w:val="00297193"/>
    <w:rsid w:val="002D315B"/>
    <w:rsid w:val="002D5C78"/>
    <w:rsid w:val="002D6282"/>
    <w:rsid w:val="003015EB"/>
    <w:rsid w:val="0031450F"/>
    <w:rsid w:val="00332705"/>
    <w:rsid w:val="003330FB"/>
    <w:rsid w:val="003426E2"/>
    <w:rsid w:val="0034658E"/>
    <w:rsid w:val="003518F3"/>
    <w:rsid w:val="00354C2A"/>
    <w:rsid w:val="003751EA"/>
    <w:rsid w:val="00377FD0"/>
    <w:rsid w:val="003804CF"/>
    <w:rsid w:val="00391F87"/>
    <w:rsid w:val="00395BE8"/>
    <w:rsid w:val="003A15ED"/>
    <w:rsid w:val="003B4055"/>
    <w:rsid w:val="003B6591"/>
    <w:rsid w:val="003C344A"/>
    <w:rsid w:val="003D1839"/>
    <w:rsid w:val="003D6493"/>
    <w:rsid w:val="003E43DB"/>
    <w:rsid w:val="003E5659"/>
    <w:rsid w:val="003E7376"/>
    <w:rsid w:val="003E7C9E"/>
    <w:rsid w:val="004034FB"/>
    <w:rsid w:val="0040788F"/>
    <w:rsid w:val="004155C3"/>
    <w:rsid w:val="00420858"/>
    <w:rsid w:val="00431E75"/>
    <w:rsid w:val="00443562"/>
    <w:rsid w:val="0045116B"/>
    <w:rsid w:val="00456C56"/>
    <w:rsid w:val="00462ABE"/>
    <w:rsid w:val="00464D92"/>
    <w:rsid w:val="004756A7"/>
    <w:rsid w:val="00482FF8"/>
    <w:rsid w:val="00485694"/>
    <w:rsid w:val="00492CE4"/>
    <w:rsid w:val="00493F1B"/>
    <w:rsid w:val="004A226A"/>
    <w:rsid w:val="004A2C35"/>
    <w:rsid w:val="004B0824"/>
    <w:rsid w:val="004B7BB1"/>
    <w:rsid w:val="004C092F"/>
    <w:rsid w:val="004D126A"/>
    <w:rsid w:val="004D1A6F"/>
    <w:rsid w:val="004D3FBB"/>
    <w:rsid w:val="004E2060"/>
    <w:rsid w:val="004E3858"/>
    <w:rsid w:val="004F3C2A"/>
    <w:rsid w:val="004F6289"/>
    <w:rsid w:val="004F6506"/>
    <w:rsid w:val="004F705A"/>
    <w:rsid w:val="00520DB7"/>
    <w:rsid w:val="00522236"/>
    <w:rsid w:val="00525A1C"/>
    <w:rsid w:val="00537F07"/>
    <w:rsid w:val="00541AC8"/>
    <w:rsid w:val="00543B20"/>
    <w:rsid w:val="00562562"/>
    <w:rsid w:val="0056547E"/>
    <w:rsid w:val="005874FC"/>
    <w:rsid w:val="00592758"/>
    <w:rsid w:val="00592F76"/>
    <w:rsid w:val="005C65C5"/>
    <w:rsid w:val="005E50D9"/>
    <w:rsid w:val="005F2726"/>
    <w:rsid w:val="005F6E1E"/>
    <w:rsid w:val="00606447"/>
    <w:rsid w:val="00620A5A"/>
    <w:rsid w:val="00623AE7"/>
    <w:rsid w:val="00625394"/>
    <w:rsid w:val="00627A04"/>
    <w:rsid w:val="00636EC5"/>
    <w:rsid w:val="0068435C"/>
    <w:rsid w:val="006956E7"/>
    <w:rsid w:val="00695762"/>
    <w:rsid w:val="006A6919"/>
    <w:rsid w:val="006A7FA3"/>
    <w:rsid w:val="006B0A62"/>
    <w:rsid w:val="006D6133"/>
    <w:rsid w:val="006D6F33"/>
    <w:rsid w:val="006F31C6"/>
    <w:rsid w:val="00702890"/>
    <w:rsid w:val="007079A3"/>
    <w:rsid w:val="007247BB"/>
    <w:rsid w:val="00735C3E"/>
    <w:rsid w:val="007523D3"/>
    <w:rsid w:val="00760411"/>
    <w:rsid w:val="0078094B"/>
    <w:rsid w:val="00782CDD"/>
    <w:rsid w:val="00786202"/>
    <w:rsid w:val="007A5ED5"/>
    <w:rsid w:val="007A66F9"/>
    <w:rsid w:val="007B0234"/>
    <w:rsid w:val="007B78E3"/>
    <w:rsid w:val="007C5B79"/>
    <w:rsid w:val="007D1963"/>
    <w:rsid w:val="007D4323"/>
    <w:rsid w:val="007E1624"/>
    <w:rsid w:val="007E71CE"/>
    <w:rsid w:val="008050BF"/>
    <w:rsid w:val="00815A35"/>
    <w:rsid w:val="00827379"/>
    <w:rsid w:val="00834856"/>
    <w:rsid w:val="008419D2"/>
    <w:rsid w:val="00850DAC"/>
    <w:rsid w:val="00855199"/>
    <w:rsid w:val="0085677C"/>
    <w:rsid w:val="00871B60"/>
    <w:rsid w:val="00873583"/>
    <w:rsid w:val="00884B19"/>
    <w:rsid w:val="00891447"/>
    <w:rsid w:val="00892323"/>
    <w:rsid w:val="008944C5"/>
    <w:rsid w:val="008C2888"/>
    <w:rsid w:val="00902906"/>
    <w:rsid w:val="00903340"/>
    <w:rsid w:val="00905CFB"/>
    <w:rsid w:val="00912663"/>
    <w:rsid w:val="009149FD"/>
    <w:rsid w:val="00914A9D"/>
    <w:rsid w:val="00920661"/>
    <w:rsid w:val="00921257"/>
    <w:rsid w:val="00921519"/>
    <w:rsid w:val="00933DA2"/>
    <w:rsid w:val="00954E1F"/>
    <w:rsid w:val="009603D2"/>
    <w:rsid w:val="009C03B4"/>
    <w:rsid w:val="009C747E"/>
    <w:rsid w:val="009D58E6"/>
    <w:rsid w:val="009F2969"/>
    <w:rsid w:val="009F42BB"/>
    <w:rsid w:val="00A314B9"/>
    <w:rsid w:val="00A4250E"/>
    <w:rsid w:val="00A55F36"/>
    <w:rsid w:val="00A57985"/>
    <w:rsid w:val="00A72CE5"/>
    <w:rsid w:val="00A76054"/>
    <w:rsid w:val="00A7628F"/>
    <w:rsid w:val="00A85296"/>
    <w:rsid w:val="00A957F6"/>
    <w:rsid w:val="00AC384F"/>
    <w:rsid w:val="00AD3D9F"/>
    <w:rsid w:val="00AD4E9C"/>
    <w:rsid w:val="00AD6DB4"/>
    <w:rsid w:val="00AE40C2"/>
    <w:rsid w:val="00AE7F88"/>
    <w:rsid w:val="00AF67C8"/>
    <w:rsid w:val="00B01BAF"/>
    <w:rsid w:val="00B24785"/>
    <w:rsid w:val="00B24F46"/>
    <w:rsid w:val="00B26993"/>
    <w:rsid w:val="00B27469"/>
    <w:rsid w:val="00B37179"/>
    <w:rsid w:val="00B40E78"/>
    <w:rsid w:val="00B504A6"/>
    <w:rsid w:val="00B55420"/>
    <w:rsid w:val="00B675FE"/>
    <w:rsid w:val="00B74A6C"/>
    <w:rsid w:val="00B94943"/>
    <w:rsid w:val="00BA079E"/>
    <w:rsid w:val="00BA5F4A"/>
    <w:rsid w:val="00BC3255"/>
    <w:rsid w:val="00BE7A3A"/>
    <w:rsid w:val="00C01429"/>
    <w:rsid w:val="00C15137"/>
    <w:rsid w:val="00C2414D"/>
    <w:rsid w:val="00C24700"/>
    <w:rsid w:val="00C27C00"/>
    <w:rsid w:val="00C43163"/>
    <w:rsid w:val="00C464EE"/>
    <w:rsid w:val="00C46846"/>
    <w:rsid w:val="00C53438"/>
    <w:rsid w:val="00C57F87"/>
    <w:rsid w:val="00C725E1"/>
    <w:rsid w:val="00C76187"/>
    <w:rsid w:val="00C76584"/>
    <w:rsid w:val="00C8664D"/>
    <w:rsid w:val="00C87497"/>
    <w:rsid w:val="00C87C8B"/>
    <w:rsid w:val="00C93DA3"/>
    <w:rsid w:val="00C95B27"/>
    <w:rsid w:val="00C97505"/>
    <w:rsid w:val="00CA0440"/>
    <w:rsid w:val="00CA3DB6"/>
    <w:rsid w:val="00CB191E"/>
    <w:rsid w:val="00CB3F74"/>
    <w:rsid w:val="00CC2B7B"/>
    <w:rsid w:val="00CD7257"/>
    <w:rsid w:val="00CE583F"/>
    <w:rsid w:val="00CF0A87"/>
    <w:rsid w:val="00D20995"/>
    <w:rsid w:val="00D229EB"/>
    <w:rsid w:val="00D26B89"/>
    <w:rsid w:val="00D36AB6"/>
    <w:rsid w:val="00D40E3D"/>
    <w:rsid w:val="00D51AFD"/>
    <w:rsid w:val="00D77215"/>
    <w:rsid w:val="00D8753E"/>
    <w:rsid w:val="00DB3FF8"/>
    <w:rsid w:val="00DC3BD7"/>
    <w:rsid w:val="00DE15B8"/>
    <w:rsid w:val="00DE3509"/>
    <w:rsid w:val="00DF400D"/>
    <w:rsid w:val="00E01C5D"/>
    <w:rsid w:val="00E3221C"/>
    <w:rsid w:val="00E36652"/>
    <w:rsid w:val="00E45F47"/>
    <w:rsid w:val="00E76752"/>
    <w:rsid w:val="00E9118C"/>
    <w:rsid w:val="00ED3E6C"/>
    <w:rsid w:val="00EE148D"/>
    <w:rsid w:val="00EE42A6"/>
    <w:rsid w:val="00EE748D"/>
    <w:rsid w:val="00EF5BC3"/>
    <w:rsid w:val="00F04C9E"/>
    <w:rsid w:val="00F2023D"/>
    <w:rsid w:val="00F33A5C"/>
    <w:rsid w:val="00F34024"/>
    <w:rsid w:val="00F40CDD"/>
    <w:rsid w:val="00F440E2"/>
    <w:rsid w:val="00F47FEF"/>
    <w:rsid w:val="00F5474E"/>
    <w:rsid w:val="00F561EF"/>
    <w:rsid w:val="00F57012"/>
    <w:rsid w:val="00F5721B"/>
    <w:rsid w:val="00F611A6"/>
    <w:rsid w:val="00F679D3"/>
    <w:rsid w:val="00F76B85"/>
    <w:rsid w:val="00F9317C"/>
    <w:rsid w:val="00F95FEC"/>
    <w:rsid w:val="00FA12CF"/>
    <w:rsid w:val="00FB7514"/>
    <w:rsid w:val="00FD427A"/>
    <w:rsid w:val="00FF2028"/>
    <w:rsid w:val="031840A6"/>
    <w:rsid w:val="0F2740E3"/>
    <w:rsid w:val="0F321930"/>
    <w:rsid w:val="166B57F0"/>
    <w:rsid w:val="199D723C"/>
    <w:rsid w:val="1DFE0F43"/>
    <w:rsid w:val="1E980812"/>
    <w:rsid w:val="21987726"/>
    <w:rsid w:val="25272116"/>
    <w:rsid w:val="2A765238"/>
    <w:rsid w:val="2CA448DC"/>
    <w:rsid w:val="355703EC"/>
    <w:rsid w:val="36AF1175"/>
    <w:rsid w:val="3961212F"/>
    <w:rsid w:val="3A04449D"/>
    <w:rsid w:val="3BEA1BD6"/>
    <w:rsid w:val="3E481A93"/>
    <w:rsid w:val="410150B4"/>
    <w:rsid w:val="416C7D59"/>
    <w:rsid w:val="433402DB"/>
    <w:rsid w:val="45452D9D"/>
    <w:rsid w:val="48E6143F"/>
    <w:rsid w:val="4AF87A9C"/>
    <w:rsid w:val="4C8E5CA5"/>
    <w:rsid w:val="4DFBB677"/>
    <w:rsid w:val="4F485069"/>
    <w:rsid w:val="4FD5EFBC"/>
    <w:rsid w:val="53B50F5F"/>
    <w:rsid w:val="55B27071"/>
    <w:rsid w:val="562C0AAF"/>
    <w:rsid w:val="582421C2"/>
    <w:rsid w:val="5D6A9EF1"/>
    <w:rsid w:val="69A27DD9"/>
    <w:rsid w:val="6CEF8017"/>
    <w:rsid w:val="6D7F6FC6"/>
    <w:rsid w:val="704F4E30"/>
    <w:rsid w:val="72A9547E"/>
    <w:rsid w:val="777D423E"/>
    <w:rsid w:val="777F75DA"/>
    <w:rsid w:val="7C872FAC"/>
    <w:rsid w:val="7D3D2AB2"/>
    <w:rsid w:val="7ECF7667"/>
    <w:rsid w:val="7FFFBAC9"/>
    <w:rsid w:val="99BDB156"/>
    <w:rsid w:val="ADB72BEC"/>
    <w:rsid w:val="C5F1A246"/>
    <w:rsid w:val="D95BFE1E"/>
    <w:rsid w:val="E69F1DB1"/>
    <w:rsid w:val="ECE89FC3"/>
    <w:rsid w:val="EDE7ECC9"/>
    <w:rsid w:val="FEBF0417"/>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character" w:default="1" w:styleId="8">
    <w:name w:val="Default Paragraph Font"/>
    <w:semiHidden/>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2">
    <w:name w:val="Body Text Indent"/>
    <w:basedOn w:val="1"/>
    <w:qFormat/>
    <w:uiPriority w:val="0"/>
    <w:pPr>
      <w:spacing w:line="600" w:lineRule="exact"/>
      <w:ind w:firstLine="570"/>
    </w:pPr>
    <w:rPr>
      <w:sz w:val="28"/>
    </w:rPr>
  </w:style>
  <w:style w:type="paragraph" w:styleId="3">
    <w:name w:val="Body Text Indent 2"/>
    <w:basedOn w:val="1"/>
    <w:qFormat/>
    <w:uiPriority w:val="0"/>
    <w:pPr>
      <w:autoSpaceDE w:val="0"/>
      <w:autoSpaceDN w:val="0"/>
      <w:ind w:firstLine="480"/>
      <w:textAlignment w:val="bottom"/>
    </w:pPr>
    <w:rPr>
      <w:rFonts w:ascii="宋体"/>
      <w:sz w:val="28"/>
    </w:r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link w:val="10"/>
    <w:qFormat/>
    <w:uiPriority w:val="0"/>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customStyle="1" w:styleId="10">
    <w:name w:val="页眉 Char"/>
    <w:link w:val="5"/>
    <w:qFormat/>
    <w:uiPriority w:val="0"/>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sipo</Company>
  <Pages>4</Pages>
  <Words>201</Words>
  <Characters>1146</Characters>
  <Lines>9</Lines>
  <Paragraphs>2</Paragraphs>
  <TotalTime>1</TotalTime>
  <ScaleCrop>false</ScaleCrop>
  <LinksUpToDate>false</LinksUpToDate>
  <CharactersWithSpaces>1345</CharactersWithSpaces>
  <Application>WPS Office_6.2.2.8394_F1E327BC-269C-435d-A152-05C5408002CA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2018-01-12T18:07:00Z</dcterms:created>
  <dc:creator>李胜军</dc:creator>
  <cp:lastModifiedBy>MTC</cp:lastModifiedBy>
  <cp:lastPrinted>2001-08-16T17:35:00Z</cp:lastPrinted>
  <dcterms:modified xsi:type="dcterms:W3CDTF">2026-04-15T15:15:16Z</dcterms:modified>
  <dc:title>说   明   书   附   图</dc:title>
  <cp:revision>117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2052-6.2.2.8394</vt:lpwstr>
  </property>
  <property fmtid="{D5CDD505-2E9C-101B-9397-08002B2CF9AE}" pid="3" name="ICV">
    <vt:lpwstr>3081D216F4504141BFC02BAF1BCCC51A</vt:lpwstr>
  </property>
</Properties>
</file>