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304" w:right="851" w:bottom="1021" w:left="1418" w:header="851" w:footer="851" w:gutter="0"/>
          <w:cols w:space="720" w:num="1"/>
          <w:docGrid w:type="lines" w:linePitch="312" w:charSpace="0"/>
        </w:sectPr>
      </w:pPr>
      <w:r>
        <w:rPr>
          <w:rFonts w:ascii="宋体" w:hAnsi="宋体"/>
          <w:sz w:val="28"/>
          <w:szCs w:val="28"/>
        </w:rPr>
        <w:object>
          <v:shape id="_x0000_i1025" o:spt="75" type="#_x0000_t75" style="height:528.1pt;width:424.65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Excel.Sheet.8" ShapeID="_x0000_i1025" DrawAspect="Content" ObjectID="_1468075725" r:id="rId6">
            <o:LockedField>false</o:LockedField>
          </o:OLEObject>
        </w:object>
      </w:r>
      <w:bookmarkStart w:id="0" w:name="_1526305719"/>
      <w:bookmarkEnd w:id="0"/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专利技术交底书（模板）</w:t>
      </w:r>
    </w:p>
    <w:p>
      <w:pPr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0"/>
                <wp:effectExtent l="0" t="9525" r="0" b="952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0pt;height:0pt;width:477pt;z-index:251659264;mso-width-relative:page;mso-height-relative:page;" filled="f" stroked="t" coordsize="21600,21600" o:allowincell="f" o:gfxdata="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FgAAAGRycy9QSwECFAAU&#10;AAAACACHTuJA4b5uCtAAAAACAQAADwAAAAAAAAABACAAAAA4AAAAZHJzL2Rvd25yZXYueG1sUEsB&#10;AhQAFAAAAAgAh07iQO+kN/jnAQAA3AMAAA4AAAAAAAAAAQAgAAAANQEAAGRycy9lMm9Eb2MueG1s&#10;UEsFBgAAAAAGAAYAWQEAAI4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3"/>
        <w:spacing w:line="360" w:lineRule="auto"/>
        <w:ind w:firstLine="0"/>
        <w:jc w:val="center"/>
        <w:rPr>
          <w:rFonts w:hint="eastAsia" w:hAnsi="宋体"/>
          <w:b/>
          <w:color w:val="FF0000"/>
          <w:szCs w:val="28"/>
        </w:rPr>
      </w:pPr>
      <w:r>
        <w:rPr>
          <w:rFonts w:hint="eastAsia" w:hAnsi="宋体"/>
          <w:b/>
          <w:color w:val="auto"/>
          <w:szCs w:val="28"/>
          <w:lang w:val="en-US" w:eastAsia="zh-CN"/>
        </w:rPr>
        <w:t>一种基于状态锁的微应用无感加载更新方法及系统</w:t>
      </w:r>
    </w:p>
    <w:p>
      <w:pPr>
        <w:pStyle w:val="3"/>
        <w:numPr>
          <w:numId w:val="0"/>
        </w:numPr>
        <w:spacing w:line="360" w:lineRule="auto"/>
        <w:ind w:leftChars="0"/>
        <w:rPr>
          <w:rFonts w:hint="eastAsia" w:hAnsi="宋体" w:eastAsia="宋体"/>
          <w:b/>
          <w:szCs w:val="28"/>
          <w:lang w:val="en-US" w:eastAsia="zh-CN"/>
        </w:rPr>
      </w:pPr>
      <w:r>
        <w:rPr>
          <w:rFonts w:hint="eastAsia" w:hAnsi="宋体"/>
          <w:b/>
          <w:szCs w:val="28"/>
        </w:rPr>
        <w:t>技术领域</w:t>
      </w:r>
      <w:r>
        <w:rPr>
          <w:rFonts w:hint="eastAsia" w:hAnsi="宋体"/>
          <w:b/>
          <w:szCs w:val="28"/>
          <w:lang w:val="en-US" w:eastAsia="zh-CN"/>
        </w:rPr>
        <w:t>: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eastAsia" w:hAnsi="宋体"/>
          <w:color w:val="auto"/>
          <w:szCs w:val="28"/>
        </w:rPr>
      </w:pPr>
      <w:r>
        <w:rPr>
          <w:rFonts w:hint="eastAsia" w:hAnsi="宋体"/>
          <w:color w:val="auto"/>
          <w:szCs w:val="28"/>
        </w:rPr>
        <w:t>本发明涉及移动互联网APP内嵌微应用更新加载技术，特指针对移动端首页常驻、高频运行、高稳定性要求的微应用，提供零冲突、故障自恢复的无感更新与安全加载方案，适用于安卓、iOS双平台全品类APP（包括但不限于电商、生活服务、社交、办公类APP）。</w:t>
      </w:r>
    </w:p>
    <w:p>
      <w:pPr>
        <w:pStyle w:val="3"/>
        <w:spacing w:line="360" w:lineRule="auto"/>
        <w:ind w:left="0" w:leftChars="0" w:firstLine="0" w:firstLineChars="0"/>
        <w:rPr>
          <w:rFonts w:hint="eastAsia" w:hAnsi="宋体"/>
          <w:color w:val="auto"/>
          <w:szCs w:val="28"/>
        </w:rPr>
      </w:pPr>
    </w:p>
    <w:p>
      <w:pPr>
        <w:pStyle w:val="3"/>
        <w:spacing w:line="360" w:lineRule="auto"/>
        <w:ind w:left="0" w:leftChars="0" w:firstLine="0" w:firstLineChars="0"/>
        <w:rPr>
          <w:rFonts w:hint="eastAsia" w:hAnsi="宋体" w:eastAsia="宋体"/>
          <w:b/>
          <w:szCs w:val="28"/>
          <w:lang w:val="en-US" w:eastAsia="zh-CN"/>
        </w:rPr>
      </w:pPr>
      <w:r>
        <w:rPr>
          <w:rFonts w:hint="eastAsia" w:hAnsi="宋体"/>
          <w:b/>
          <w:szCs w:val="28"/>
        </w:rPr>
        <w:t>背景技术</w:t>
      </w:r>
      <w:r>
        <w:rPr>
          <w:rFonts w:hint="eastAsia" w:hAnsi="宋体"/>
          <w:b/>
          <w:szCs w:val="28"/>
          <w:lang w:val="en-US" w:eastAsia="zh-CN"/>
        </w:rPr>
        <w:t>: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现有微应用热更新技术普遍采用后台下载、目录存储、重启生效的常规逻辑，结合对比文件D1（CN108037934A，一种应用程序更新的方法和装置）、D2（CN115113898A，微应用的动态更新方法、装置、计算机设备和存储介质）及行业通用方案，经分析发现存在未被解决的核心技术缺陷，具体如下：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资源替换非完整性：版本替换过程中若出现APP崩溃、系统中断等异常，易导致资源半覆盖，引发微应用白屏、功能失效，且该问题无法自愈，需用户手动重启APP才能修复，严重影响用户体验。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并发访问无锁保护：微应用运行、新版本下载、资源解压、页面渲染等操作，易并发访问同一资源文件，产生脏数据、读写冲突，进而导致微应用卡顿、功能紊乱甚至APP整体崩溃。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  更新时机无智能管控：现有方案未考虑系统负载状态，在CPU占用率高、内存紧张等高负载场景下强行执行版本替换，易导致微应用加载卡顿、掉帧，甚至触发微应用容器异常。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  无故障自动回滚机制：新版本校验失败、替换中断后，无快速恢复机制，无法自动回滚至旧版本，必须依赖用户重启APP，导致业务中断，尤其不适用于首页常驻核心微应用场景。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上述核心缺陷均未被对比文件D1、D2公开或解决，属于行业内长期存在且未得到有效解决的通用痛点，本发明针对上述痛点提出全新技术方案，有效规避现有技术的局限。</w:t>
      </w:r>
    </w:p>
    <w:p>
      <w:pPr>
        <w:spacing w:after="156" w:afterLines="50" w:line="360" w:lineRule="auto"/>
        <w:rPr>
          <w:rFonts w:hint="eastAsia" w:ascii="宋体" w:hAnsi="宋体"/>
          <w:sz w:val="28"/>
          <w:szCs w:val="28"/>
        </w:rPr>
      </w:pPr>
    </w:p>
    <w:p>
      <w:pPr>
        <w:pStyle w:val="3"/>
        <w:spacing w:line="360" w:lineRule="auto"/>
        <w:ind w:left="0" w:leftChars="0" w:firstLine="0" w:firstLineChars="0"/>
        <w:rPr>
          <w:rFonts w:hint="eastAsia" w:hAnsi="宋体" w:eastAsia="宋体"/>
          <w:szCs w:val="28"/>
          <w:lang w:val="en-US" w:eastAsia="zh-CN"/>
        </w:rPr>
      </w:pPr>
      <w:r>
        <w:rPr>
          <w:rFonts w:hint="eastAsia" w:hAnsi="宋体"/>
          <w:b/>
          <w:szCs w:val="28"/>
        </w:rPr>
        <w:t>发明内容</w:t>
      </w:r>
      <w:r>
        <w:rPr>
          <w:rFonts w:hint="eastAsia" w:hAnsi="宋体"/>
          <w:b/>
          <w:szCs w:val="28"/>
          <w:lang w:val="en-US" w:eastAsia="zh-CN"/>
        </w:rPr>
        <w:t>: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一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发明目的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本发明的核心目的在于克服现有技术的上述缺陷，提供一种基于状态锁的微应用无感加载更新方法及系统，具体实现以下目标：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实现完整性版本替换，确保版本替换过程“要么完全成功，要么完全不替换”，杜绝资源半覆盖、资源损坏等问题；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通过资源状态锁机制，实现微应用运行与更新操作的互斥保护，从根源上消除并发读写冲突；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  智能判断版本替换时机，仅在系统空闲、APP后台闲置等低负载场景下执行替换，保障微应用运行流畅度；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  具备故障自动回滚能力，更新异常时可在100ms内自动回滚至上一稳定版本，保证业务不间断；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  全程实现无弹窗、无操作打断、无需重启APP/微应用的真无感更新，保障用户使用体验的连续性。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（二）</w:t>
      </w:r>
      <w:r>
        <w:rPr>
          <w:rFonts w:hint="eastAsia" w:ascii="宋体" w:hAnsi="宋体"/>
          <w:sz w:val="28"/>
          <w:szCs w:val="28"/>
        </w:rPr>
        <w:t>核心技术方案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本发明的核心创新架构为：双区存储 + 资源状态锁 + 智能时机管控 + 故障自回滚，四大核心机制协同配合，彻底解决现有技术痛点，具体技术方案如下：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双区存储架构：基于移动端APP沙盒机制，搭建相互物理隔离的两个存储区域——正式运行区与临时缓存区，两个区域均绑定独立的版本锚点文件（用于记录当前区域的版本信息、校验码等核心数据），版本替换仅在锚点校验通过后执行，确保替换的完整性，区别于D1的单一目录过滤、D2的分包存储逻辑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资源状态锁机制：为核心微应用设置读锁与写锁，实现运行与更新操作的互斥保护——微应用处于运行状态时，为其添加读锁，禁止任何写入操作（包括版本替换、资源修改）；新版本更新、替换时，释放读锁并添加写锁，禁止任何读取操作，从机制上杜绝并发读写冲突，此机制为D1、D2均未公开的技术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  智能时机管控策略：实时监控系统运行状态（CPU空闲率、内存占用率）与APP运行状态（是否处于后台、微应用是否正在渲染），仅当满足预设条件（CPU空闲率≥70%、APP切后台时间≥5s、微应用未处于渲染状态）时，才触发版本替换流程，避免高负载场景下的卡顿、异常，解决D1、D2未考虑更新时机管控的缺陷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  完整替换与故障自回滚机制：版本替换前，先校验临时缓存区新版本的锚点信息与MD5校验码，校验通过后执行完整替换（同步更新正式运行区的版本锚点与资源文件）；若替换过程中出现超时、校验失败、系统中断等异常，立即删除临时缓存区的新版本文件，恢复正式运行区的旧版本锚点，实现100ms内自动回滚，确保微应用可正常加载，此回滚机制为D1、D2均未公开的技术特征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  分级更新策略重构：摒弃现有技术的黑白名单分级方式（如D1的黑名单过滤方案），采用“稳定性等级”分级策略，将微应用划分为核心稳定级（首页常驻微应用）、常规稳定级（高频使用微应用）、普通级（低频使用微应用），针对不同等级采用差异化的更新与保护策略，既避开D1的公开点，又进一步提升微应用运行稳定性。</w:t>
      </w:r>
    </w:p>
    <w:p>
      <w:pPr>
        <w:spacing w:line="360" w:lineRule="auto"/>
        <w:rPr>
          <w:rFonts w:hint="default" w:ascii="宋体" w:hAnsi="宋体"/>
          <w:sz w:val="28"/>
          <w:szCs w:val="28"/>
          <w:lang w:val="en-US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（三）方法步骤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本发明的微应用无感加载更新方法，具体包括以下核心步骤，全程无用户感知、无操作打断，区别于D1的主动过滤更新、D2的分包下载更新流程：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步骤1：APP初始化与资源状态锁创建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移动端APP启动后，微应用更新管理单元完成初始化，同步服务端微应用版本配置信息；同时为所有核心微应用（稳定性等级为核心稳定级）创建资源读锁，锁定正式运行区的资源文件，禁止任何外部写入操作，确保微应用运行过程中资源不被篡改，此步骤为D1、D2均未公开的锁初始化逻辑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步骤2：后台安全下载与双重校验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更新检测模块对比本地微应用版本与服务端版本，若存在可用新版本，启动APP后台独立线程，将新版本资源包下载至临时缓存区，全程不触碰正式运行区资源；下载完成后，版本校验模块执行双重校验——MD5完整性校验（检查资源包是否完整、未损坏）与版本锚点匹配校验（核对缓存区版本与服务端版本一致性），校验通过后标记为有效待替换版本，校验失败则自动清理缓存区无效文件，相较于D2的单一分包校验，本步骤增加锚点匹配校验，提升校验准确性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步骤3：智能替换时机判断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智能时机管控模块实时监控系统负载与APP运行状态，持续判断是否满足替换条件（CPU空闲率≥70%、APP切后台时间≥5s、微应用未处于渲染状态）；若满足条件，触发版本替换流程；若不满足，继续监控，直至达到替换条件，此步骤解决D1、D2未管控更新时机导致的干扰问题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步骤4：完整替换与锁状态切换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触发替换流程后，资源状态锁模块释放核心微应用的读锁，立即添加写锁，禁止任何读取操作；随后锚点管理模块将临时缓存区的新版本资源文件与版本锚点，完整迁移至正式运行区，覆盖旧版本资源与锚点；替换完成后，释放写锁，重新为微应用添加读锁，恢复正常运行权限，此锁状态切换逻辑为D1、D2均未公开的技术流程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步骤5：故障自动回滚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若替换过程中出现超时（替换耗时超过500ms）、校验失败、系统中断等异常，故障自回滚模块立即触发回滚流程：删除临时缓存区的新版本文件，恢复正式运行区的旧版本锚点与资源文件，释放写锁并重新添加读锁，100ms内恢复微应用的正常可用状态，全程无用户感知，此回滚步骤为D1、D2均未公开的核心流程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步骤6：安全加载运行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微应用加载模块始终持读锁，从正式运行区读取资源文件，通过APP内置的微应用容器完成资源解析、渲染与交互功能加载，确保微应用运行过程中资源不被篡改，避免卡顿、崩溃等问题，区别于D1、D2无锁加载的常规逻辑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</w:p>
    <w:p>
      <w:pPr>
        <w:spacing w:line="360" w:lineRule="auto"/>
        <w:rPr>
          <w:rFonts w:hint="default" w:ascii="宋体" w:hAnsi="宋体"/>
          <w:sz w:val="28"/>
          <w:szCs w:val="28"/>
          <w:lang w:val="en-US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（四）系统模块架构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的微应用无感加载更新系统，采用模块化分层架构设计，核心执行主体为APP内全局单例的微应用更新管理单元，确保管控逻辑一致性与状态同步准确性，系统具体包括以下模块，各模块通过标准化接口通信，实现高内聚低耦合，其中核心模块均未被D1、D2公开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资源状态锁模块：核心功能为管理微应用的读锁与写锁，实现运行与更新操作的互斥保护，包括锁的创建、释放、状态切换，以及并发操作的拦截，从根源上杜绝读写冲突，D1、D2均未公开</w:t>
      </w:r>
      <w:bookmarkStart w:id="1" w:name="_GoBack"/>
      <w:bookmarkEnd w:id="1"/>
      <w:r>
        <w:rPr>
          <w:rFonts w:hint="eastAsia" w:ascii="宋体" w:hAnsi="宋体"/>
          <w:sz w:val="28"/>
          <w:szCs w:val="28"/>
        </w:rPr>
        <w:t>此类锁管理模块。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锚点管理模块：负责维护正式运行区与临时缓存区的版本锚点文件，记录版本信息、MD5校验码等核心数据，实现版本锚点的匹配、更新与恢复，保障版本替换的完整性，区别于D1的黑名单管理模块、D2的分包管理模块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  智能时机管控模块：实时采集系统CPU空闲率、内存占用率，以及APP运行状态（前台/后台）、微应用渲染状态等数据，判断是否满足版本替换条件，智能触发替换流程，避免高负载场景下的异常，D1、D2均未设置此类时机管控模块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  故障自回滚模块：实时监控版本替换全流程，捕捉替换超时、校验失败、系统中断等异常，触发自动回滚流程，快速恢复旧版本，确保微应用可用性，无需用户干预，D1、D2均未公开此类回滚模块。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  分级更新模块：基于微应用的稳定性等级，执行差异化更新策略——核心稳定级微应用采用完整替换+状态锁+自回滚的全保护策略；常规稳定级微应用采用完整替换+基础校验策略；普通级微应用采用高效覆盖更新策略，兼顾稳定性与更新效率，区别于D1的黑名单过滤分级方式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6.  版本校验模块：对接服务端版本配置接口，完成本地版本与服务端版本的对比，以及新版本资源包的MD5完整性校验、版本锚点匹配校验，过滤无效更新包，避免坏包、错包导致的异常，相较于D2的单一校验逻辑，增加锚点匹配校验，提升校验可靠性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7.  微应用加载模块：内置APP标准化微应用运行容器，持读锁从正式运行区读取资源文件，完成资源解析、渲染与交互功能加载，支持安卓、iOS双平台，兼容主流前端资源格式，区别于D1、D2无锁加载的常规设计。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8.  本地存储模块：基于移动端APP沙盒机制，负责正式运行区、临时缓存区的资源存储，以及版本信息、稳定性等级配置、锚点文件的本地持久化存储，提供高速数据读写能力，严格遵循双平台存储权限规范，区别于D1的单一目录存储、D2的分包存储架构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9.  更新检测模块：对接服务端微应用配置接口，同步全量微应用的版本信息，对比本地版本与服务端版本，精准检测可用新版本，触发后续更新流程，相较于D1的主动过滤检测、D2的分包检测，检测逻辑更贴合核心微应用的高可用需求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</w:p>
    <w:p>
      <w:pPr>
        <w:pStyle w:val="3"/>
        <w:spacing w:line="360" w:lineRule="auto"/>
        <w:ind w:left="0" w:leftChars="0" w:firstLine="0" w:firstLineChars="0"/>
        <w:rPr>
          <w:rFonts w:hint="default" w:hAnsi="宋体"/>
          <w:szCs w:val="28"/>
          <w:lang w:val="en-US"/>
        </w:rPr>
      </w:pPr>
      <w:r>
        <w:rPr>
          <w:rFonts w:hint="eastAsia" w:hAnsi="宋体"/>
          <w:b/>
          <w:szCs w:val="28"/>
          <w:lang w:val="en-US" w:eastAsia="zh-CN"/>
        </w:rPr>
        <w:t>与现有技术对比: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本发明与对比文件D1（CN108037934A）、D2（CN115113898A）及行业常规技术相比，存在显著区别，具备突出的实质性特点与显著的技术进步，具体对比如下：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与对比文件D1（CN108037934A，一种应用程序更新的方法和装置）对比：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D1公开的核心内容为：采用黑名单过滤机制，对不常用、大安装包的应用程序进行过滤，避免此类应用占用过多流量、存储空间，实现应用程序的选择性更新，核心目标是节省流量与存储资源，其核心技术点为“黑名单过滤+选择性更新”，未涉及任何锁机制、完整替换、智能时机管控、故障自回滚相关技术，也未针对“微应用”这一特定场景设计，仅适用于常规应用程序的更新过滤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本发明与D1的核心区别：① 技术方案不同：本发明采用“状态锁+双区存储+智能时机+自回滚”的核心架构，D1仅为黑名单过滤的常规更新；② 解决的技术问题不同：D1解决的是“不常用应用浪费流量/存储”的问题，本发明解决的是“微应用更新冲突、卡顿、异常无法恢复”的核心痛点；③ 应用场景不同：D1适用于常规应用程序，本发明专门针对移动端APP内嵌微应用（尤其是首页常驻核心微应用）的高可用场景；④ 核心创新点不同：本发明的状态锁、智能时机、故障自回滚等技术均未被D1公开，二者无技术重叠，本发明具备显著的创造性。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与对比文件D2（CN115113898A，微应用的动态更新方法、装置、计算机设备和存储介质）对比：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D2公开的核心内容为：采用微应用分包热更新技术，将微应用资源拆分为多个分包，根据用户使用需求选择性下载分包，实现微应用的动态更新，核心目标是提升更新效率、减少流量消耗，其核心技术点为“分包拆分+选择性下载”，未涉及并发冲突保护、完整替换、故障回滚、智能时机管控等技术，无法解决微应用更新过程中的卡顿、崩溃、异常无法恢复等问题。</w:t>
      </w:r>
    </w:p>
    <w:p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本发明与D2的核心区别：① 技术方案不同：本发明以“状态锁护互斥、智能时机控节奏、故障自回滚保可用”为核心，D2仅为分包下载更新；② 解决的技术问题不同：D2解决的是“微应用更新效率低、流量消耗大”的问题，本发明解决的是“微应用更新冲突、异常无法恢复、用户干扰”的核心痛点；③ 核心技术特征不同：本发明的资源状态锁、智能时机管控、故障自回滚、锚点管理等技术均未被D2公开；④ 稳定性保障不同：D2无异常回滚与锁保护机制，更新失败易导致微应用异常，本发明通过多重机制确保更新全程稳定，二者技术路线完全不同，不存在技术重叠，本发明具备显著的创造性。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与行业常规技术对比：现有行业常规方案普遍采用双目录存储、后台下载、重启生效的逻辑，无锁保护、无完整替换、无自回滚机制，无法解决半覆盖、并发冲突等痛点；本发明将状态锁、锚点管理、智能时机、自回滚四大技术进行非显而易见的组合，形成了一套完整的微应用无感更新稳定性管控方案，解决了行业长期未解决的核心痛点，同时区别于D1、D2的公开技术，具备显著的创造性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</w:p>
    <w:p>
      <w:pPr>
        <w:pStyle w:val="3"/>
        <w:spacing w:line="360" w:lineRule="auto"/>
        <w:ind w:left="0" w:leftChars="0" w:firstLine="0" w:firstLineChars="0"/>
        <w:rPr>
          <w:rFonts w:hint="default" w:hAnsi="宋体"/>
          <w:szCs w:val="28"/>
          <w:lang w:val="en-US"/>
        </w:rPr>
      </w:pPr>
      <w:r>
        <w:rPr>
          <w:rFonts w:hint="eastAsia" w:hAnsi="宋体"/>
          <w:b/>
          <w:szCs w:val="28"/>
          <w:lang w:val="en-US" w:eastAsia="zh-CN"/>
        </w:rPr>
        <w:t>有益效果: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本发明相较于现有技术（包括D1、D2及行业常规方案），具有以下显著有益效果，可直接写入专利申报材料：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  彻底消除更新相关异常：通过状态锁与完整替换机制，从根源上杜绝微应用更新导致的白屏、崩溃、资源错乱、脏数据等问题，大幅提升微应用运行稳定性，解决了D1、D2均未解决的更新异常问题；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  实现真无感更新：全程无弹窗、无操作打断、无需重启APP/微应用，更新时机智能管控，用户全程无感知，保证用户使用体验的连续性与流畅性，优于D1的主动过滤提示、D2的分包更新可能存在的干扰；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  故障自愈能力强：更新异常时可在100ms内自动回滚至上一稳定版本，无需用户干预，确保核心微应用业务不间断，尤其适用于首页常驻微应用场景，此效果为D1、D2均未实现的技术优势；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  兼顾稳定性与更新效率：基于稳定性等级的分级更新策略，既保障核心微应用的高稳定性，又兼顾普通微应用的更新及时性，平衡稳定性与效率，区别于D1的单一过滤、D2的单一分包更新；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  高兼容可复用：适配安卓、iOS双平台，可直接复用至电商、生活服务、社交、办公等全品类APP的内嵌微应用生态，通用性与可扩展性极强，适用场景比D1、D2更广泛；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6.  资源占用优化：通过智能时机管控、无效文件清理、双重校验等机制，减少无效网络流量消耗与手机存储空间占用，提升APP整体运行流畅度，在D1、D2的资源优化基础上实现进一步提升。</w:t>
      </w:r>
    </w:p>
    <w:p>
      <w:pPr>
        <w:pStyle w:val="3"/>
        <w:spacing w:line="360" w:lineRule="auto"/>
        <w:ind w:left="0" w:leftChars="0" w:firstLine="0" w:firstLineChars="0"/>
        <w:rPr>
          <w:rFonts w:hint="eastAsia" w:hAnsi="宋体"/>
          <w:b/>
          <w:szCs w:val="28"/>
          <w:lang w:val="en-US" w:eastAsia="zh-CN"/>
        </w:rPr>
      </w:pPr>
    </w:p>
    <w:p>
      <w:pPr>
        <w:pStyle w:val="3"/>
        <w:spacing w:line="360" w:lineRule="auto"/>
        <w:ind w:left="0" w:leftChars="0" w:firstLine="0" w:firstLineChars="0"/>
        <w:rPr>
          <w:rFonts w:hint="default" w:ascii="宋体" w:hAnsi="宋体"/>
          <w:sz w:val="28"/>
          <w:szCs w:val="28"/>
          <w:lang w:val="en-US"/>
        </w:rPr>
      </w:pPr>
      <w:r>
        <w:rPr>
          <w:rFonts w:hint="eastAsia" w:hAnsi="宋体"/>
          <w:b/>
          <w:szCs w:val="28"/>
          <w:lang w:val="en-US" w:eastAsia="zh-CN"/>
        </w:rPr>
        <w:t>具体实施方式: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本具体实施方式以生活服务类移动端APP（支持安卓、iOS双平台）为实施载体，该APP内嵌多个微应用，其中稳定性等级为核心稳定级的“首页核心服务”微应用，为用户打开APP即启动、日常高频使用的核心功能载体，对运行稳定性、无干扰性要求极高；本发明的核心执行主体为APP内全局单例的微应用更新管理单元，所有功能流程均通过该单元统一调度管控，确保管控逻辑的一致性，本实施方式进一步规避D1、D2的技术公开点，突出本发明的创造性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实施例1：基于状态锁的微应用无感加载更新方法的完整实施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本实施例详细阐述本发明方法在生活服务类APP中的完整执行流程，具体分为五大执行阶段，全程避开D1的黑名单过滤、D2的分包下载逻辑：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第一阶段：APP初始化与锁创建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用户打开生活服务类APP后，微应用更新管理单元率先完成初始化，完成服务端接口对接、用户鉴权配置、本地沙盒存储初始化（创建正式运行区、临时缓存区）、各功能模块的状态复位；初始化完成后，资源状态锁模块为“首页核心服务”微应用创建读锁，锁定正式运行区的资源文件，禁止任何写入操作，确保微应用正常运行过程中资源不被篡改；同时，更新检测模块从服务端拉取全量微应用的版本配置信息，完成本地同步，此阶段的锁初始化逻辑区别于D1、D2的无锁初始化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第二阶段：后台下载与双重校验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更新检测模块对比本地“首页核心服务”微应用的版本信息与服务端版本信息，若检测到存在可用新版本，启动APP后台独立线程，从服务端拉取新版本资源包，全程无前端弹窗、无进度条展示、无用户操作打断，完全不干扰用户对当前微应用的正常使用；资源包下载完成后，版本校验模块先执行MD5完整性校验，检查资源包是否存在文件缺失、损坏等问题，再执行版本锚点匹配校验，核对缓存区新版本的锚点信息与服务端下发的版本信息是否一致；双重校验均通过后，标记为有效待替换版本；若校验不通过，自动清理临时缓存区的无效文件，终止本次更新流程，相较于D2的单一分包校验，本阶段增加锚点匹配校验，提升校验可靠性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第三阶段：智能替换时机判断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智能时机管控模块实时采集系统运行数据与APP运行状态：当检测到CPU空闲率≥70%、APP切后台时间≥5s、“首页核心服务”微应用未处于渲染状态时，判定满足替换条件，触发版本替换流程；若未满足条件，智能时机管控模块持续监控，直至达到替换条件，避免在高负载场景下执行替换导致卡顿、异常，此阶段解决了D1、D2未管控更新时机的缺陷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第四阶段：完整替换与锁状态切换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触发替换流程后，资源状态锁模块释放“首页核心服务”微应用的读锁，立即添加写锁，禁止任何读取操作，防止替换过程中出现并发冲突；随后锚点管理模块将临时缓存区的新版本资源文件与版本锚点，完整迁移至正式运行区，覆盖旧版本的资源文件与锚点，确保替换过程的完整性；替换完成后，资源状态锁模块释放写锁，重新为“首页核心服务”微应用添加读锁，恢复正常运行权限；同时，清理临时缓存区的新版本文件，释放手机存储空间，此阶段的锁状态切换与完整替换逻辑为D1、D2均未公开的技术流程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第五阶段：故障回滚与安全加载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若替换过程中出现超时（替换耗时超过500ms）、校验失败、系统中断等异常，故障自回滚模块立即触发回滚流程：删除临时缓存区的新版本文件，恢复正式运行区的旧版本锚点与资源文件，释放写锁并重新添加读锁，100ms内恢复“首页核心服务”微应用的正常可用状态；若替换成功，微应用加载模块持读锁从正式运行区读取新版本资源，通过APP内置的微应用容器完成资源解析、渲染与交互功能加载，用户下次启动微应用时，直接使用最新版本，全程无感知，此回滚流程为D1、D2均未公开的核心技术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实施例2：基于状态锁的微应用无感加载更新系统的完整实施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本实施例详细阐述本发明系统在安卓、iOS双平台生活服务类APP中的架构实施，系统采用模块化分层架构，分为接入层、核心业务层、基础能力层、存储层四个层级，各层级之间通过标准化接口通信，实现高内聚低耦合，可灵活适配不同品类、不同系统的移动端APP，核心模块均避开D1、D2的公开模块：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1.  接入层：为系统与外部服务的对接入口，负责对接服务端的微应用配置接口、移动端系统的网络管理模块、APP的用户鉴权模块，所有通信均采用移动端加密传输协议，保障用户数据与资源包的传输安全，实现数据的安全传输与交互，区别于D1、D2的常规接口对接逻辑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2.  核心业务层：为系统的核心功能实现单元，包括智能时机管控模块、锚点管理模块、故障自回滚模块、分级更新模块、微应用加载模块五大核心业务模块，完整实现本发明的核心业务逻辑——智能时机判断、完整替换、故障回滚、分级更新、安全加载，均未被D1、D2公开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3.  基础能力层：为核心业务层提供配套支撑能力，包括资源状态锁模块、版本校验模块、更新检测模块三大能力单元，为核心业务流程提供全流程的管控支撑——资源锁保护、版本校验、更新检测，确保核心业务流程的稳定运行，其中资源状态锁模块，版本校验模块、更新检测模块区别于D1、D2的常规设计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4.  存储层：基于移动端APP的沙盒机制搭建，分为正式运行区、临时缓存区、配置缓存区三大物理隔离的存储区域，分别对应正式运行区资源存储、临时缓存区资源存储、版本信息与配置信息存储，为系统提供安全、高速的本地数据读写能力，同时严格遵循安卓、iOS双平台的存储权限规范，无需申请额外的存储权限，区别于D1的单一目录存储、D2的分包存储架构。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b/>
          <w:szCs w:val="28"/>
          <w:lang w:val="en-US" w:eastAsia="zh-CN"/>
        </w:rPr>
      </w:pPr>
    </w:p>
    <w:p>
      <w:pPr>
        <w:pStyle w:val="3"/>
        <w:spacing w:line="360" w:lineRule="auto"/>
        <w:ind w:left="0" w:leftChars="0" w:firstLine="0" w:firstLineChars="0"/>
        <w:rPr>
          <w:rFonts w:hint="default" w:hAnsi="宋体"/>
          <w:szCs w:val="28"/>
          <w:lang w:val="en-US"/>
        </w:rPr>
      </w:pPr>
      <w:r>
        <w:rPr>
          <w:rFonts w:hint="eastAsia" w:hAnsi="宋体"/>
          <w:b/>
          <w:szCs w:val="28"/>
          <w:lang w:val="en-US" w:eastAsia="zh-CN"/>
        </w:rPr>
        <w:t>说明书附图: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本发明的附图用于进一步说明技术方案，具体包括以下附图，附图说明文字可直接对应附图使用，突出本发明与D1、D2的区别：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图1：本发明基于状态锁的微应用无感加载更新方法的整体流程示意图，展示从APP初始化、后台下载、智能时机判断、完整替换、故障回滚到安全加载的全流程步骤，区别于D1的过滤更新流程、D2的分包更新流程；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图2：本发明双区存储架构示意图，展示正式运行区、临时缓存区的物理隔离架构、版本锚点绑定关系、数据流向及锁机制的作用范围，区别于D1的单一目录存储、D2的分包存储；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图3：本发明资源状态锁的工作逻辑示意图，展示读锁、写锁的切换流程，以及并发操作的拦截逻辑，为D1、D2均未公开的技术逻辑；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图4：本发明智能时机管控的判断逻辑示意图，展示系统负载、APP状态、微应用渲染状态的采集与判断流程，为D1、D2均未公开的技术逻辑；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图5：本发明故障自动回滚流程示意图，展示异常捕捉、回滚触发、旧版本恢复的完整流程，为D1、D2均未公开的技术流程；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图6：本发明基于状态锁的微应用无感加载更新系统的模块架构图，展示系统各模块的组成、层级关系与通信连接，区别于D1、D2的模块架构；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default" w:hAnsi="宋体"/>
          <w:szCs w:val="28"/>
          <w:lang w:val="en-US" w:eastAsia="zh-CN"/>
        </w:rPr>
      </w:pPr>
      <w:r>
        <w:rPr>
          <w:rFonts w:hint="default" w:hAnsi="宋体"/>
          <w:szCs w:val="28"/>
          <w:lang w:val="en-US" w:eastAsia="zh-CN"/>
        </w:rPr>
        <w:t>图7：现有技术（D1、D2及行业常规方案）微应用热更新流程示意图，展示现有技术的核心步骤与存在的缺陷节点（用于对比，突出本发明的优势）。</w:t>
      </w:r>
    </w:p>
    <w:p>
      <w:pPr>
        <w:rPr>
          <w:rFonts w:hint="eastAsia" w:ascii="宋体" w:hAnsi="宋体" w:eastAsia="宋体"/>
          <w:sz w:val="28"/>
          <w:szCs w:val="28"/>
          <w:lang w:eastAsia="zh-CN"/>
        </w:rPr>
      </w:pPr>
    </w:p>
    <w:p>
      <w:pPr>
        <w:jc w:val="center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3430270" cy="5549265"/>
            <wp:effectExtent l="0" t="0" r="24130" b="13335"/>
            <wp:docPr id="3" name="图片 3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图1</w:t>
      </w: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3709035" cy="3067685"/>
            <wp:effectExtent l="0" t="0" r="24765" b="5715"/>
            <wp:docPr id="4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图2</w:t>
      </w: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4027805" cy="4210685"/>
            <wp:effectExtent l="0" t="0" r="10795" b="5715"/>
            <wp:docPr id="5" name="图片 5" descr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图3</w:t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4086225" cy="3364865"/>
            <wp:effectExtent l="0" t="0" r="3175" b="13335"/>
            <wp:docPr id="6" name="图片 6" descr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图4</w:t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3600450" cy="3284220"/>
            <wp:effectExtent l="0" t="0" r="6350" b="17780"/>
            <wp:docPr id="7" name="图片 7" descr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图5</w:t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3601720" cy="4353560"/>
            <wp:effectExtent l="0" t="0" r="5080" b="15240"/>
            <wp:docPr id="8" name="图片 8" descr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图6</w:t>
      </w:r>
    </w:p>
    <w:p>
      <w:pPr>
        <w:jc w:val="center"/>
        <w:rPr>
          <w:rFonts w:hint="eastAsia" w:ascii="宋体" w:hAnsi="宋体"/>
          <w:sz w:val="28"/>
          <w:szCs w:val="28"/>
          <w:lang w:val="en-US" w:eastAsia="zh-CN"/>
        </w:rPr>
      </w:pP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4361180" cy="4879975"/>
            <wp:effectExtent l="0" t="0" r="7620" b="22225"/>
            <wp:docPr id="9" name="图片 9" descr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图7</w:t>
      </w:r>
    </w:p>
    <w:sectPr>
      <w:pgSz w:w="11906" w:h="16838"/>
      <w:pgMar w:top="1304" w:right="1274" w:bottom="1021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F4A39"/>
    <w:multiLevelType w:val="singleLevel"/>
    <w:tmpl w:val="D6FF4A3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F5C"/>
    <w:rsid w:val="00000A97"/>
    <w:rsid w:val="000055C0"/>
    <w:rsid w:val="00012668"/>
    <w:rsid w:val="00015D38"/>
    <w:rsid w:val="0002005A"/>
    <w:rsid w:val="00025762"/>
    <w:rsid w:val="00026172"/>
    <w:rsid w:val="00046667"/>
    <w:rsid w:val="00050294"/>
    <w:rsid w:val="000769E2"/>
    <w:rsid w:val="000860DA"/>
    <w:rsid w:val="00091E6A"/>
    <w:rsid w:val="000B3ABA"/>
    <w:rsid w:val="000B4F5C"/>
    <w:rsid w:val="000C0CCC"/>
    <w:rsid w:val="000C1240"/>
    <w:rsid w:val="000C47CE"/>
    <w:rsid w:val="000C649D"/>
    <w:rsid w:val="000C6B60"/>
    <w:rsid w:val="000E4CC6"/>
    <w:rsid w:val="000E5FEA"/>
    <w:rsid w:val="000F60F6"/>
    <w:rsid w:val="00101933"/>
    <w:rsid w:val="0010674B"/>
    <w:rsid w:val="00117CA6"/>
    <w:rsid w:val="001210B8"/>
    <w:rsid w:val="0013612B"/>
    <w:rsid w:val="001422E1"/>
    <w:rsid w:val="0014734C"/>
    <w:rsid w:val="00152127"/>
    <w:rsid w:val="00153B04"/>
    <w:rsid w:val="001572C0"/>
    <w:rsid w:val="00161A03"/>
    <w:rsid w:val="001865C4"/>
    <w:rsid w:val="001969D4"/>
    <w:rsid w:val="001A0E09"/>
    <w:rsid w:val="001A2505"/>
    <w:rsid w:val="001B06FE"/>
    <w:rsid w:val="001B627B"/>
    <w:rsid w:val="001C04A7"/>
    <w:rsid w:val="001C782D"/>
    <w:rsid w:val="001D0C6D"/>
    <w:rsid w:val="001E36E6"/>
    <w:rsid w:val="0021088D"/>
    <w:rsid w:val="002133BB"/>
    <w:rsid w:val="00216B9F"/>
    <w:rsid w:val="002212AB"/>
    <w:rsid w:val="00221BD8"/>
    <w:rsid w:val="00224563"/>
    <w:rsid w:val="00233FE5"/>
    <w:rsid w:val="00244D85"/>
    <w:rsid w:val="00270A11"/>
    <w:rsid w:val="00296671"/>
    <w:rsid w:val="00297193"/>
    <w:rsid w:val="002D315B"/>
    <w:rsid w:val="002D5C78"/>
    <w:rsid w:val="002D6282"/>
    <w:rsid w:val="003015EB"/>
    <w:rsid w:val="0031450F"/>
    <w:rsid w:val="00332705"/>
    <w:rsid w:val="003330FB"/>
    <w:rsid w:val="003426E2"/>
    <w:rsid w:val="0034658E"/>
    <w:rsid w:val="003518F3"/>
    <w:rsid w:val="00354C2A"/>
    <w:rsid w:val="003751EA"/>
    <w:rsid w:val="00377FD0"/>
    <w:rsid w:val="003804CF"/>
    <w:rsid w:val="00391F87"/>
    <w:rsid w:val="00395BE8"/>
    <w:rsid w:val="003A15ED"/>
    <w:rsid w:val="003B4055"/>
    <w:rsid w:val="003B6591"/>
    <w:rsid w:val="003C344A"/>
    <w:rsid w:val="003D1839"/>
    <w:rsid w:val="003D6493"/>
    <w:rsid w:val="003E43DB"/>
    <w:rsid w:val="003E5659"/>
    <w:rsid w:val="003E7376"/>
    <w:rsid w:val="003E7C9E"/>
    <w:rsid w:val="004034FB"/>
    <w:rsid w:val="0040788F"/>
    <w:rsid w:val="004155C3"/>
    <w:rsid w:val="00420858"/>
    <w:rsid w:val="00431E75"/>
    <w:rsid w:val="00443562"/>
    <w:rsid w:val="0045116B"/>
    <w:rsid w:val="00456C56"/>
    <w:rsid w:val="00462ABE"/>
    <w:rsid w:val="00464D92"/>
    <w:rsid w:val="004756A7"/>
    <w:rsid w:val="00482FF8"/>
    <w:rsid w:val="00485694"/>
    <w:rsid w:val="00492CE4"/>
    <w:rsid w:val="00493F1B"/>
    <w:rsid w:val="004A226A"/>
    <w:rsid w:val="004A2C35"/>
    <w:rsid w:val="004B0824"/>
    <w:rsid w:val="004B7BB1"/>
    <w:rsid w:val="004C092F"/>
    <w:rsid w:val="004D126A"/>
    <w:rsid w:val="004D1A6F"/>
    <w:rsid w:val="004D3FBB"/>
    <w:rsid w:val="004E2060"/>
    <w:rsid w:val="004E3858"/>
    <w:rsid w:val="004F3C2A"/>
    <w:rsid w:val="004F6289"/>
    <w:rsid w:val="004F6506"/>
    <w:rsid w:val="004F705A"/>
    <w:rsid w:val="00520DB7"/>
    <w:rsid w:val="00522236"/>
    <w:rsid w:val="00525A1C"/>
    <w:rsid w:val="00537F07"/>
    <w:rsid w:val="00541AC8"/>
    <w:rsid w:val="00543B20"/>
    <w:rsid w:val="00562562"/>
    <w:rsid w:val="0056547E"/>
    <w:rsid w:val="005874FC"/>
    <w:rsid w:val="00592758"/>
    <w:rsid w:val="00592F76"/>
    <w:rsid w:val="005C65C5"/>
    <w:rsid w:val="005E50D9"/>
    <w:rsid w:val="005F2726"/>
    <w:rsid w:val="005F6E1E"/>
    <w:rsid w:val="00606447"/>
    <w:rsid w:val="00620A5A"/>
    <w:rsid w:val="00623AE7"/>
    <w:rsid w:val="00625394"/>
    <w:rsid w:val="00627A04"/>
    <w:rsid w:val="00636EC5"/>
    <w:rsid w:val="0068435C"/>
    <w:rsid w:val="006956E7"/>
    <w:rsid w:val="00695762"/>
    <w:rsid w:val="006A6919"/>
    <w:rsid w:val="006A7FA3"/>
    <w:rsid w:val="006B0A62"/>
    <w:rsid w:val="006D6133"/>
    <w:rsid w:val="006D6F33"/>
    <w:rsid w:val="006F31C6"/>
    <w:rsid w:val="00702890"/>
    <w:rsid w:val="007079A3"/>
    <w:rsid w:val="007247BB"/>
    <w:rsid w:val="00735C3E"/>
    <w:rsid w:val="007523D3"/>
    <w:rsid w:val="00760411"/>
    <w:rsid w:val="0078094B"/>
    <w:rsid w:val="00782CDD"/>
    <w:rsid w:val="00786202"/>
    <w:rsid w:val="007A5ED5"/>
    <w:rsid w:val="007A66F9"/>
    <w:rsid w:val="007B0234"/>
    <w:rsid w:val="007B78E3"/>
    <w:rsid w:val="007C5B79"/>
    <w:rsid w:val="007D1963"/>
    <w:rsid w:val="007D4323"/>
    <w:rsid w:val="007E1624"/>
    <w:rsid w:val="007E71CE"/>
    <w:rsid w:val="008050BF"/>
    <w:rsid w:val="00815A35"/>
    <w:rsid w:val="00827379"/>
    <w:rsid w:val="00834856"/>
    <w:rsid w:val="008419D2"/>
    <w:rsid w:val="00850DAC"/>
    <w:rsid w:val="00855199"/>
    <w:rsid w:val="0085677C"/>
    <w:rsid w:val="00871B60"/>
    <w:rsid w:val="00873583"/>
    <w:rsid w:val="00884B19"/>
    <w:rsid w:val="00891447"/>
    <w:rsid w:val="00892323"/>
    <w:rsid w:val="008944C5"/>
    <w:rsid w:val="008C2888"/>
    <w:rsid w:val="00902906"/>
    <w:rsid w:val="00903340"/>
    <w:rsid w:val="00905CFB"/>
    <w:rsid w:val="00912663"/>
    <w:rsid w:val="009149FD"/>
    <w:rsid w:val="00914A9D"/>
    <w:rsid w:val="00920661"/>
    <w:rsid w:val="00921257"/>
    <w:rsid w:val="00921519"/>
    <w:rsid w:val="00933DA2"/>
    <w:rsid w:val="00954E1F"/>
    <w:rsid w:val="009603D2"/>
    <w:rsid w:val="009C03B4"/>
    <w:rsid w:val="009C747E"/>
    <w:rsid w:val="009D58E6"/>
    <w:rsid w:val="009F2969"/>
    <w:rsid w:val="009F42BB"/>
    <w:rsid w:val="00A314B9"/>
    <w:rsid w:val="00A4250E"/>
    <w:rsid w:val="00A55F36"/>
    <w:rsid w:val="00A57985"/>
    <w:rsid w:val="00A72CE5"/>
    <w:rsid w:val="00A76054"/>
    <w:rsid w:val="00A7628F"/>
    <w:rsid w:val="00A85296"/>
    <w:rsid w:val="00A957F6"/>
    <w:rsid w:val="00AC384F"/>
    <w:rsid w:val="00AD3D9F"/>
    <w:rsid w:val="00AD4E9C"/>
    <w:rsid w:val="00AD6DB4"/>
    <w:rsid w:val="00AE40C2"/>
    <w:rsid w:val="00AE7F88"/>
    <w:rsid w:val="00AF67C8"/>
    <w:rsid w:val="00B01BAF"/>
    <w:rsid w:val="00B24785"/>
    <w:rsid w:val="00B24F46"/>
    <w:rsid w:val="00B26993"/>
    <w:rsid w:val="00B27469"/>
    <w:rsid w:val="00B37179"/>
    <w:rsid w:val="00B40E78"/>
    <w:rsid w:val="00B504A6"/>
    <w:rsid w:val="00B55420"/>
    <w:rsid w:val="00B675FE"/>
    <w:rsid w:val="00B74A6C"/>
    <w:rsid w:val="00B94943"/>
    <w:rsid w:val="00BA079E"/>
    <w:rsid w:val="00BA5F4A"/>
    <w:rsid w:val="00BC3255"/>
    <w:rsid w:val="00BE7A3A"/>
    <w:rsid w:val="00C01429"/>
    <w:rsid w:val="00C15137"/>
    <w:rsid w:val="00C2414D"/>
    <w:rsid w:val="00C24700"/>
    <w:rsid w:val="00C27C00"/>
    <w:rsid w:val="00C43163"/>
    <w:rsid w:val="00C464EE"/>
    <w:rsid w:val="00C46846"/>
    <w:rsid w:val="00C53438"/>
    <w:rsid w:val="00C57F87"/>
    <w:rsid w:val="00C725E1"/>
    <w:rsid w:val="00C76187"/>
    <w:rsid w:val="00C76584"/>
    <w:rsid w:val="00C8664D"/>
    <w:rsid w:val="00C87497"/>
    <w:rsid w:val="00C87C8B"/>
    <w:rsid w:val="00C93DA3"/>
    <w:rsid w:val="00C95B27"/>
    <w:rsid w:val="00C97505"/>
    <w:rsid w:val="00CA0440"/>
    <w:rsid w:val="00CA3DB6"/>
    <w:rsid w:val="00CB191E"/>
    <w:rsid w:val="00CB3F74"/>
    <w:rsid w:val="00CC2B7B"/>
    <w:rsid w:val="00CD7257"/>
    <w:rsid w:val="00CE583F"/>
    <w:rsid w:val="00CF0A87"/>
    <w:rsid w:val="00D20995"/>
    <w:rsid w:val="00D229EB"/>
    <w:rsid w:val="00D26B89"/>
    <w:rsid w:val="00D36AB6"/>
    <w:rsid w:val="00D40E3D"/>
    <w:rsid w:val="00D51AFD"/>
    <w:rsid w:val="00D77215"/>
    <w:rsid w:val="00D8753E"/>
    <w:rsid w:val="00DB3FF8"/>
    <w:rsid w:val="00DC3BD7"/>
    <w:rsid w:val="00DE15B8"/>
    <w:rsid w:val="00DE3509"/>
    <w:rsid w:val="00DF400D"/>
    <w:rsid w:val="00E01C5D"/>
    <w:rsid w:val="00E3221C"/>
    <w:rsid w:val="00E36652"/>
    <w:rsid w:val="00E45F47"/>
    <w:rsid w:val="00E76752"/>
    <w:rsid w:val="00E9118C"/>
    <w:rsid w:val="00ED3E6C"/>
    <w:rsid w:val="00EE148D"/>
    <w:rsid w:val="00EE42A6"/>
    <w:rsid w:val="00EE748D"/>
    <w:rsid w:val="00EF5BC3"/>
    <w:rsid w:val="00F04C9E"/>
    <w:rsid w:val="00F2023D"/>
    <w:rsid w:val="00F33A5C"/>
    <w:rsid w:val="00F34024"/>
    <w:rsid w:val="00F40CDD"/>
    <w:rsid w:val="00F440E2"/>
    <w:rsid w:val="00F47FEF"/>
    <w:rsid w:val="00F5474E"/>
    <w:rsid w:val="00F561EF"/>
    <w:rsid w:val="00F57012"/>
    <w:rsid w:val="00F5721B"/>
    <w:rsid w:val="00F611A6"/>
    <w:rsid w:val="00F679D3"/>
    <w:rsid w:val="00F76B85"/>
    <w:rsid w:val="00F9317C"/>
    <w:rsid w:val="00F95FEC"/>
    <w:rsid w:val="00FA12CF"/>
    <w:rsid w:val="00FB7514"/>
    <w:rsid w:val="00FD427A"/>
    <w:rsid w:val="00FF2028"/>
    <w:rsid w:val="031840A6"/>
    <w:rsid w:val="0F2740E3"/>
    <w:rsid w:val="0F321930"/>
    <w:rsid w:val="0FEFC09F"/>
    <w:rsid w:val="15FD166C"/>
    <w:rsid w:val="166B57F0"/>
    <w:rsid w:val="199D723C"/>
    <w:rsid w:val="1DFE0F43"/>
    <w:rsid w:val="1E980812"/>
    <w:rsid w:val="21987726"/>
    <w:rsid w:val="25272116"/>
    <w:rsid w:val="2A765238"/>
    <w:rsid w:val="2CA448DC"/>
    <w:rsid w:val="355703EC"/>
    <w:rsid w:val="36AF1175"/>
    <w:rsid w:val="3961212F"/>
    <w:rsid w:val="3A04449D"/>
    <w:rsid w:val="3BEA1BD6"/>
    <w:rsid w:val="3E481A93"/>
    <w:rsid w:val="3FDD9D70"/>
    <w:rsid w:val="410150B4"/>
    <w:rsid w:val="416C7D59"/>
    <w:rsid w:val="433402DB"/>
    <w:rsid w:val="45452D9D"/>
    <w:rsid w:val="48E6143F"/>
    <w:rsid w:val="4AF87A9C"/>
    <w:rsid w:val="4C8E5CA5"/>
    <w:rsid w:val="4D0ACFA8"/>
    <w:rsid w:val="4DFBB677"/>
    <w:rsid w:val="4ED767BB"/>
    <w:rsid w:val="4F485069"/>
    <w:rsid w:val="4FD5EFBC"/>
    <w:rsid w:val="4FFBFF65"/>
    <w:rsid w:val="53B50F5F"/>
    <w:rsid w:val="55B27071"/>
    <w:rsid w:val="562C0AAF"/>
    <w:rsid w:val="56DBAC52"/>
    <w:rsid w:val="582421C2"/>
    <w:rsid w:val="5D6A9EF1"/>
    <w:rsid w:val="5FD72CD1"/>
    <w:rsid w:val="69A27DD9"/>
    <w:rsid w:val="69AF1BBE"/>
    <w:rsid w:val="6CEF8017"/>
    <w:rsid w:val="6D7F6FC6"/>
    <w:rsid w:val="6F6119D3"/>
    <w:rsid w:val="6F7FF772"/>
    <w:rsid w:val="704F4E30"/>
    <w:rsid w:val="72A9547E"/>
    <w:rsid w:val="777D423E"/>
    <w:rsid w:val="777F75DA"/>
    <w:rsid w:val="77BD3DA8"/>
    <w:rsid w:val="77EC0D50"/>
    <w:rsid w:val="7C872FAC"/>
    <w:rsid w:val="7D3D2AB2"/>
    <w:rsid w:val="7DF78E64"/>
    <w:rsid w:val="7DFA23CC"/>
    <w:rsid w:val="7ECF7667"/>
    <w:rsid w:val="7FFBA2A5"/>
    <w:rsid w:val="7FFFBAC9"/>
    <w:rsid w:val="8B3A950D"/>
    <w:rsid w:val="99BDB156"/>
    <w:rsid w:val="9BFF0A52"/>
    <w:rsid w:val="9F1B72D7"/>
    <w:rsid w:val="ABF78DE8"/>
    <w:rsid w:val="ADB72BEC"/>
    <w:rsid w:val="AFFFC170"/>
    <w:rsid w:val="B3EB339D"/>
    <w:rsid w:val="B97F9A04"/>
    <w:rsid w:val="BDFDFD4C"/>
    <w:rsid w:val="C5F1A246"/>
    <w:rsid w:val="CFFF27DF"/>
    <w:rsid w:val="D95BFE1E"/>
    <w:rsid w:val="DFEF9801"/>
    <w:rsid w:val="DFFF3D84"/>
    <w:rsid w:val="E69F1DB1"/>
    <w:rsid w:val="ECE89FC3"/>
    <w:rsid w:val="EDE7ECC9"/>
    <w:rsid w:val="F3FF70A1"/>
    <w:rsid w:val="FBFF7B19"/>
    <w:rsid w:val="FE5FDECA"/>
    <w:rsid w:val="FEBF0417"/>
    <w:rsid w:val="FEFD10D0"/>
    <w:rsid w:val="FF5F0F52"/>
    <w:rsid w:val="FFFFBF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600" w:lineRule="exact"/>
      <w:ind w:firstLine="570"/>
    </w:pPr>
    <w:rPr>
      <w:sz w:val="28"/>
    </w:rPr>
  </w:style>
  <w:style w:type="paragraph" w:styleId="3">
    <w:name w:val="Body Text Indent 2"/>
    <w:basedOn w:val="1"/>
    <w:qFormat/>
    <w:uiPriority w:val="0"/>
    <w:pPr>
      <w:autoSpaceDE w:val="0"/>
      <w:autoSpaceDN w:val="0"/>
      <w:ind w:firstLine="480"/>
      <w:textAlignment w:val="bottom"/>
    </w:pPr>
    <w:rPr>
      <w:rFonts w:ascii="宋体"/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4</Pages>
  <Words>201</Words>
  <Characters>1146</Characters>
  <Lines>9</Lines>
  <Paragraphs>2</Paragraphs>
  <TotalTime>161</TotalTime>
  <ScaleCrop>false</ScaleCrop>
  <LinksUpToDate>false</LinksUpToDate>
  <CharactersWithSpaces>1345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2018-01-13T10:07:00Z</dcterms:created>
  <dc:creator>李胜军</dc:creator>
  <cp:lastModifiedBy>MTC</cp:lastModifiedBy>
  <cp:lastPrinted>2001-08-17T09:35:00Z</cp:lastPrinted>
  <dcterms:modified xsi:type="dcterms:W3CDTF">2026-05-09T13:55:13Z</dcterms:modified>
  <dc:title>说   明   书   附   图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3081D216F4504141BFC02BAF1BCCC51A</vt:lpwstr>
  </property>
</Properties>
</file>