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SOP-PV-001  Individual Case Safety Report (ICSR) Processing</w:t>
      </w:r>
    </w:p>
    <w:tbl>
      <w:tblPr>
        <w:tblStyle w:val="TableGrid"/>
        <w:tblW w:type="auto" w:w="0"/>
        <w:tblLook w:firstColumn="1" w:firstRow="1" w:lastColumn="0" w:lastRow="0" w:noHBand="0" w:noVBand="1" w:val="04A0"/>
      </w:tblPr>
      <w:tblGrid>
        <w:gridCol w:w="4320"/>
        <w:gridCol w:w="4320"/>
      </w:tblGrid>
      <w:tr>
        <w:tc>
          <w:tcPr>
            <w:tcW w:type="dxa" w:w="4320"/>
          </w:tcPr>
          <w:p>
            <w:r>
              <w:rPr>
                <w:b/>
              </w:rPr>
              <w:t>Document No.</w:t>
            </w:r>
          </w:p>
        </w:tc>
        <w:tc>
          <w:tcPr>
            <w:tcW w:type="dxa" w:w="4320"/>
          </w:tcPr>
          <w:p>
            <w:r>
              <w:t>SOP-PV-001</w:t>
            </w:r>
          </w:p>
        </w:tc>
      </w:tr>
      <w:tr>
        <w:tc>
          <w:tcPr>
            <w:tcW w:type="dxa" w:w="4320"/>
          </w:tcPr>
          <w:p>
            <w:r>
              <w:rPr>
                <w:b/>
              </w:rPr>
              <w:t>Version</w:t>
            </w:r>
          </w:p>
        </w:tc>
        <w:tc>
          <w:tcPr>
            <w:tcW w:type="dxa" w:w="4320"/>
          </w:tcPr>
          <w:p>
            <w:r>
              <w:t>3.0</w:t>
            </w:r>
          </w:p>
        </w:tc>
      </w:tr>
      <w:tr>
        <w:tc>
          <w:tcPr>
            <w:tcW w:type="dxa" w:w="4320"/>
          </w:tcPr>
          <w:p>
            <w:r>
              <w:rPr>
                <w:b/>
              </w:rPr>
              <w:t>Effective Date</w:t>
            </w:r>
          </w:p>
        </w:tc>
        <w:tc>
          <w:tcPr>
            <w:tcW w:type="dxa" w:w="4320"/>
          </w:tcPr>
          <w:p>
            <w:r>
              <w:t>2026-04-01</w:t>
            </w:r>
          </w:p>
        </w:tc>
      </w:tr>
      <w:tr>
        <w:tc>
          <w:tcPr>
            <w:tcW w:type="dxa" w:w="4320"/>
          </w:tcPr>
          <w:p>
            <w:r>
              <w:rPr>
                <w:b/>
              </w:rPr>
              <w:t>Owner</w:t>
            </w:r>
          </w:p>
        </w:tc>
        <w:tc>
          <w:tcPr>
            <w:tcW w:type="dxa" w:w="4320"/>
          </w:tcPr>
          <w:p>
            <w:r>
              <w:t>Pharmacovigilance Department</w:t>
            </w:r>
          </w:p>
        </w:tc>
      </w:tr>
    </w:tbl>
    <w:p/>
    <w:p>
      <w:pPr>
        <w:pStyle w:val="Heading1"/>
      </w:pPr>
      <w:r>
        <w:t>1. Purpose</w:t>
      </w:r>
    </w:p>
    <w:p>
      <w:r>
        <w:t>This Standard Operating Procedure (SOP) defines the process for receipt, triage, data entry, medical assessment, quality control, and regulatory submission of Individual Case Safety Reports (ICSRs) at Meridian Pharma K.K., to ensure compliance with GVP requirements and applicable regulatory reporting timelines.</w:t>
      </w:r>
    </w:p>
    <w:p>
      <w:pPr>
        <w:pStyle w:val="Heading1"/>
      </w:pPr>
      <w:r>
        <w:t>2. Scope</w:t>
      </w:r>
    </w:p>
    <w:p>
      <w:r>
        <w:t>This SOP applies to all ICSRs concerning Meridian Pharma K.K. products, regardless of source (spontaneous, solicited, literature, clinical study, regulatory authority, license partner) and regardless of seriousness or expectedness. Handling of aggregate safety data is out of scope and is covered by SOP-PV-002.</w:t>
      </w:r>
    </w:p>
    <w:p>
      <w:pPr>
        <w:pStyle w:val="Heading1"/>
      </w:pPr>
      <w:r>
        <w:t>3. Definitions</w:t>
      </w:r>
    </w:p>
    <w:p>
      <w:pPr>
        <w:pStyle w:val="ListBullet"/>
      </w:pPr>
      <w:r>
        <w:rPr>
          <w:b/>
        </w:rPr>
        <w:t>ICSR</w:t>
      </w:r>
      <w:r>
        <w:t>: Individual Case Safety Report. A report of an adverse event experienced by a single identifiable patient in association with a Meridian product.</w:t>
      </w:r>
    </w:p>
    <w:p>
      <w:pPr>
        <w:pStyle w:val="ListBullet"/>
      </w:pPr>
      <w:r>
        <w:rPr>
          <w:b/>
        </w:rPr>
        <w:t>Day 0</w:t>
      </w:r>
      <w:r>
        <w:t>: The date on which any Meridian Pharma K.K. employee, contractor, or vendor first becomes aware of a report containing the four minimum criteria for a valid case.</w:t>
      </w:r>
    </w:p>
    <w:p>
      <w:pPr>
        <w:pStyle w:val="ListBullet"/>
      </w:pPr>
      <w:r>
        <w:rPr>
          <w:b/>
        </w:rPr>
        <w:t>Valid case</w:t>
      </w:r>
      <w:r>
        <w:t>: A report containing all four minimum criteria: (1) an identifiable patient, (2) an identifiable reporter, (3) a suspect medicinal product, and (4) an adverse event.</w:t>
      </w:r>
    </w:p>
    <w:p>
      <w:pPr>
        <w:pStyle w:val="ListBullet"/>
      </w:pPr>
      <w:r>
        <w:rPr>
          <w:b/>
        </w:rPr>
        <w:t>Serious Adverse Event (SAE)</w:t>
      </w:r>
      <w:r>
        <w:t>: An adverse event that results in death, is life-threatening, requires inpatient hospitalization or prolongation of existing hospitalization, results in persistent or significant disability/incapacity, is a congenital anomaly/birth defect, or is otherwise medically significant.</w:t>
      </w:r>
    </w:p>
    <w:p>
      <w:pPr>
        <w:pStyle w:val="Heading1"/>
      </w:pPr>
      <w:r>
        <w:t>4. Responsibilities</w:t>
      </w:r>
    </w:p>
    <w:p>
      <w:pPr>
        <w:pStyle w:val="ListBullet"/>
      </w:pPr>
      <w:r>
        <w:rPr>
          <w:b/>
        </w:rPr>
        <w:t>Case Processing Associate</w:t>
      </w:r>
      <w:r>
        <w:t>: Performs case intake, duplicate check, data entry, and MedDRA coding.</w:t>
      </w:r>
    </w:p>
    <w:p>
      <w:pPr>
        <w:pStyle w:val="ListBullet"/>
      </w:pPr>
      <w:r>
        <w:rPr>
          <w:b/>
        </w:rPr>
        <w:t>PV Physician</w:t>
      </w:r>
      <w:r>
        <w:t>: Performs medical review, seriousness assessment, causality assessment, and labeledness (expectedness) assessment.</w:t>
      </w:r>
    </w:p>
    <w:p>
      <w:pPr>
        <w:pStyle w:val="ListBullet"/>
      </w:pPr>
      <w:r>
        <w:rPr>
          <w:b/>
        </w:rPr>
        <w:t>PV Quality Reviewer</w:t>
      </w:r>
      <w:r>
        <w:t>: Performs quality control review of processed cases.</w:t>
      </w:r>
    </w:p>
    <w:p>
      <w:pPr>
        <w:pStyle w:val="ListBullet"/>
      </w:pPr>
      <w:r>
        <w:rPr>
          <w:b/>
        </w:rPr>
        <w:t>PV Manager</w:t>
      </w:r>
      <w:r>
        <w:t>: Ensures reporting timelines are met and approves late case investigations.</w:t>
      </w:r>
    </w:p>
    <w:p>
      <w:pPr>
        <w:pStyle w:val="Heading1"/>
      </w:pPr>
      <w:r>
        <w:t>5. Procedure</w:t>
      </w:r>
    </w:p>
    <w:p>
      <w:pPr>
        <w:pStyle w:val="Heading2"/>
      </w:pPr>
      <w:r>
        <w:t>5.1 Case Receipt and Day 0 Determination</w:t>
      </w:r>
    </w:p>
    <w:p>
      <w:pPr>
        <w:pStyle w:val="Heading3"/>
      </w:pPr>
      <w:r>
        <w:t>5.1.1 Intake</w:t>
      </w:r>
    </w:p>
    <w:p>
      <w:r>
        <w:t>All incoming reports shall be logged in the safety database within 1 business day of receipt. Reports received by the PV vendor are transmitted to Meridian per WI-PV-005.</w:t>
      </w:r>
    </w:p>
    <w:p>
      <w:pPr>
        <w:pStyle w:val="Heading3"/>
      </w:pPr>
      <w:r>
        <w:t>5.1.2 Validity Assessment</w:t>
      </w:r>
    </w:p>
    <w:p>
      <w:r>
        <w:t>The Case Processing Associate shall assess whether the report contains the four minimum criteria for a valid case. If any criterion is missing, a follow-up request shall be sent to the reporter within 2 business days, and the report shall be logged as an invalid case pending follow-up.</w:t>
      </w:r>
    </w:p>
    <w:p>
      <w:pPr>
        <w:pStyle w:val="Heading3"/>
      </w:pPr>
      <w:r>
        <w:t>5.1.3 Day 0</w:t>
      </w:r>
    </w:p>
    <w:p>
      <w:r>
        <w:t>Day 0 is the date any Meridian staff or vendor first receives a valid case. For literature cases, Day 0 is determined per SOP-PV-004, Section 5.4. Day 0 shall never be re-set by internal transmission delays.</w:t>
      </w:r>
    </w:p>
    <w:p>
      <w:pPr>
        <w:pStyle w:val="Heading2"/>
      </w:pPr>
      <w:r>
        <w:t>5.2 Duplicate Check</w:t>
      </w:r>
    </w:p>
    <w:p>
      <w:r>
        <w:t>Before creating a new case, the Case Processing Associate shall perform a duplicate search in the safety database using patient identifiers, reporter identifiers, product, and event terms. Suspected duplicates shall be flagged for PV Physician confirmation before merging.</w:t>
      </w:r>
    </w:p>
    <w:p>
      <w:pPr>
        <w:pStyle w:val="Heading2"/>
      </w:pPr>
      <w:r>
        <w:t>5.3 Data Entry and MedDRA Coding</w:t>
      </w:r>
    </w:p>
    <w:p>
      <w:pPr>
        <w:pStyle w:val="Heading3"/>
      </w:pPr>
      <w:r>
        <w:t>5.3.1 Data Entry Timeline</w:t>
      </w:r>
    </w:p>
    <w:p>
      <w:r>
        <w:t>Full data entry shall be completed within 5 calendar days of Day 0 for serious cases and within 10 calendar days for non-serious cases.</w:t>
      </w:r>
    </w:p>
    <w:p>
      <w:pPr>
        <w:pStyle w:val="Heading3"/>
      </w:pPr>
      <w:r>
        <w:t>5.3.2 Coding</w:t>
      </w:r>
    </w:p>
    <w:p>
      <w:r>
        <w:t>Adverse events shall be coded using the current MedDRA version. Verbatim terms shall be coded to the most specific Lowest Level Term (LLT) that accurately reflects the reported information. Medical history and concomitant medications shall be coded per the current coding conventions document.</w:t>
      </w:r>
    </w:p>
    <w:p>
      <w:pPr>
        <w:pStyle w:val="Heading2"/>
      </w:pPr>
      <w:r>
        <w:t>5.4 Medical Assessment</w:t>
      </w:r>
    </w:p>
    <w:p>
      <w:r>
        <w:t>The PV Physician shall assess seriousness, causality, and expectedness for each case. Expectedness shall be assessed against the current Company Core Data Sheet (CCDS) for marketed products, or the current Investigator's Brochure (IB) for investigational products.</w:t>
      </w:r>
    </w:p>
    <w:p>
      <w:pPr>
        <w:pStyle w:val="Heading2"/>
      </w:pPr>
      <w:r>
        <w:t>5.5 Regulatory Reporting Timelines</w:t>
      </w:r>
    </w:p>
    <w:p>
      <w:pPr>
        <w:pStyle w:val="Heading3"/>
      </w:pPr>
      <w:r>
        <w:t>5.5.1 Expedited Reporting</w:t>
      </w:r>
    </w:p>
    <w:p>
      <w:pPr>
        <w:pStyle w:val="ListBullet"/>
      </w:pPr>
      <w:r>
        <w:t xml:space="preserve">Fatal or life-threatening unexpected suspected adverse reactions from clinical studies: submit to regulatory authorities within </w:t>
      </w:r>
      <w:r>
        <w:rPr>
          <w:b/>
        </w:rPr>
        <w:t>7 calendar days</w:t>
      </w:r>
      <w:r>
        <w:t xml:space="preserve"> of Day 0, with a follow-up complete report within 8 additional calendar days.</w:t>
      </w:r>
    </w:p>
    <w:p>
      <w:pPr>
        <w:pStyle w:val="ListBullet"/>
      </w:pPr>
      <w:r>
        <w:t xml:space="preserve">Other serious unexpected suspected adverse reactions (SUSARs) and serious spontaneous cases subject to expedited reporting: submit within </w:t>
      </w:r>
      <w:r>
        <w:rPr>
          <w:b/>
        </w:rPr>
        <w:t>15 calendar days</w:t>
      </w:r>
      <w:r>
        <w:t xml:space="preserve"> of Day 0.</w:t>
      </w:r>
    </w:p>
    <w:p>
      <w:pPr>
        <w:pStyle w:val="Heading3"/>
      </w:pPr>
      <w:r>
        <w:t>5.5.2 Non-Expedited Cases</w:t>
      </w:r>
    </w:p>
    <w:p>
      <w:r>
        <w:t>Non-serious cases are included in periodic aggregate reports per SOP-PV-002 and are not individually submitted unless required by local regulation.</w:t>
      </w:r>
    </w:p>
    <w:p>
      <w:pPr>
        <w:pStyle w:val="Heading2"/>
      </w:pPr>
      <w:r>
        <w:t>5.6 Quality Control</w:t>
      </w:r>
    </w:p>
    <w:p>
      <w:r>
        <w:t xml:space="preserve">A minimum of </w:t>
      </w:r>
      <w:r>
        <w:rPr>
          <w:b/>
        </w:rPr>
        <w:t>10% of all processed cases</w:t>
      </w:r>
      <w:r>
        <w:t xml:space="preserve"> shall be sampled monthly by the PV Quality Reviewer. QC findings shall be documented, and cases with critical errors (incorrect seriousness, missed expedited reporting, wrong product) shall be corrected within 2 business days and trended quarterly.</w:t>
      </w:r>
    </w:p>
    <w:p>
      <w:pPr>
        <w:pStyle w:val="Heading2"/>
      </w:pPr>
      <w:r>
        <w:t>5.7 Late Case Handling</w:t>
      </w:r>
    </w:p>
    <w:p>
      <w:r>
        <w:t>Any ICSR submitted after its regulatory due date shall be recorded as a deviation and investigated per SOP-QA-001. The PV Manager shall notify the QPPV within 1 business day of identifying a late submission. Late case trends shall be evaluated as a potential signal input per SOP-PV-003.</w:t>
      </w:r>
    </w:p>
    <w:p>
      <w:pPr>
        <w:pStyle w:val="Heading1"/>
      </w:pPr>
      <w:r>
        <w:t>6. Records</w:t>
      </w:r>
    </w:p>
    <w:p>
      <w:r>
        <w:t>Case source documents, follow-up correspondence, QC checklists, and submission acknowledgements shall be retained in the safety database or validated document repository for at least 10 years after product withdrawal, per WI-QA-004.</w:t>
      </w:r>
    </w:p>
    <w:p>
      <w:pPr>
        <w:pStyle w:val="Heading1"/>
      </w:pPr>
      <w:r>
        <w:t>7. References</w:t>
      </w:r>
    </w:p>
    <w:p>
      <w:pPr>
        <w:pStyle w:val="ListBullet"/>
      </w:pPr>
      <w:r>
        <w:t>SOP-PV-002 Preparation of Aggregate Safety Reports (PSUR/PBRER)</w:t>
      </w:r>
    </w:p>
    <w:p>
      <w:pPr>
        <w:pStyle w:val="ListBullet"/>
      </w:pPr>
      <w:r>
        <w:t>SOP-PV-003 Signal Detection and Management</w:t>
      </w:r>
    </w:p>
    <w:p>
      <w:pPr>
        <w:pStyle w:val="ListBullet"/>
      </w:pPr>
      <w:r>
        <w:t>SOP-PV-004 Literature Screening for Safety Information</w:t>
      </w:r>
    </w:p>
    <w:p>
      <w:pPr>
        <w:pStyle w:val="ListBullet"/>
      </w:pPr>
      <w:r>
        <w:t>WI-PV-005 Pharmacovigilance Vendor Oversight</w:t>
      </w:r>
    </w:p>
    <w:p>
      <w:pPr>
        <w:pStyle w:val="ListBullet"/>
      </w:pPr>
      <w:r>
        <w:t>SOP-QA-001 Deviation Management</w:t>
      </w:r>
    </w:p>
    <w:p>
      <w:pPr>
        <w:pStyle w:val="ListBullet"/>
      </w:pPr>
      <w:r>
        <w:t>WI-QA-004 Document Control and Records Management</w:t>
      </w:r>
    </w:p>
    <w:p>
      <w:pPr>
        <w:pStyle w:val="ListBullet"/>
      </w:pPr>
      <w:r>
        <w:t>ICH E2A, ICH E2D, GVP Module VI</w:t>
      </w:r>
    </w:p>
    <w:p>
      <w:pPr>
        <w:pStyle w:val="Heading1"/>
      </w:pPr>
      <w:r>
        <w:t>8. Revision History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Version</w:t>
            </w:r>
          </w:p>
        </w:tc>
        <w:tc>
          <w:tcPr>
            <w:tcW w:type="dxa" w:w="2880"/>
          </w:tcPr>
          <w:p>
            <w:r>
              <w:rPr>
                <w:b/>
              </w:rPr>
              <w:t>Effective Date</w:t>
            </w:r>
          </w:p>
        </w:tc>
        <w:tc>
          <w:tcPr>
            <w:tcW w:type="dxa" w:w="2880"/>
          </w:tcPr>
          <w:p>
            <w:r>
              <w:rPr>
                <w:b/>
              </w:rPr>
              <w:t>Description of Change</w:t>
            </w:r>
          </w:p>
        </w:tc>
      </w:tr>
      <w:tr>
        <w:tc>
          <w:tcPr>
            <w:tcW w:type="dxa" w:w="2880"/>
          </w:tcPr>
          <w:p>
            <w:r>
              <w:t>1.0</w:t>
            </w:r>
          </w:p>
        </w:tc>
        <w:tc>
          <w:tcPr>
            <w:tcW w:type="dxa" w:w="2880"/>
          </w:tcPr>
          <w:p>
            <w:r>
              <w:t>2022-06-01</w:t>
            </w:r>
          </w:p>
        </w:tc>
        <w:tc>
          <w:tcPr>
            <w:tcW w:type="dxa" w:w="2880"/>
          </w:tcPr>
          <w:p>
            <w:r>
              <w:t>Initial issue</w:t>
            </w:r>
          </w:p>
        </w:tc>
      </w:tr>
      <w:tr>
        <w:tc>
          <w:tcPr>
            <w:tcW w:type="dxa" w:w="2880"/>
          </w:tcPr>
          <w:p>
            <w:r>
              <w:t>2.0</w:t>
            </w:r>
          </w:p>
        </w:tc>
        <w:tc>
          <w:tcPr>
            <w:tcW w:type="dxa" w:w="2880"/>
          </w:tcPr>
          <w:p>
            <w:r>
              <w:t>2024-03-15</w:t>
            </w:r>
          </w:p>
        </w:tc>
        <w:tc>
          <w:tcPr>
            <w:tcW w:type="dxa" w:w="2880"/>
          </w:tcPr>
          <w:p>
            <w:r>
              <w:t>Added vendor intake flow per WI-PV-005</w:t>
            </w:r>
          </w:p>
        </w:tc>
      </w:tr>
      <w:tr>
        <w:tc>
          <w:tcPr>
            <w:tcW w:type="dxa" w:w="2880"/>
          </w:tcPr>
          <w:p>
            <w:r>
              <w:t>3.0</w:t>
            </w:r>
          </w:p>
        </w:tc>
        <w:tc>
          <w:tcPr>
            <w:tcW w:type="dxa" w:w="2880"/>
          </w:tcPr>
          <w:p>
            <w:r>
              <w:t>2026-04-01</w:t>
            </w:r>
          </w:p>
        </w:tc>
        <w:tc>
          <w:tcPr>
            <w:tcW w:type="dxa" w:w="2880"/>
          </w:tcPr>
          <w:p>
            <w:r>
              <w:t>QC sampling raised from 5% to 10%; late case escalation to QPPV added</w:t>
            </w:r>
          </w:p>
        </w:tc>
      </w:tr>
    </w:tbl>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Meridian Pharma K.K.    SOP-PV-001 v3.0    CONFIDENTIAL – Fictional document for RAG demo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