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SOP-PV-002  Preparation of Aggregate Safety Reports (PSUR/PBRER)</w:t>
      </w:r>
    </w:p>
    <w:tbl>
      <w:tblPr>
        <w:tblStyle w:val="TableGrid"/>
        <w:tblW w:type="auto" w:w="0"/>
        <w:tblLook w:firstColumn="1" w:firstRow="1" w:lastColumn="0" w:lastRow="0" w:noHBand="0" w:noVBand="1" w:val="04A0"/>
      </w:tblPr>
      <w:tblGrid>
        <w:gridCol w:w="4320"/>
        <w:gridCol w:w="4320"/>
      </w:tblGrid>
      <w:tr>
        <w:tc>
          <w:tcPr>
            <w:tcW w:type="dxa" w:w="4320"/>
          </w:tcPr>
          <w:p>
            <w:r>
              <w:rPr>
                <w:b/>
              </w:rPr>
              <w:t>Document No.</w:t>
            </w:r>
          </w:p>
        </w:tc>
        <w:tc>
          <w:tcPr>
            <w:tcW w:type="dxa" w:w="4320"/>
          </w:tcPr>
          <w:p>
            <w:r>
              <w:t>SOP-PV-002</w:t>
            </w:r>
          </w:p>
        </w:tc>
      </w:tr>
      <w:tr>
        <w:tc>
          <w:tcPr>
            <w:tcW w:type="dxa" w:w="4320"/>
          </w:tcPr>
          <w:p>
            <w:r>
              <w:rPr>
                <w:b/>
              </w:rPr>
              <w:t>Version</w:t>
            </w:r>
          </w:p>
        </w:tc>
        <w:tc>
          <w:tcPr>
            <w:tcW w:type="dxa" w:w="4320"/>
          </w:tcPr>
          <w:p>
            <w:r>
              <w:t>2.1</w:t>
            </w:r>
          </w:p>
        </w:tc>
      </w:tr>
      <w:tr>
        <w:tc>
          <w:tcPr>
            <w:tcW w:type="dxa" w:w="4320"/>
          </w:tcPr>
          <w:p>
            <w:r>
              <w:rPr>
                <w:b/>
              </w:rPr>
              <w:t>Effective Date</w:t>
            </w:r>
          </w:p>
        </w:tc>
        <w:tc>
          <w:tcPr>
            <w:tcW w:type="dxa" w:w="4320"/>
          </w:tcPr>
          <w:p>
            <w:r>
              <w:t>2026-01-15</w:t>
            </w:r>
          </w:p>
        </w:tc>
      </w:tr>
      <w:tr>
        <w:tc>
          <w:tcPr>
            <w:tcW w:type="dxa" w:w="4320"/>
          </w:tcPr>
          <w:p>
            <w:r>
              <w:rPr>
                <w:b/>
              </w:rPr>
              <w:t>Owner</w:t>
            </w:r>
          </w:p>
        </w:tc>
        <w:tc>
          <w:tcPr>
            <w:tcW w:type="dxa" w:w="4320"/>
          </w:tcPr>
          <w:p>
            <w:r>
              <w:t>Pharmacovigilance Department</w:t>
            </w:r>
          </w:p>
        </w:tc>
      </w:tr>
    </w:tbl>
    <w:p/>
    <w:p>
      <w:pPr>
        <w:pStyle w:val="Heading1"/>
      </w:pPr>
      <w:r>
        <w:t>1. Purpose</w:t>
      </w:r>
    </w:p>
    <w:p>
      <w:r>
        <w:t>This SOP describes the planning, authoring, review, approval, and submission of Periodic Safety Update Reports (PSURs) / Periodic Benefit-Risk Evaluation Reports (PBRERs) for Meridian Pharma K.K. products, in accordance with ICH E2C(R2) and applicable regional requirements.</w:t>
      </w:r>
    </w:p>
    <w:p>
      <w:pPr>
        <w:pStyle w:val="Heading1"/>
      </w:pPr>
      <w:r>
        <w:t>2. Scope</w:t>
      </w:r>
    </w:p>
    <w:p>
      <w:r>
        <w:t>This SOP applies to all PSURs/PBRERs for Meridian marketed products worldwide. Development Safety Update Reports (DSURs) follow the same workflow with timelines adjusted per ICH E2F. Individual case processing is out of scope and covered by SOP-PV-001.</w:t>
      </w:r>
    </w:p>
    <w:p>
      <w:pPr>
        <w:pStyle w:val="Heading1"/>
      </w:pPr>
      <w:r>
        <w:t>3. Definitions</w:t>
      </w:r>
    </w:p>
    <w:p>
      <w:pPr>
        <w:pStyle w:val="ListBullet"/>
      </w:pPr>
      <w:r>
        <w:rPr>
          <w:b/>
        </w:rPr>
        <w:t>DLP (Data Lock Point)</w:t>
      </w:r>
      <w:r>
        <w:t>: The cut-off date for data to be included in a periodic report.</w:t>
      </w:r>
    </w:p>
    <w:p>
      <w:pPr>
        <w:pStyle w:val="ListBullet"/>
      </w:pPr>
      <w:r>
        <w:rPr>
          <w:b/>
        </w:rPr>
        <w:t>PBRER</w:t>
      </w:r>
      <w:r>
        <w:t>: Periodic Benefit-Risk Evaluation Report per ICH E2C(R2).</w:t>
      </w:r>
    </w:p>
    <w:p>
      <w:pPr>
        <w:pStyle w:val="ListBullet"/>
      </w:pPr>
      <w:r>
        <w:rPr>
          <w:b/>
        </w:rPr>
        <w:t>IBD</w:t>
      </w:r>
      <w:r>
        <w:t>: International Birth Date, the date of first marketing authorization of the product anywhere in the world.</w:t>
      </w:r>
    </w:p>
    <w:p>
      <w:pPr>
        <w:pStyle w:val="ListBullet"/>
      </w:pPr>
      <w:r>
        <w:rPr>
          <w:b/>
        </w:rPr>
        <w:t>Reference Safety Information (RSI)</w:t>
      </w:r>
      <w:r>
        <w:t>: The CCDS in effect at the beginning of the reporting interval.</w:t>
      </w:r>
    </w:p>
    <w:p>
      <w:pPr>
        <w:pStyle w:val="Heading1"/>
      </w:pPr>
      <w:r>
        <w:t>4. Responsibilities</w:t>
      </w:r>
    </w:p>
    <w:p>
      <w:pPr>
        <w:pStyle w:val="ListBullet"/>
      </w:pPr>
      <w:r>
        <w:rPr>
          <w:b/>
        </w:rPr>
        <w:t>Aggregate Report Lead</w:t>
      </w:r>
      <w:r>
        <w:t>: Owns the report schedule, coordinates contributors, and compiles the report.</w:t>
      </w:r>
    </w:p>
    <w:p>
      <w:pPr>
        <w:pStyle w:val="ListBullet"/>
      </w:pPr>
      <w:r>
        <w:rPr>
          <w:b/>
        </w:rPr>
        <w:t>PV Physician</w:t>
      </w:r>
      <w:r>
        <w:t>: Authors the benefit-risk evaluation and signal sections.</w:t>
      </w:r>
    </w:p>
    <w:p>
      <w:pPr>
        <w:pStyle w:val="ListBullet"/>
      </w:pPr>
      <w:r>
        <w:rPr>
          <w:b/>
        </w:rPr>
        <w:t>QPPV / Safety Head</w:t>
      </w:r>
      <w:r>
        <w:t>: Approves the final report before submission.</w:t>
      </w:r>
    </w:p>
    <w:p>
      <w:pPr>
        <w:pStyle w:val="ListBullet"/>
      </w:pPr>
      <w:r>
        <w:rPr>
          <w:b/>
        </w:rPr>
        <w:t>Regulatory Affairs</w:t>
      </w:r>
      <w:r>
        <w:t>: Submits the approved report to health authorities and confirms submission.</w:t>
      </w:r>
    </w:p>
    <w:p>
      <w:pPr>
        <w:pStyle w:val="Heading1"/>
      </w:pPr>
      <w:r>
        <w:t>5. Procedure</w:t>
      </w:r>
    </w:p>
    <w:p>
      <w:pPr>
        <w:pStyle w:val="Heading2"/>
      </w:pPr>
      <w:r>
        <w:t>5.1 Report Scheduling</w:t>
      </w:r>
    </w:p>
    <w:p>
      <w:r>
        <w:t>The Aggregate Report Lead shall maintain a rolling 24-month PSUR schedule based on each product's IBD and the EU Reference Dates (EURD) list or applicable national schedule. The schedule shall be reviewed at least quarterly.</w:t>
      </w:r>
    </w:p>
    <w:p>
      <w:pPr>
        <w:pStyle w:val="Heading2"/>
      </w:pPr>
      <w:r>
        <w:t>5.2 Submission Timelines</w:t>
      </w:r>
    </w:p>
    <w:p>
      <w:pPr>
        <w:pStyle w:val="ListBullet"/>
      </w:pPr>
      <w:r>
        <w:t xml:space="preserve">Reports covering an interval of </w:t>
      </w:r>
      <w:r>
        <w:rPr>
          <w:b/>
        </w:rPr>
        <w:t>12 months or less</w:t>
      </w:r>
      <w:r>
        <w:t xml:space="preserve">: submit within </w:t>
      </w:r>
      <w:r>
        <w:rPr>
          <w:b/>
        </w:rPr>
        <w:t>70 calendar days</w:t>
      </w:r>
      <w:r>
        <w:t xml:space="preserve"> of the DLP.</w:t>
      </w:r>
    </w:p>
    <w:p>
      <w:pPr>
        <w:pStyle w:val="ListBullet"/>
      </w:pPr>
      <w:r>
        <w:t xml:space="preserve">Reports covering an interval of </w:t>
      </w:r>
      <w:r>
        <w:rPr>
          <w:b/>
        </w:rPr>
        <w:t>more than 12 months</w:t>
      </w:r>
      <w:r>
        <w:t xml:space="preserve">: submit within </w:t>
      </w:r>
      <w:r>
        <w:rPr>
          <w:b/>
        </w:rPr>
        <w:t>90 calendar days</w:t>
      </w:r>
      <w:r>
        <w:t xml:space="preserve"> of the DLP.</w:t>
      </w:r>
    </w:p>
    <w:p>
      <w:pPr>
        <w:pStyle w:val="ListBullet"/>
      </w:pPr>
      <w:r>
        <w:t>Ad hoc reports requested by an authority: per the timeline specified in the request.</w:t>
      </w:r>
    </w:p>
    <w:p>
      <w:pPr>
        <w:pStyle w:val="Heading2"/>
      </w:pPr>
      <w:r>
        <w:t>5.3 Data Retrieval and Inputs</w:t>
      </w:r>
    </w:p>
    <w:p>
      <w:pPr>
        <w:pStyle w:val="Heading3"/>
      </w:pPr>
      <w:r>
        <w:t>5.3.1 Case Data</w:t>
      </w:r>
    </w:p>
    <w:p>
      <w:r>
        <w:t>Line listings and summary tabulations shall be generated from the safety database no earlier than 5 calendar days after DLP to allow late-arriving cases processed per SOP-PV-001 to be included.</w:t>
      </w:r>
    </w:p>
    <w:p>
      <w:pPr>
        <w:pStyle w:val="Heading3"/>
      </w:pPr>
      <w:r>
        <w:t>5.3.2 Signal and Risk Inputs</w:t>
      </w:r>
    </w:p>
    <w:p>
      <w:r>
        <w:t>The signal section shall summarize all signals open, closed, or ongoing during the reporting interval, sourced from the signal tracking log maintained per SOP-PV-003, Section 5.6.</w:t>
      </w:r>
    </w:p>
    <w:p>
      <w:pPr>
        <w:pStyle w:val="Heading3"/>
      </w:pPr>
      <w:r>
        <w:t>5.3.3 Exposure Data</w:t>
      </w:r>
    </w:p>
    <w:p>
      <w:r>
        <w:t>Sales-based patient exposure estimates shall be obtained from Commercial Operations no later than 15 calendar days after DLP.</w:t>
      </w:r>
    </w:p>
    <w:p>
      <w:pPr>
        <w:pStyle w:val="Heading2"/>
      </w:pPr>
      <w:r>
        <w:t>5.4 Authoring and Review</w:t>
      </w:r>
    </w:p>
    <w:p>
      <w:pPr>
        <w:pStyle w:val="Heading3"/>
      </w:pPr>
      <w:r>
        <w:t>5.4.1 Structure</w:t>
      </w:r>
    </w:p>
    <w:p>
      <w:r>
        <w:t>The report shall follow the ICH E2C(R2) modular structure (Sections 1–20), including cumulative summary tabulations of serious adverse events and an integrated benefit-risk analysis.</w:t>
      </w:r>
    </w:p>
    <w:p>
      <w:pPr>
        <w:pStyle w:val="Heading3"/>
      </w:pPr>
      <w:r>
        <w:t>5.4.2 Review Cycle</w:t>
      </w:r>
    </w:p>
    <w:p>
      <w:r>
        <w:t>A single consolidated review cycle of 10 business days shall be used. Reviewer comments shall be adjudicated by the Aggregate Report Lead, and unresolved medical disagreements escalated to the QPPV.</w:t>
      </w:r>
    </w:p>
    <w:p>
      <w:pPr>
        <w:pStyle w:val="Heading2"/>
      </w:pPr>
      <w:r>
        <w:t>5.5 Approval and Submission</w:t>
      </w:r>
    </w:p>
    <w:p>
      <w:r>
        <w:t>The QPPV shall approve the final report no later than 10 calendar days before the submission due date. Regulatory Affairs shall submit the report and archive the submission acknowledgement within 3 business days of submission.</w:t>
      </w:r>
    </w:p>
    <w:p>
      <w:pPr>
        <w:pStyle w:val="Heading2"/>
      </w:pPr>
      <w:r>
        <w:t>5.6 Late Submission Handling</w:t>
      </w:r>
    </w:p>
    <w:p>
      <w:r>
        <w:t>Any PSUR submitted after the regulatory due date shall be recorded as a deviation per SOP-QA-001 and assessed for the need of a CAPA per SOP-QA-002.</w:t>
      </w:r>
    </w:p>
    <w:p>
      <w:pPr>
        <w:pStyle w:val="Heading1"/>
      </w:pPr>
      <w:r>
        <w:t>6. Records</w:t>
      </w:r>
    </w:p>
    <w:p>
      <w:r>
        <w:t>Final approved reports, review comments, and submission acknowledgements shall be retained per WI-QA-004 for at least 10 years after the product's marketing authorization is withdrawn.</w:t>
      </w:r>
    </w:p>
    <w:p>
      <w:pPr>
        <w:pStyle w:val="Heading1"/>
      </w:pPr>
      <w:r>
        <w:t>7. References</w:t>
      </w:r>
    </w:p>
    <w:p>
      <w:pPr>
        <w:pStyle w:val="ListBullet"/>
      </w:pPr>
      <w:r>
        <w:t>SOP-PV-001 Individual Case Safety Report (ICSR) Processing</w:t>
      </w:r>
    </w:p>
    <w:p>
      <w:pPr>
        <w:pStyle w:val="ListBullet"/>
      </w:pPr>
      <w:r>
        <w:t>SOP-PV-003 Signal Detection and Management</w:t>
      </w:r>
    </w:p>
    <w:p>
      <w:pPr>
        <w:pStyle w:val="ListBullet"/>
      </w:pPr>
      <w:r>
        <w:t>SOP-QA-001 Deviation Management</w:t>
      </w:r>
    </w:p>
    <w:p>
      <w:pPr>
        <w:pStyle w:val="ListBullet"/>
      </w:pPr>
      <w:r>
        <w:t>SOP-QA-002 CAPA Management</w:t>
      </w:r>
    </w:p>
    <w:p>
      <w:pPr>
        <w:pStyle w:val="ListBullet"/>
      </w:pPr>
      <w:r>
        <w:t>WI-QA-004 Document Control and Records Management</w:t>
      </w:r>
    </w:p>
    <w:p>
      <w:pPr>
        <w:pStyle w:val="ListBullet"/>
      </w:pPr>
      <w:r>
        <w:t>ICH E2C(R2), ICH E2F, GVP Module VII</w:t>
      </w:r>
    </w:p>
    <w:p>
      <w:pPr>
        <w:pStyle w:val="Heading1"/>
      </w:pPr>
      <w:r>
        <w:t>8.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Effective Date</w:t>
            </w:r>
          </w:p>
        </w:tc>
        <w:tc>
          <w:tcPr>
            <w:tcW w:type="dxa" w:w="2880"/>
          </w:tcPr>
          <w:p>
            <w:r>
              <w:rPr>
                <w:b/>
              </w:rPr>
              <w:t>Description of Change</w:t>
            </w:r>
          </w:p>
        </w:tc>
      </w:tr>
      <w:tr>
        <w:tc>
          <w:tcPr>
            <w:tcW w:type="dxa" w:w="2880"/>
          </w:tcPr>
          <w:p>
            <w:r>
              <w:t>1.0</w:t>
            </w:r>
          </w:p>
        </w:tc>
        <w:tc>
          <w:tcPr>
            <w:tcW w:type="dxa" w:w="2880"/>
          </w:tcPr>
          <w:p>
            <w:r>
              <w:t>2023-02-01</w:t>
            </w:r>
          </w:p>
        </w:tc>
        <w:tc>
          <w:tcPr>
            <w:tcW w:type="dxa" w:w="2880"/>
          </w:tcPr>
          <w:p>
            <w:r>
              <w:t>Initial issue</w:t>
            </w:r>
          </w:p>
        </w:tc>
      </w:tr>
      <w:tr>
        <w:tc>
          <w:tcPr>
            <w:tcW w:type="dxa" w:w="2880"/>
          </w:tcPr>
          <w:p>
            <w:r>
              <w:t>2.0</w:t>
            </w:r>
          </w:p>
        </w:tc>
        <w:tc>
          <w:tcPr>
            <w:tcW w:type="dxa" w:w="2880"/>
          </w:tcPr>
          <w:p>
            <w:r>
              <w:t>2025-05-10</w:t>
            </w:r>
          </w:p>
        </w:tc>
        <w:tc>
          <w:tcPr>
            <w:tcW w:type="dxa" w:w="2880"/>
          </w:tcPr>
          <w:p>
            <w:r>
              <w:t>Aligned review cycle to single consolidated 10-business-day review</w:t>
            </w:r>
          </w:p>
        </w:tc>
      </w:tr>
      <w:tr>
        <w:tc>
          <w:tcPr>
            <w:tcW w:type="dxa" w:w="2880"/>
          </w:tcPr>
          <w:p>
            <w:r>
              <w:t>2.1</w:t>
            </w:r>
          </w:p>
        </w:tc>
        <w:tc>
          <w:tcPr>
            <w:tcW w:type="dxa" w:w="2880"/>
          </w:tcPr>
          <w:p>
            <w:r>
              <w:t>2026-01-15</w:t>
            </w:r>
          </w:p>
        </w:tc>
        <w:tc>
          <w:tcPr>
            <w:tcW w:type="dxa" w:w="2880"/>
          </w:tcPr>
          <w:p>
            <w:r>
              <w:t>Added exposure data timeline (15 days after DLP)</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Meridian Pharma K.K.    SOP-PV-002 v2.1    CONFIDENTIAL – Fictional document for RAG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