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SOP-PV-003  Signal Detection and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t>Document No.</w:t>
            </w:r>
          </w:p>
        </w:tc>
        <w:tc>
          <w:tcPr>
            <w:tcW w:type="dxa" w:w="4320"/>
          </w:tcPr>
          <w:p>
            <w:r>
              <w:t>SOP-PV-003</w:t>
            </w:r>
          </w:p>
        </w:tc>
      </w:tr>
      <w:tr>
        <w:tc>
          <w:tcPr>
            <w:tcW w:type="dxa" w:w="4320"/>
          </w:tcPr>
          <w:p>
            <w:r>
              <w:rPr>
                <w:b/>
              </w:rPr>
              <w:t>Version</w:t>
            </w:r>
          </w:p>
        </w:tc>
        <w:tc>
          <w:tcPr>
            <w:tcW w:type="dxa" w:w="4320"/>
          </w:tcPr>
          <w:p>
            <w:r>
              <w:t>2.0</w:t>
            </w:r>
          </w:p>
        </w:tc>
      </w:tr>
      <w:tr>
        <w:tc>
          <w:tcPr>
            <w:tcW w:type="dxa" w:w="4320"/>
          </w:tcPr>
          <w:p>
            <w:r>
              <w:rPr>
                <w:b/>
              </w:rPr>
              <w:t>Effective Date</w:t>
            </w:r>
          </w:p>
        </w:tc>
        <w:tc>
          <w:tcPr>
            <w:tcW w:type="dxa" w:w="4320"/>
          </w:tcPr>
          <w:p>
            <w:r>
              <w:t>2025-11-01</w:t>
            </w:r>
          </w:p>
        </w:tc>
      </w:tr>
      <w:tr>
        <w:tc>
          <w:tcPr>
            <w:tcW w:type="dxa" w:w="4320"/>
          </w:tcPr>
          <w:p>
            <w:r>
              <w:rPr>
                <w:b/>
              </w:rPr>
              <w:t>Owner</w:t>
            </w:r>
          </w:p>
        </w:tc>
        <w:tc>
          <w:tcPr>
            <w:tcW w:type="dxa" w:w="4320"/>
          </w:tcPr>
          <w:p>
            <w:r>
              <w:t>Pharmacovigilance Department</w:t>
            </w:r>
          </w:p>
        </w:tc>
      </w:tr>
    </w:tbl>
    <w:p/>
    <w:p>
      <w:pPr>
        <w:pStyle w:val="Heading1"/>
      </w:pPr>
      <w:r>
        <w:t>1. Purpose</w:t>
      </w:r>
    </w:p>
    <w:p>
      <w:r>
        <w:t>This SOP defines the process for detection, validation, prioritization, assessment, and outcome determination of safety signals for Meridian Pharma K.K. products, consistent with GVP Module IX and CIOMS VIII principles.</w:t>
      </w:r>
    </w:p>
    <w:p>
      <w:pPr>
        <w:pStyle w:val="Heading1"/>
      </w:pPr>
      <w:r>
        <w:t>2. Scope</w:t>
      </w:r>
    </w:p>
    <w:p>
      <w:r>
        <w:t>This SOP applies to all marketed and investigational Meridian products. It covers signals arising from any source, including the safety database, literature (per SOP-PV-004), regulatory authority requests, aggregate reports (per SOP-PV-002), and late-case trend data (per SOP-PV-001, Section 5.7).</w:t>
      </w:r>
    </w:p>
    <w:p>
      <w:pPr>
        <w:pStyle w:val="Heading1"/>
      </w:pPr>
      <w:r>
        <w:t>3. Definitions</w:t>
      </w:r>
    </w:p>
    <w:p>
      <w:pPr>
        <w:pStyle w:val="ListBullet"/>
      </w:pPr>
      <w:r>
        <w:rPr>
          <w:b/>
        </w:rPr>
        <w:t>Signal</w:t>
      </w:r>
      <w:r>
        <w:t>: Information arising from one or multiple sources which suggests a new potentially causal association, or a new aspect of a known association, between an intervention and an event, that is judged to be of sufficient likelihood to justify verificatory action.</w:t>
      </w:r>
    </w:p>
    <w:p>
      <w:pPr>
        <w:pStyle w:val="ListBullet"/>
      </w:pPr>
      <w:r>
        <w:rPr>
          <w:b/>
        </w:rPr>
        <w:t>Signal validation</w:t>
      </w:r>
      <w:r>
        <w:t>: The process of evaluating supporting data to determine whether a detected signal warrants further assessment.</w:t>
      </w:r>
    </w:p>
    <w:p>
      <w:pPr>
        <w:pStyle w:val="ListBullet"/>
      </w:pPr>
      <w:r>
        <w:rPr>
          <w:b/>
        </w:rPr>
        <w:t>EB05</w:t>
      </w:r>
      <w:r>
        <w:t>: The lower 5th percentile of the Empirical Bayes Geometric Mean, a disproportionality statistic.</w:t>
      </w:r>
    </w:p>
    <w:p>
      <w:pPr>
        <w:pStyle w:val="ListBullet"/>
      </w:pPr>
      <w:r>
        <w:rPr>
          <w:b/>
        </w:rPr>
        <w:t>SMT</w:t>
      </w:r>
      <w:r>
        <w:t>: Safety Management Team, the cross-functional body that adjudicates validated signals.</w:t>
      </w:r>
    </w:p>
    <w:p>
      <w:pPr>
        <w:pStyle w:val="Heading1"/>
      </w:pPr>
      <w:r>
        <w:t>4. Responsibilities</w:t>
      </w:r>
    </w:p>
    <w:p>
      <w:pPr>
        <w:pStyle w:val="ListBullet"/>
      </w:pPr>
      <w:r>
        <w:rPr>
          <w:b/>
        </w:rPr>
        <w:t>Signal Detection Scientist</w:t>
      </w:r>
      <w:r>
        <w:t>: Runs periodic screening, documents detected signals, and performs initial validation.</w:t>
      </w:r>
    </w:p>
    <w:p>
      <w:pPr>
        <w:pStyle w:val="ListBullet"/>
      </w:pPr>
      <w:r>
        <w:rPr>
          <w:b/>
        </w:rPr>
        <w:t>PV Physician</w:t>
      </w:r>
      <w:r>
        <w:t>: Leads signal assessment and drafts the signal evaluation report.</w:t>
      </w:r>
    </w:p>
    <w:p>
      <w:pPr>
        <w:pStyle w:val="ListBullet"/>
      </w:pPr>
      <w:r>
        <w:rPr>
          <w:b/>
        </w:rPr>
        <w:t>Safety Management Team (SMT)</w:t>
      </w:r>
      <w:r>
        <w:t>: Prioritizes validated signals and decides signal outcomes.</w:t>
      </w:r>
    </w:p>
    <w:p>
      <w:pPr>
        <w:pStyle w:val="ListBullet"/>
      </w:pPr>
      <w:r>
        <w:rPr>
          <w:b/>
        </w:rPr>
        <w:t>QPPV</w:t>
      </w:r>
      <w:r>
        <w:t>: Chairs the SMT and owns final signal decisions.</w:t>
      </w:r>
    </w:p>
    <w:p>
      <w:pPr>
        <w:pStyle w:val="Heading1"/>
      </w:pPr>
      <w:r>
        <w:t>5. Procedure</w:t>
      </w:r>
    </w:p>
    <w:p>
      <w:pPr>
        <w:pStyle w:val="Heading2"/>
      </w:pPr>
      <w:r>
        <w:t>5.1 Screening Frequency</w:t>
      </w:r>
    </w:p>
    <w:p>
      <w:r>
        <w:t xml:space="preserve">Quantitative screening of the safety database shall be performed </w:t>
      </w:r>
      <w:r>
        <w:rPr>
          <w:b/>
        </w:rPr>
        <w:t>quarterly</w:t>
      </w:r>
      <w:r>
        <w:t xml:space="preserve"> for all marketed products. Products under additional monitoring or with active risk management commitments shall be screened </w:t>
      </w:r>
      <w:r>
        <w:rPr>
          <w:b/>
        </w:rPr>
        <w:t>monthly</w:t>
      </w:r>
      <w:r>
        <w:t>.</w:t>
      </w:r>
    </w:p>
    <w:p>
      <w:pPr>
        <w:pStyle w:val="Heading2"/>
      </w:pPr>
      <w:r>
        <w:t>5.2 Detection Methods</w:t>
      </w:r>
    </w:p>
    <w:p>
      <w:pPr>
        <w:pStyle w:val="Heading3"/>
      </w:pPr>
      <w:r>
        <w:t>5.2.1 Quantitative Criteria</w:t>
      </w:r>
    </w:p>
    <w:p>
      <w:r>
        <w:t>A product-event combination shall be flagged for review when either of the following disproportionality thresholds is met:</w:t>
      </w:r>
    </w:p>
    <w:p>
      <w:pPr>
        <w:pStyle w:val="ListBullet"/>
      </w:pPr>
      <w:r>
        <w:t>EB05 ≥ 2 with at least 3 cases (N ≥ 3), or</w:t>
      </w:r>
    </w:p>
    <w:p>
      <w:pPr>
        <w:pStyle w:val="ListBullet"/>
      </w:pPr>
      <w:r>
        <w:t>PRR ≥ 2 with chi-square ≥ 4 and N ≥ 3.</w:t>
      </w:r>
    </w:p>
    <w:p>
      <w:pPr>
        <w:pStyle w:val="Heading3"/>
      </w:pPr>
      <w:r>
        <w:t>5.2.2 Qualitative Sources</w:t>
      </w:r>
    </w:p>
    <w:p>
      <w:r>
        <w:t>Individual case review, literature screening output per SOP-PV-004, health authority inquiries, and PSUR authoring observations per SOP-PV-002 may also generate signals regardless of statistical thresholds.</w:t>
      </w:r>
    </w:p>
    <w:p>
      <w:pPr>
        <w:pStyle w:val="Heading2"/>
      </w:pPr>
      <w:r>
        <w:t>5.3 Signal Validation</w:t>
      </w:r>
    </w:p>
    <w:p>
      <w:r>
        <w:t xml:space="preserve">Detected signals shall be validated within </w:t>
      </w:r>
      <w:r>
        <w:rPr>
          <w:b/>
        </w:rPr>
        <w:t>30 calendar days</w:t>
      </w:r>
      <w:r>
        <w:t xml:space="preserve"> of detection. Validation shall consider clinical relevance, data quality, biological plausibility, and previous awareness. The validation outcome (validated / not validated) and rationale shall be documented in the signal tracking log.</w:t>
      </w:r>
    </w:p>
    <w:p>
      <w:pPr>
        <w:pStyle w:val="Heading2"/>
      </w:pPr>
      <w:r>
        <w:t>5.4 Prioritization</w:t>
      </w:r>
    </w:p>
    <w:p>
      <w:r>
        <w:t xml:space="preserve">Validated signals shall be presented to the SMT at its next monthly meeting. Signals with potential major impact on the benefit-risk balance (e.g., fatal outcomes, new mechanism, vulnerable population) shall be escalated to the QPPV within </w:t>
      </w:r>
      <w:r>
        <w:rPr>
          <w:b/>
        </w:rPr>
        <w:t>3 business days</w:t>
      </w:r>
      <w:r>
        <w:t xml:space="preserve"> of validation, without waiting for the next SMT meeting.</w:t>
      </w:r>
    </w:p>
    <w:p>
      <w:pPr>
        <w:pStyle w:val="Heading2"/>
      </w:pPr>
      <w:r>
        <w:t>5.5 Signal Assessment</w:t>
      </w:r>
    </w:p>
    <w:p>
      <w:r>
        <w:t xml:space="preserve">The PV Physician shall complete the signal evaluation report within </w:t>
      </w:r>
      <w:r>
        <w:rPr>
          <w:b/>
        </w:rPr>
        <w:t>90 calendar days</w:t>
      </w:r>
      <w:r>
        <w:t xml:space="preserve"> of SMT prioritization for standard priority signals, and within </w:t>
      </w:r>
      <w:r>
        <w:rPr>
          <w:b/>
        </w:rPr>
        <w:t>45 calendar days</w:t>
      </w:r>
      <w:r>
        <w:t xml:space="preserve"> for high priority signals. The assessment shall include case series review, literature review, and, where applicable, analyses of clinical trial and epidemiological data.</w:t>
      </w:r>
    </w:p>
    <w:p>
      <w:pPr>
        <w:pStyle w:val="Heading2"/>
      </w:pPr>
      <w:r>
        <w:t>5.6 Signal Outcomes and Tracking</w:t>
      </w:r>
    </w:p>
    <w:p>
      <w:r>
        <w:t>The SMT shall determine one of the following outcomes: refuted signal, ongoing monitoring, or confirmed risk requiring action (e.g., CCDS update, risk minimization measure, regulatory notification). All signals and their status shall be recorded in the signal tracking log, which serves as the source for the PSUR signal section per SOP-PV-002, Section 5.3.2. Label changes resulting from confirmed risks shall be handled under change control per SOP-QA-003 where GxP systems or artwork are impacted.</w:t>
      </w:r>
    </w:p>
    <w:p>
      <w:pPr>
        <w:pStyle w:val="Heading1"/>
      </w:pPr>
      <w:r>
        <w:t>6. Records</w:t>
      </w:r>
    </w:p>
    <w:p>
      <w:r>
        <w:t>Screening outputs, validation assessments, signal evaluation reports, SMT minutes, and the signal tracking log shall be retained per WI-QA-004.</w:t>
      </w:r>
    </w:p>
    <w:p>
      <w:pPr>
        <w:pStyle w:val="Heading1"/>
      </w:pPr>
      <w:r>
        <w:t>7. References</w:t>
      </w:r>
    </w:p>
    <w:p>
      <w:pPr>
        <w:pStyle w:val="ListBullet"/>
      </w:pPr>
      <w:r>
        <w:t>SOP-PV-001 Individual Case Safety Report (ICSR) Processing</w:t>
      </w:r>
    </w:p>
    <w:p>
      <w:pPr>
        <w:pStyle w:val="ListBullet"/>
      </w:pPr>
      <w:r>
        <w:t>SOP-PV-002 Preparation of Aggregate Safety Reports (PSUR/PBRER)</w:t>
      </w:r>
    </w:p>
    <w:p>
      <w:pPr>
        <w:pStyle w:val="ListBullet"/>
      </w:pPr>
      <w:r>
        <w:t>SOP-PV-004 Literature Screening for Safety Information</w:t>
      </w:r>
    </w:p>
    <w:p>
      <w:pPr>
        <w:pStyle w:val="ListBullet"/>
      </w:pPr>
      <w:r>
        <w:t>SOP-QA-003 Change Control</w:t>
      </w:r>
    </w:p>
    <w:p>
      <w:pPr>
        <w:pStyle w:val="ListBullet"/>
      </w:pPr>
      <w:r>
        <w:t>WI-QA-004 Document Control and Records Management</w:t>
      </w:r>
    </w:p>
    <w:p>
      <w:pPr>
        <w:pStyle w:val="ListBullet"/>
      </w:pPr>
      <w:r>
        <w:t>GVP Module IX, CIOMS Working Group VIII report</w:t>
      </w:r>
    </w:p>
    <w:p>
      <w:pPr>
        <w:pStyle w:val="Heading1"/>
      </w:pPr>
      <w:r>
        <w:t>8. 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Effective Date</w:t>
            </w:r>
          </w:p>
        </w:tc>
        <w:tc>
          <w:tcPr>
            <w:tcW w:type="dxa" w:w="2880"/>
          </w:tcPr>
          <w:p>
            <w:r>
              <w:rPr>
                <w:b/>
              </w:rPr>
              <w:t>Description of Change</w:t>
            </w:r>
          </w:p>
        </w:tc>
      </w:tr>
      <w:tr>
        <w:tc>
          <w:tcPr>
            <w:tcW w:type="dxa" w:w="2880"/>
          </w:tcPr>
          <w:p>
            <w:r>
              <w:t>1.0</w:t>
            </w:r>
          </w:p>
        </w:tc>
        <w:tc>
          <w:tcPr>
            <w:tcW w:type="dxa" w:w="2880"/>
          </w:tcPr>
          <w:p>
            <w:r>
              <w:t>2023-09-01</w:t>
            </w:r>
          </w:p>
        </w:tc>
        <w:tc>
          <w:tcPr>
            <w:tcW w:type="dxa" w:w="2880"/>
          </w:tcPr>
          <w:p>
            <w:r>
              <w:t>Initial issue</w:t>
            </w:r>
          </w:p>
        </w:tc>
      </w:tr>
      <w:tr>
        <w:tc>
          <w:tcPr>
            <w:tcW w:type="dxa" w:w="2880"/>
          </w:tcPr>
          <w:p>
            <w:r>
              <w:t>2.0</w:t>
            </w:r>
          </w:p>
        </w:tc>
        <w:tc>
          <w:tcPr>
            <w:tcW w:type="dxa" w:w="2880"/>
          </w:tcPr>
          <w:p>
            <w:r>
              <w:t>2025-11-01</w:t>
            </w:r>
          </w:p>
        </w:tc>
        <w:tc>
          <w:tcPr>
            <w:tcW w:type="dxa" w:w="2880"/>
          </w:tcPr>
          <w:p>
            <w:r>
              <w:t>Added monthly screening for products under additional monitoring; high priority assessment timeline set to 45 days</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Meridian Pharma K.K.    SOP-PV-003 v2.0    CONFIDENTIAL – Fictional document for RAG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