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SOP-QA-003  Change Control</w:t>
      </w:r>
    </w:p>
    <w:tbl>
      <w:tblPr>
        <w:tblStyle w:val="TableGrid"/>
        <w:tblW w:type="auto" w:w="0"/>
        <w:tblLook w:firstColumn="1" w:firstRow="1" w:lastColumn="0" w:lastRow="0" w:noHBand="0" w:noVBand="1" w:val="04A0"/>
      </w:tblPr>
      <w:tblGrid>
        <w:gridCol w:w="4320"/>
        <w:gridCol w:w="4320"/>
      </w:tblGrid>
      <w:tr>
        <w:tc>
          <w:tcPr>
            <w:tcW w:type="dxa" w:w="4320"/>
          </w:tcPr>
          <w:p>
            <w:r>
              <w:rPr>
                <w:b/>
              </w:rPr>
              <w:t>Document No.</w:t>
            </w:r>
          </w:p>
        </w:tc>
        <w:tc>
          <w:tcPr>
            <w:tcW w:type="dxa" w:w="4320"/>
          </w:tcPr>
          <w:p>
            <w:r>
              <w:t>SOP-QA-003</w:t>
            </w:r>
          </w:p>
        </w:tc>
      </w:tr>
      <w:tr>
        <w:tc>
          <w:tcPr>
            <w:tcW w:type="dxa" w:w="4320"/>
          </w:tcPr>
          <w:p>
            <w:r>
              <w:rPr>
                <w:b/>
              </w:rPr>
              <w:t>Version</w:t>
            </w:r>
          </w:p>
        </w:tc>
        <w:tc>
          <w:tcPr>
            <w:tcW w:type="dxa" w:w="4320"/>
          </w:tcPr>
          <w:p>
            <w:r>
              <w:t>2.2</w:t>
            </w:r>
          </w:p>
        </w:tc>
      </w:tr>
      <w:tr>
        <w:tc>
          <w:tcPr>
            <w:tcW w:type="dxa" w:w="4320"/>
          </w:tcPr>
          <w:p>
            <w:r>
              <w:rPr>
                <w:b/>
              </w:rPr>
              <w:t>Effective Date</w:t>
            </w:r>
          </w:p>
        </w:tc>
        <w:tc>
          <w:tcPr>
            <w:tcW w:type="dxa" w:w="4320"/>
          </w:tcPr>
          <w:p>
            <w:r>
              <w:t>2025-09-15</w:t>
            </w:r>
          </w:p>
        </w:tc>
      </w:tr>
      <w:tr>
        <w:tc>
          <w:tcPr>
            <w:tcW w:type="dxa" w:w="4320"/>
          </w:tcPr>
          <w:p>
            <w:r>
              <w:rPr>
                <w:b/>
              </w:rPr>
              <w:t>Owner</w:t>
            </w:r>
          </w:p>
        </w:tc>
        <w:tc>
          <w:tcPr>
            <w:tcW w:type="dxa" w:w="4320"/>
          </w:tcPr>
          <w:p>
            <w:r>
              <w:t>Quality Assurance Department</w:t>
            </w:r>
          </w:p>
        </w:tc>
      </w:tr>
    </w:tbl>
    <w:p/>
    <w:p>
      <w:pPr>
        <w:pStyle w:val="Heading1"/>
      </w:pPr>
      <w:r>
        <w:t>1. Purpose</w:t>
      </w:r>
    </w:p>
    <w:p>
      <w:r>
        <w:t>This SOP defines the process for proposing, assessing, approving, implementing, and reviewing changes to GxP processes, systems, facilities, documents, and products at Meridian Pharma K.K., ensuring changes are evaluated for risk before implementation.</w:t>
      </w:r>
    </w:p>
    <w:p>
      <w:pPr>
        <w:pStyle w:val="Heading1"/>
      </w:pPr>
      <w:r>
        <w:t>2. Scope</w:t>
      </w:r>
    </w:p>
    <w:p>
      <w:r>
        <w:t>This SOP applies to all planned changes with potential GxP impact, including changes to computerized systems (see SOP-IT-001), controlled documents (see WI-QA-004), manufacturing processes, analytical methods, PV processes, and vendors. Emergency changes are covered in Section 5.6. Document-only editorial corrections are handled per WI-QA-004 and do not require a change control record.</w:t>
      </w:r>
    </w:p>
    <w:p>
      <w:pPr>
        <w:pStyle w:val="Heading1"/>
      </w:pPr>
      <w:r>
        <w:t>3. Definitions</w:t>
      </w:r>
    </w:p>
    <w:p>
      <w:pPr>
        <w:pStyle w:val="ListBullet"/>
      </w:pPr>
      <w:r>
        <w:rPr>
          <w:b/>
        </w:rPr>
        <w:t>Change Control Record (CCR)</w:t>
      </w:r>
      <w:r>
        <w:t>: The eQMS record documenting a change from proposal to closure.</w:t>
      </w:r>
    </w:p>
    <w:p>
      <w:pPr>
        <w:pStyle w:val="ListBullet"/>
      </w:pPr>
      <w:r>
        <w:rPr>
          <w:b/>
        </w:rPr>
        <w:t>Standard change</w:t>
      </w:r>
      <w:r>
        <w:t>: A low-risk, pre-assessed, repeatable change type on the approved standard change list.</w:t>
      </w:r>
    </w:p>
    <w:p>
      <w:pPr>
        <w:pStyle w:val="ListBullet"/>
      </w:pPr>
      <w:r>
        <w:rPr>
          <w:b/>
        </w:rPr>
        <w:t>Major change</w:t>
      </w:r>
      <w:r>
        <w:t>: A change with potential impact on product quality, patient safety, data integrity, or regulatory commitments.</w:t>
      </w:r>
    </w:p>
    <w:p>
      <w:pPr>
        <w:pStyle w:val="ListBullet"/>
      </w:pPr>
      <w:r>
        <w:rPr>
          <w:b/>
        </w:rPr>
        <w:t>Critical change</w:t>
      </w:r>
      <w:r>
        <w:t>: A change affecting registered details, validated state of a critical system, or safety reporting obligations.</w:t>
      </w:r>
    </w:p>
    <w:p>
      <w:pPr>
        <w:pStyle w:val="Heading1"/>
      </w:pPr>
      <w:r>
        <w:t>4. Responsibilities</w:t>
      </w:r>
    </w:p>
    <w:p>
      <w:pPr>
        <w:pStyle w:val="ListBullet"/>
      </w:pPr>
      <w:r>
        <w:rPr>
          <w:b/>
        </w:rPr>
        <w:t>Change Initiator</w:t>
      </w:r>
      <w:r>
        <w:t>: Proposes the change and drafts the justification.</w:t>
      </w:r>
    </w:p>
    <w:p>
      <w:pPr>
        <w:pStyle w:val="ListBullet"/>
      </w:pPr>
      <w:r>
        <w:rPr>
          <w:b/>
        </w:rPr>
        <w:t>Impact Assessors</w:t>
      </w:r>
      <w:r>
        <w:t>: Subject matter experts (QA, IT, PV, RA, etc.) who evaluate impact in their domain.</w:t>
      </w:r>
    </w:p>
    <w:p>
      <w:pPr>
        <w:pStyle w:val="ListBullet"/>
      </w:pPr>
      <w:r>
        <w:rPr>
          <w:b/>
        </w:rPr>
        <w:t>Change Control Board (CCB)</w:t>
      </w:r>
      <w:r>
        <w:t>: Reviews and approves major and critical changes; meets twice per month.</w:t>
      </w:r>
    </w:p>
    <w:p>
      <w:pPr>
        <w:pStyle w:val="ListBullet"/>
      </w:pPr>
      <w:r>
        <w:rPr>
          <w:b/>
        </w:rPr>
        <w:t>QA</w:t>
      </w:r>
      <w:r>
        <w:t>: Classifies changes, confirms all pre-implementation actions are complete, and closes the CCR.</w:t>
      </w:r>
    </w:p>
    <w:p>
      <w:pPr>
        <w:pStyle w:val="Heading1"/>
      </w:pPr>
      <w:r>
        <w:t>5. Procedure</w:t>
      </w:r>
    </w:p>
    <w:p>
      <w:pPr>
        <w:pStyle w:val="Heading2"/>
      </w:pPr>
      <w:r>
        <w:t>5.1 Change Proposal</w:t>
      </w:r>
    </w:p>
    <w:p>
      <w:r>
        <w:t>The Change Initiator shall create a CCR describing the current state, proposed change, reason, and affected items. Supporting documents shall be attached.</w:t>
      </w:r>
    </w:p>
    <w:p>
      <w:pPr>
        <w:pStyle w:val="Heading2"/>
      </w:pPr>
      <w:r>
        <w:t>5.2 Classification and Impact Assessment</w:t>
      </w:r>
    </w:p>
    <w:p>
      <w:pPr>
        <w:pStyle w:val="Heading3"/>
      </w:pPr>
      <w:r>
        <w:t>5.2.1 Classification</w:t>
      </w:r>
    </w:p>
    <w:p>
      <w:r>
        <w:t xml:space="preserve">QA shall classify the change (standard / major / critical) within </w:t>
      </w:r>
      <w:r>
        <w:rPr>
          <w:b/>
        </w:rPr>
        <w:t>5 business days</w:t>
      </w:r>
      <w:r>
        <w:t xml:space="preserve"> of CCR creation.</w:t>
      </w:r>
    </w:p>
    <w:p>
      <w:pPr>
        <w:pStyle w:val="Heading3"/>
      </w:pPr>
      <w:r>
        <w:t>5.2.2 Impact Assessment</w:t>
      </w:r>
    </w:p>
    <w:p>
      <w:r>
        <w:t xml:space="preserve">Impact Assessors shall complete their assessments within </w:t>
      </w:r>
      <w:r>
        <w:rPr>
          <w:b/>
        </w:rPr>
        <w:t>10 business days</w:t>
      </w:r>
      <w:r>
        <w:t xml:space="preserve"> of assignment. For changes to computerized systems, the validation impact assessment per SOP-IT-001, Section 5.5, is mandatory. For changes affecting safety reporting, PV shall assess impact on obligations under SOP-PV-001 and SOP-PV-002.</w:t>
      </w:r>
    </w:p>
    <w:p>
      <w:pPr>
        <w:pStyle w:val="Heading2"/>
      </w:pPr>
      <w:r>
        <w:t>5.3 Approval</w:t>
      </w:r>
    </w:p>
    <w:p>
      <w:pPr>
        <w:pStyle w:val="ListBullet"/>
      </w:pPr>
      <w:r>
        <w:rPr>
          <w:b/>
        </w:rPr>
        <w:t>Standard changes</w:t>
      </w:r>
      <w:r>
        <w:t>: approved by QA alone.</w:t>
      </w:r>
    </w:p>
    <w:p>
      <w:pPr>
        <w:pStyle w:val="ListBullet"/>
      </w:pPr>
      <w:r>
        <w:rPr>
          <w:b/>
        </w:rPr>
        <w:t>Major and critical changes</w:t>
      </w:r>
      <w:r>
        <w:t>: approved by the CCB. Critical changes additionally require Head of QA approval.</w:t>
      </w:r>
    </w:p>
    <w:p>
      <w:r>
        <w:t>No change shall be implemented before all required approvals are obtained.</w:t>
      </w:r>
    </w:p>
    <w:p>
      <w:pPr>
        <w:pStyle w:val="Heading2"/>
      </w:pPr>
      <w:r>
        <w:t>5.4 Implementation</w:t>
      </w:r>
    </w:p>
    <w:p>
      <w:r>
        <w:t>The Change Initiator shall implement approved actions (e.g., validation activities per SOP-IT-001, document revisions per WI-QA-004, training). Implementation evidence shall be attached to the CCR.</w:t>
      </w:r>
    </w:p>
    <w:p>
      <w:pPr>
        <w:pStyle w:val="Heading2"/>
      </w:pPr>
      <w:r>
        <w:t>5.5 Post-Implementation Review</w:t>
      </w:r>
    </w:p>
    <w:p>
      <w:r>
        <w:t xml:space="preserve">For major and critical changes, a post-implementation review shall be completed within </w:t>
      </w:r>
      <w:r>
        <w:rPr>
          <w:b/>
        </w:rPr>
        <w:t>60 calendar days</w:t>
      </w:r>
      <w:r>
        <w:t xml:space="preserve"> of implementation to confirm the change achieved its intended purpose without adverse effects. Findings of adverse impact shall be recorded as a deviation per SOP-QA-001.</w:t>
      </w:r>
    </w:p>
    <w:p>
      <w:pPr>
        <w:pStyle w:val="Heading2"/>
      </w:pPr>
      <w:r>
        <w:t>5.6 Emergency Changes</w:t>
      </w:r>
    </w:p>
    <w:p>
      <w:r>
        <w:t xml:space="preserve">Where an urgent change is required to protect patient safety, product supply, or data integrity, verbal approval from QA and the affected department head may authorize immediate implementation. The CCR shall be created retrospectively and ratified by the CCB within </w:t>
      </w:r>
      <w:r>
        <w:rPr>
          <w:b/>
        </w:rPr>
        <w:t>5 business days</w:t>
      </w:r>
      <w:r>
        <w:t xml:space="preserve"> of implementation.</w:t>
      </w:r>
    </w:p>
    <w:p>
      <w:pPr>
        <w:pStyle w:val="Heading2"/>
      </w:pPr>
      <w:r>
        <w:t>5.7 Closure</w:t>
      </w:r>
    </w:p>
    <w:p>
      <w:r>
        <w:t>QA shall close the CCR when all actions, training, and the post-implementation review (where required) are complete. Target closure is 90 calendar days from approval for major changes.</w:t>
      </w:r>
    </w:p>
    <w:p>
      <w:pPr>
        <w:pStyle w:val="Heading1"/>
      </w:pPr>
      <w:r>
        <w:t>6. Records</w:t>
      </w:r>
    </w:p>
    <w:p>
      <w:r>
        <w:t>CCRs, impact assessments, approvals, implementation evidence, and post-implementation reviews shall be retained in the eQMS per WI-QA-004.</w:t>
      </w:r>
    </w:p>
    <w:p>
      <w:pPr>
        <w:pStyle w:val="Heading1"/>
      </w:pPr>
      <w:r>
        <w:t>7. References</w:t>
      </w:r>
    </w:p>
    <w:p>
      <w:pPr>
        <w:pStyle w:val="ListBullet"/>
      </w:pPr>
      <w:r>
        <w:t>SOP-QA-001 Deviation Management</w:t>
      </w:r>
    </w:p>
    <w:p>
      <w:pPr>
        <w:pStyle w:val="ListBullet"/>
      </w:pPr>
      <w:r>
        <w:t>SOP-IT-001 Computerized System Validation and Data Integrity</w:t>
      </w:r>
    </w:p>
    <w:p>
      <w:pPr>
        <w:pStyle w:val="ListBullet"/>
      </w:pPr>
      <w:r>
        <w:t>WI-QA-004 Document Control and Records Management</w:t>
      </w:r>
    </w:p>
    <w:p>
      <w:pPr>
        <w:pStyle w:val="ListBullet"/>
      </w:pPr>
      <w:r>
        <w:t>SOP-PV-001 Individual Case Safety Report (ICSR) Processing</w:t>
      </w:r>
    </w:p>
    <w:p>
      <w:pPr>
        <w:pStyle w:val="ListBullet"/>
      </w:pPr>
      <w:r>
        <w:t>SOP-PV-002 Preparation of Aggregate Safety Reports (PSUR/PBRER)</w:t>
      </w:r>
    </w:p>
    <w:p>
      <w:pPr>
        <w:pStyle w:val="ListBullet"/>
      </w:pPr>
      <w:r>
        <w:t>ICH Q10, GAMP 5 (2nd Edition)</w:t>
      </w:r>
    </w:p>
    <w:p>
      <w:pPr>
        <w:pStyle w:val="Heading1"/>
      </w:pPr>
      <w:r>
        <w:t>8.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Effective Date</w:t>
            </w:r>
          </w:p>
        </w:tc>
        <w:tc>
          <w:tcPr>
            <w:tcW w:type="dxa" w:w="2880"/>
          </w:tcPr>
          <w:p>
            <w:r>
              <w:rPr>
                <w:b/>
              </w:rPr>
              <w:t>Description of Change</w:t>
            </w:r>
          </w:p>
        </w:tc>
      </w:tr>
      <w:tr>
        <w:tc>
          <w:tcPr>
            <w:tcW w:type="dxa" w:w="2880"/>
          </w:tcPr>
          <w:p>
            <w:r>
              <w:t>2.0</w:t>
            </w:r>
          </w:p>
        </w:tc>
        <w:tc>
          <w:tcPr>
            <w:tcW w:type="dxa" w:w="2880"/>
          </w:tcPr>
          <w:p>
            <w:r>
              <w:t>2024-05-01</w:t>
            </w:r>
          </w:p>
        </w:tc>
        <w:tc>
          <w:tcPr>
            <w:tcW w:type="dxa" w:w="2880"/>
          </w:tcPr>
          <w:p>
            <w:r>
              <w:t>Standard change list introduced</w:t>
            </w:r>
          </w:p>
        </w:tc>
      </w:tr>
      <w:tr>
        <w:tc>
          <w:tcPr>
            <w:tcW w:type="dxa" w:w="2880"/>
          </w:tcPr>
          <w:p>
            <w:r>
              <w:t>2.1</w:t>
            </w:r>
          </w:p>
        </w:tc>
        <w:tc>
          <w:tcPr>
            <w:tcW w:type="dxa" w:w="2880"/>
          </w:tcPr>
          <w:p>
            <w:r>
              <w:t>2025-03-01</w:t>
            </w:r>
          </w:p>
        </w:tc>
        <w:tc>
          <w:tcPr>
            <w:tcW w:type="dxa" w:w="2880"/>
          </w:tcPr>
          <w:p>
            <w:r>
              <w:t>CCB frequency changed to twice per month</w:t>
            </w:r>
          </w:p>
        </w:tc>
      </w:tr>
      <w:tr>
        <w:tc>
          <w:tcPr>
            <w:tcW w:type="dxa" w:w="2880"/>
          </w:tcPr>
          <w:p>
            <w:r>
              <w:t>2.2</w:t>
            </w:r>
          </w:p>
        </w:tc>
        <w:tc>
          <w:tcPr>
            <w:tcW w:type="dxa" w:w="2880"/>
          </w:tcPr>
          <w:p>
            <w:r>
              <w:t>2025-09-15</w:t>
            </w:r>
          </w:p>
        </w:tc>
        <w:tc>
          <w:tcPr>
            <w:tcW w:type="dxa" w:w="2880"/>
          </w:tcPr>
          <w:p>
            <w:r>
              <w:t>Emergency change ratification window set to 5 business days</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Meridian Pharma K.K.    SOP-QA-003 v2.2    CONFIDENTIAL – Fictional document for RAG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