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WI-PV-005  Pharmacovigilance Vendor Oversight</w:t>
      </w:r>
    </w:p>
    <w:tbl>
      <w:tblPr>
        <w:tblStyle w:val="TableGrid"/>
        <w:tblW w:type="auto" w:w="0"/>
        <w:tblLook w:firstColumn="1" w:firstRow="1" w:lastColumn="0" w:lastRow="0" w:noHBand="0" w:noVBand="1" w:val="04A0"/>
      </w:tblPr>
      <w:tblGrid>
        <w:gridCol w:w="4320"/>
        <w:gridCol w:w="4320"/>
      </w:tblGrid>
      <w:tr>
        <w:tc>
          <w:tcPr>
            <w:tcW w:type="dxa" w:w="4320"/>
          </w:tcPr>
          <w:p>
            <w:r>
              <w:rPr>
                <w:b/>
              </w:rPr>
              <w:t>Document No.</w:t>
            </w:r>
          </w:p>
        </w:tc>
        <w:tc>
          <w:tcPr>
            <w:tcW w:type="dxa" w:w="4320"/>
          </w:tcPr>
          <w:p>
            <w:r>
              <w:t>WI-PV-005</w:t>
            </w:r>
          </w:p>
        </w:tc>
      </w:tr>
      <w:tr>
        <w:tc>
          <w:tcPr>
            <w:tcW w:type="dxa" w:w="4320"/>
          </w:tcPr>
          <w:p>
            <w:r>
              <w:rPr>
                <w:b/>
              </w:rPr>
              <w:t>Version</w:t>
            </w:r>
          </w:p>
        </w:tc>
        <w:tc>
          <w:tcPr>
            <w:tcW w:type="dxa" w:w="4320"/>
          </w:tcPr>
          <w:p>
            <w:r>
              <w:t>1.1</w:t>
            </w:r>
          </w:p>
        </w:tc>
      </w:tr>
      <w:tr>
        <w:tc>
          <w:tcPr>
            <w:tcW w:type="dxa" w:w="4320"/>
          </w:tcPr>
          <w:p>
            <w:r>
              <w:rPr>
                <w:b/>
              </w:rPr>
              <w:t>Effective Date</w:t>
            </w:r>
          </w:p>
        </w:tc>
        <w:tc>
          <w:tcPr>
            <w:tcW w:type="dxa" w:w="4320"/>
          </w:tcPr>
          <w:p>
            <w:r>
              <w:t>2025-10-01</w:t>
            </w:r>
          </w:p>
        </w:tc>
      </w:tr>
      <w:tr>
        <w:tc>
          <w:tcPr>
            <w:tcW w:type="dxa" w:w="4320"/>
          </w:tcPr>
          <w:p>
            <w:r>
              <w:rPr>
                <w:b/>
              </w:rPr>
              <w:t>Owner</w:t>
            </w:r>
          </w:p>
        </w:tc>
        <w:tc>
          <w:tcPr>
            <w:tcW w:type="dxa" w:w="4320"/>
          </w:tcPr>
          <w:p>
            <w:r>
              <w:t>Pharmacovigilance Department</w:t>
            </w:r>
          </w:p>
        </w:tc>
      </w:tr>
    </w:tbl>
    <w:p/>
    <w:p>
      <w:pPr>
        <w:pStyle w:val="Heading1"/>
      </w:pPr>
      <w:r>
        <w:t>1. Purpose</w:t>
      </w:r>
    </w:p>
    <w:p>
      <w:r>
        <w:t>This Work Instruction (WI) describes the day-to-day oversight activities for pharmacovigilance vendors performing outsourced case processing, literature screening, or call center intake on behalf of Meridian Pharma K.K.</w:t>
      </w:r>
    </w:p>
    <w:p>
      <w:pPr>
        <w:pStyle w:val="Heading1"/>
      </w:pPr>
      <w:r>
        <w:t>2. Scope</w:t>
      </w:r>
    </w:p>
    <w:p>
      <w:r>
        <w:t>This WI applies to all PV service providers with an executed Safety Data Exchange Agreement (SDEA) or quality agreement covering PV activities. Vendor qualification and contracting are owned by Procurement and are out of scope.</w:t>
      </w:r>
    </w:p>
    <w:p>
      <w:pPr>
        <w:pStyle w:val="Heading1"/>
      </w:pPr>
      <w:r>
        <w:t>3. Definitions</w:t>
      </w:r>
    </w:p>
    <w:p>
      <w:pPr>
        <w:pStyle w:val="ListBullet"/>
      </w:pPr>
      <w:r>
        <w:rPr>
          <w:b/>
        </w:rPr>
        <w:t>KPI</w:t>
      </w:r>
      <w:r>
        <w:t>: Key Performance Indicator defined in the vendor quality agreement.</w:t>
      </w:r>
    </w:p>
    <w:p>
      <w:pPr>
        <w:pStyle w:val="ListBullet"/>
      </w:pPr>
      <w:r>
        <w:rPr>
          <w:b/>
        </w:rPr>
        <w:t>Reconciliation</w:t>
      </w:r>
      <w:r>
        <w:t>: Systematic comparison of cases exchanged between the vendor and Meridian to confirm completeness.</w:t>
      </w:r>
    </w:p>
    <w:p>
      <w:pPr>
        <w:pStyle w:val="ListBullet"/>
      </w:pPr>
      <w:r>
        <w:rPr>
          <w:b/>
        </w:rPr>
        <w:t>SDEA</w:t>
      </w:r>
      <w:r>
        <w:t>: Safety Data Exchange Agreement.</w:t>
      </w:r>
    </w:p>
    <w:p>
      <w:pPr>
        <w:pStyle w:val="Heading1"/>
      </w:pPr>
      <w:r>
        <w:t>4. Responsibilities</w:t>
      </w:r>
    </w:p>
    <w:p>
      <w:pPr>
        <w:pStyle w:val="ListBullet"/>
      </w:pPr>
      <w:r>
        <w:rPr>
          <w:b/>
        </w:rPr>
        <w:t>PV Vendor Oversight Lead</w:t>
      </w:r>
      <w:r>
        <w:t>: Runs monthly KPI reviews, chairs governance meetings, maintains the oversight file.</w:t>
      </w:r>
    </w:p>
    <w:p>
      <w:pPr>
        <w:pStyle w:val="ListBullet"/>
      </w:pPr>
      <w:r>
        <w:rPr>
          <w:b/>
        </w:rPr>
        <w:t>PV Manager</w:t>
      </w:r>
      <w:r>
        <w:t>: Approves escalations and remediation plans.</w:t>
      </w:r>
    </w:p>
    <w:p>
      <w:pPr>
        <w:pStyle w:val="ListBullet"/>
      </w:pPr>
      <w:r>
        <w:rPr>
          <w:b/>
        </w:rPr>
        <w:t>QA</w:t>
      </w:r>
      <w:r>
        <w:t>: Schedules and conducts vendor audits.</w:t>
      </w:r>
    </w:p>
    <w:p>
      <w:pPr>
        <w:pStyle w:val="Heading1"/>
      </w:pPr>
      <w:r>
        <w:t>5. Procedure</w:t>
      </w:r>
    </w:p>
    <w:p>
      <w:pPr>
        <w:pStyle w:val="Heading2"/>
      </w:pPr>
      <w:r>
        <w:t>5.1 Case Transmission</w:t>
      </w:r>
    </w:p>
    <w:p>
      <w:r>
        <w:t xml:space="preserve">The vendor shall transmit valid cases to Meridian within </w:t>
      </w:r>
      <w:r>
        <w:rPr>
          <w:b/>
        </w:rPr>
        <w:t>1 business day</w:t>
      </w:r>
      <w:r>
        <w:t xml:space="preserve"> of vendor receipt. Day 0 remains the date of first vendor awareness, per SOP-PV-001, Section 5.1.3.</w:t>
      </w:r>
    </w:p>
    <w:p>
      <w:pPr>
        <w:pStyle w:val="Heading2"/>
      </w:pPr>
      <w:r>
        <w:t>5.2 Monthly KPI Review</w:t>
      </w:r>
    </w:p>
    <w:p>
      <w:r>
        <w:t>The PV Vendor Oversight Lead shall review vendor KPIs monthly. Contractual KPI targets include:</w:t>
      </w:r>
    </w:p>
    <w:p>
      <w:pPr>
        <w:pStyle w:val="ListBullet"/>
      </w:pPr>
      <w:r>
        <w:t xml:space="preserve">On-time case transmission: ≥ </w:t>
      </w:r>
      <w:r>
        <w:rPr>
          <w:b/>
        </w:rPr>
        <w:t>98%</w:t>
      </w:r>
    </w:p>
    <w:p>
      <w:pPr>
        <w:pStyle w:val="ListBullet"/>
      </w:pPr>
      <w:r>
        <w:t>Case quality (critical error-free rate on sampled cases): ≥ 95%</w:t>
      </w:r>
    </w:p>
    <w:p>
      <w:pPr>
        <w:pStyle w:val="ListBullet"/>
      </w:pPr>
      <w:r>
        <w:t>Literature screening on-schedule execution: 100%</w:t>
      </w:r>
    </w:p>
    <w:p>
      <w:r>
        <w:t>KPI results shall be documented in the monthly oversight report.</w:t>
      </w:r>
    </w:p>
    <w:p>
      <w:pPr>
        <w:pStyle w:val="Heading2"/>
      </w:pPr>
      <w:r>
        <w:t>5.3 Reconciliation</w:t>
      </w:r>
    </w:p>
    <w:p>
      <w:r>
        <w:t xml:space="preserve">Case reconciliation between the vendor tracker and the Meridian safety database shall be performed </w:t>
      </w:r>
      <w:r>
        <w:rPr>
          <w:b/>
        </w:rPr>
        <w:t>monthly</w:t>
      </w:r>
      <w:r>
        <w:t>, covering the previous calendar month. Discrepancies shall be resolved within 10 business days; any unreported valid case discovered during reconciliation shall be processed immediately per SOP-PV-001 and assessed as a potential deviation per SOP-QA-001.</w:t>
      </w:r>
    </w:p>
    <w:p>
      <w:pPr>
        <w:pStyle w:val="Heading2"/>
      </w:pPr>
      <w:r>
        <w:t>5.4 Escalation and CAPA</w:t>
      </w:r>
    </w:p>
    <w:p>
      <w:r>
        <w:t xml:space="preserve">If any KPI falls below its target for </w:t>
      </w:r>
      <w:r>
        <w:rPr>
          <w:b/>
        </w:rPr>
        <w:t>2 consecutive months</w:t>
      </w:r>
      <w:r>
        <w:t>, the PV Vendor Oversight Lead shall escalate to the PV Manager, and a vendor CAPA shall be requested and tracked per SOP-QA-002. Repeat failures within 12 months shall trigger a for-cause audit.</w:t>
      </w:r>
    </w:p>
    <w:p>
      <w:pPr>
        <w:pStyle w:val="Heading2"/>
      </w:pPr>
      <w:r>
        <w:t>5.5 Vendor Audits</w:t>
      </w:r>
    </w:p>
    <w:p>
      <w:r>
        <w:t xml:space="preserve">Routine vendor audits shall be conducted by QA at least </w:t>
      </w:r>
      <w:r>
        <w:rPr>
          <w:b/>
        </w:rPr>
        <w:t>every 2 years</w:t>
      </w:r>
      <w:r>
        <w:t>. Audit findings shall be tracked to closure per SOP-QA-002.</w:t>
      </w:r>
    </w:p>
    <w:p>
      <w:pPr>
        <w:pStyle w:val="Heading2"/>
      </w:pPr>
      <w:r>
        <w:t>5.6 Governance Meetings</w:t>
      </w:r>
    </w:p>
    <w:p>
      <w:r>
        <w:t>Quarterly governance meetings shall be held with each vendor, covering KPI trends, open CAPAs, upcoming regulatory changes, and staffing. Minutes shall be filed in the vendor oversight file per WI-QA-004.</w:t>
      </w:r>
    </w:p>
    <w:p>
      <w:pPr>
        <w:pStyle w:val="Heading1"/>
      </w:pPr>
      <w:r>
        <w:t>6. Records</w:t>
      </w:r>
    </w:p>
    <w:p>
      <w:r>
        <w:t>Monthly oversight reports, reconciliation logs, governance minutes, and escalation records shall be retained per WI-QA-004.</w:t>
      </w:r>
    </w:p>
    <w:p>
      <w:pPr>
        <w:pStyle w:val="Heading1"/>
      </w:pPr>
      <w:r>
        <w:t>7. References</w:t>
      </w:r>
    </w:p>
    <w:p>
      <w:pPr>
        <w:pStyle w:val="ListBullet"/>
      </w:pPr>
      <w:r>
        <w:t>SOP-PV-001 Individual Case Safety Report (ICSR) Processing</w:t>
      </w:r>
    </w:p>
    <w:p>
      <w:pPr>
        <w:pStyle w:val="ListBullet"/>
      </w:pPr>
      <w:r>
        <w:t>SOP-QA-001 Deviation Management</w:t>
      </w:r>
    </w:p>
    <w:p>
      <w:pPr>
        <w:pStyle w:val="ListBullet"/>
      </w:pPr>
      <w:r>
        <w:t>SOP-QA-002 CAPA Management</w:t>
      </w:r>
    </w:p>
    <w:p>
      <w:pPr>
        <w:pStyle w:val="ListBullet"/>
      </w:pPr>
      <w:r>
        <w:t>WI-QA-004 Document Control and Records Management</w:t>
      </w:r>
    </w:p>
    <w:p>
      <w:pPr>
        <w:pStyle w:val="Heading1"/>
      </w:pPr>
      <w:r>
        <w:t>8. 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Version</w:t>
            </w:r>
          </w:p>
        </w:tc>
        <w:tc>
          <w:tcPr>
            <w:tcW w:type="dxa" w:w="2880"/>
          </w:tcPr>
          <w:p>
            <w:r>
              <w:rPr>
                <w:b/>
              </w:rPr>
              <w:t>Effective Date</w:t>
            </w:r>
          </w:p>
        </w:tc>
        <w:tc>
          <w:tcPr>
            <w:tcW w:type="dxa" w:w="2880"/>
          </w:tcPr>
          <w:p>
            <w:r>
              <w:rPr>
                <w:b/>
              </w:rPr>
              <w:t>Description of Change</w:t>
            </w:r>
          </w:p>
        </w:tc>
      </w:tr>
      <w:tr>
        <w:tc>
          <w:tcPr>
            <w:tcW w:type="dxa" w:w="2880"/>
          </w:tcPr>
          <w:p>
            <w:r>
              <w:t>1.0</w:t>
            </w:r>
          </w:p>
        </w:tc>
        <w:tc>
          <w:tcPr>
            <w:tcW w:type="dxa" w:w="2880"/>
          </w:tcPr>
          <w:p>
            <w:r>
              <w:t>2024-07-01</w:t>
            </w:r>
          </w:p>
        </w:tc>
        <w:tc>
          <w:tcPr>
            <w:tcW w:type="dxa" w:w="2880"/>
          </w:tcPr>
          <w:p>
            <w:r>
              <w:t>Initial issue</w:t>
            </w:r>
          </w:p>
        </w:tc>
      </w:tr>
      <w:tr>
        <w:tc>
          <w:tcPr>
            <w:tcW w:type="dxa" w:w="2880"/>
          </w:tcPr>
          <w:p>
            <w:r>
              <w:t>1.1</w:t>
            </w:r>
          </w:p>
        </w:tc>
        <w:tc>
          <w:tcPr>
            <w:tcW w:type="dxa" w:w="2880"/>
          </w:tcPr>
          <w:p>
            <w:r>
              <w:t>2025-10-01</w:t>
            </w:r>
          </w:p>
        </w:tc>
        <w:tc>
          <w:tcPr>
            <w:tcW w:type="dxa" w:w="2880"/>
          </w:tcPr>
          <w:p>
            <w:r>
              <w:t>On-time transmission KPI raised from 95% to 98%; added for-cause audit trigger</w:t>
            </w:r>
          </w:p>
        </w:tc>
      </w:tr>
    </w:tbl>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Meridian Pharma K.K.    WI-PV-005 v1.1    CONFIDENTIAL – Fictional document for RAG demo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