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BC5C8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"Малленом Системс"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24.11.2024 по 7.12.2024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Осуществление интеграции программных модулей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  Выполняемые задания</w:t>
      </w:r>
    </w:p>
    <w:p>
      <w:pPr>
        <w:pStyle w:val="P1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b w:val="0"/>
          <w:sz w:val="28"/>
        </w:rPr>
        <w:t>писок выполнен</w:t>
      </w:r>
      <w:r>
        <w:rPr>
          <w:rFonts w:ascii="Times New Roman" w:hAnsi="Times New Roman"/>
          <w:b w:val="0"/>
          <w:sz w:val="28"/>
        </w:rPr>
        <w:t>ных заданий в</w:t>
      </w:r>
      <w:r>
        <w:rPr>
          <w:rFonts w:ascii="Times New Roman" w:hAnsi="Times New Roman"/>
          <w:b w:val="0"/>
          <w:sz w:val="28"/>
        </w:rPr>
        <w:t>о время прохождения практики</w:t>
      </w:r>
      <w:r>
        <w:rPr>
          <w:rFonts w:ascii="Times New Roman" w:hAnsi="Times New Roman"/>
          <w:b w:val="0"/>
          <w:sz w:val="28"/>
        </w:rPr>
        <w:t xml:space="preserve"> необхо</w:t>
      </w:r>
      <w:r>
        <w:rPr>
          <w:rFonts w:ascii="Times New Roman" w:hAnsi="Times New Roman"/>
          <w:b w:val="0"/>
          <w:sz w:val="28"/>
        </w:rPr>
        <w:t>димых для заполнения от</w:t>
      </w:r>
      <w:r>
        <w:rPr>
          <w:rFonts w:ascii="Times New Roman" w:hAnsi="Times New Roman"/>
          <w:b w:val="0"/>
          <w:sz w:val="28"/>
        </w:rPr>
        <w:t>чёта</w:t>
      </w:r>
      <w:r>
        <w:rPr>
          <w:rFonts w:ascii="Times New Roman" w:hAnsi="Times New Roman"/>
          <w:b w:val="0"/>
          <w:sz w:val="28"/>
        </w:rPr>
        <w:t>:</w:t>
      </w:r>
    </w:p>
    <w:p>
      <w:pPr>
        <w:pStyle w:val="P1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Репозиторий</w:t>
      </w:r>
      <w:r>
        <w:rPr>
          <w:rFonts w:ascii="Times New Roman" w:hAnsi="Times New Roman"/>
          <w:b w:val="0"/>
          <w:sz w:val="28"/>
        </w:rPr>
        <w:t>.</w:t>
      </w:r>
    </w:p>
    <w:p>
      <w:pPr>
        <w:pStyle w:val="P1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Техническое задание на разработку модулей</w:t>
      </w:r>
      <w:r>
        <w:rPr>
          <w:rFonts w:ascii="Times New Roman" w:hAnsi="Times New Roman"/>
          <w:b w:val="0"/>
          <w:sz w:val="28"/>
        </w:rPr>
        <w:t>.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тандарт кодирования </w:t>
      </w:r>
      <w:bookmarkStart w:id="0" w:name="_dx_frag_StartFragment"/>
      <w:bookmarkEnd w:id="0"/>
      <w:r>
        <w:rPr>
          <w:rFonts w:ascii="Times New Roman" w:hAnsi="Times New Roman"/>
          <w:sz w:val="28"/>
        </w:rPr>
        <w:t xml:space="preserve">PEP 8.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нспектирование разрабатываемого программного кода.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нтеграци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Модулей</w:t>
      </w:r>
      <w:r>
        <w:rPr>
          <w:rFonts w:ascii="Times New Roman" w:hAnsi="Times New Roman"/>
          <w:sz w:val="28"/>
        </w:rPr>
        <w:t>.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тладк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модулей. </w:t>
      </w:r>
    </w:p>
    <w:p>
      <w:pPr>
        <w:pStyle w:val="P1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</w:t>
      </w:r>
      <w:r>
        <w:rPr>
          <w:rFonts w:ascii="Times New Roman" w:hAnsi="Times New Roman"/>
          <w:sz w:val="28"/>
        </w:rPr>
        <w:t xml:space="preserve">стирование программных модулей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производственной практики был создан репозиторий в Github для предоставления отчёта, документов практики и всех выполненных заданий.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</w:t>
      </w:r>
    </w:p>
    <w:p>
      <w:pPr>
        <w:pStyle w:val="P1"/>
        <w:jc w:val="both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>a. Report - В данной папке расположен отчёт по всей производственной практике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b. Src - В данной папке расположен код разрабатываемых модулей</w:t>
      </w: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c. Docs - Содержит все документы практики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модулей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Склеивание нескольких изображений в одно.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Pillow (для работы с изображениями).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Пользователь вводит путь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Тестирование: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производственной практики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1.Сбор информации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2.Анализ задания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3.Подготовка приложения для разработки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Стандарт кодирования на языке Python (PEP 8)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PEP 8 — это стиль кодирования для языка Python, который служит набором рекомендаций и стандартов для написания читаемого и поддерживаемого кода. Он был разработан для того, чтобы помочь программистам следовать единым принципам, что, в свою очередь, облегчает совместную работу над проектами и улучшает качество кода. Следование PEP 8 позволяет создавать код, который будет понятен не только вам, но и другим разработчикам, которые могут работать с вашим кодом в будущем.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Основные принципы PEP 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Максимальная длина строки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Рекомендуется ограничивать длину строк до 79 символов. Это помогает избежать горизонтальной прокрутки в редакторах и делает код более читаемым. Для комментариев и документации рекомендуется использовать строки длиной до 72 символов.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Именование переменных и функций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Имена переменных должны быть понятными и описательными. Для переменных и функций рекомендуется использовать стиль snake_case (например, `my_variable`, `calculate_sum`). Для классов применяется стиль CamelCase (например, `MyClass`).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Импорт модулей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Импортируйте модули в начале файла, группируя их по стандартным библиотекам, сторонним библиотекам и вашим собственным модулям. Каждый импорт должен находиться на отдельной строке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 Пробелы в выражениях и инструкциях: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PEP 8 рекомендует использовать пробелы вокруг операторов и после запятых, чтобы улучшить читаемость.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Избегайте излишнего использования пробелов, например перед запятой или после открывающей скобки.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Докстринги и комментарии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Документация к функциям и классам должна быть написана в виде строк документации (docstrings). Они должны начинаться с краткого описания и содержать информацию о параметрах и возвращаемых значениях</w:t>
      </w:r>
      <w:r>
        <w:rPr>
          <w:rFonts w:ascii="Times New Roman" w:hAnsi="Times New Roman"/>
          <w:b w:val="0"/>
          <w:sz w:val="28"/>
        </w:rPr>
        <w:t>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Пробелы между функциями и классами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 xml:space="preserve"> Используйте два пустых ряда между определениями классов и функциями, а один пустой ряд между методами внутри класса. Это помогает структурировать код и улучшает его читаемость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 Отступы: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В PEP 8 рекомендуется использовать 4 пробела для каждого уровня отступа. Это делает структуру кода более очевидной и облегчает его восприятие. Избегайте использования табуляции, так как это может привести к несоответствию в отображении кода в разных редакторах.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Инспектирование модулей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Импортирование модулей: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Модули следует импортировать в начале файла, перед определением функций.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2. Использование </w:t>
      </w:r>
      <w:r>
        <w:rPr>
          <w:rFonts w:ascii="Times New Roman" w:hAnsi="Times New Roman"/>
          <w:sz w:val="28"/>
        </w:rPr>
        <w:t>if __name__ == "__main__":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импорте кода провести обязательную проверку на двойные подчеркивания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Форматирование: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Рекомендуется использовать 4 пробела для отступов.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Длина строки: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Докстринги: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Код после вызова функций: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 xml:space="preserve">7.По возможности 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Интеграция модулей друг с другом: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Метод Импорт и использование функций: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интеграции модулей обработки изображений и взаимодействия с пользователем в одном проекте с использованием импорта, мы можем организовать код в несколько файлов. Один файл будет содержит </w:t>
      </w:r>
      <w:r>
        <w:rPr>
          <w:rFonts w:ascii="Times New Roman" w:hAnsi="Times New Roman"/>
          <w:sz w:val="28"/>
        </w:rPr>
        <w:t xml:space="preserve">функции </w:t>
      </w:r>
      <w:r>
        <w:rPr>
          <w:rFonts w:ascii="Times New Roman" w:hAnsi="Times New Roman"/>
          <w:b w:val="0"/>
          <w:sz w:val="28"/>
        </w:rPr>
        <w:t>для обработки изображений.Затем мы объединим его в основном файле.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image_utils.py(</w:t>
      </w:r>
      <w:r>
        <w:rPr>
          <w:rFonts w:ascii="Times New Roman" w:hAnsi="Times New Roman"/>
          <w:b w:val="1"/>
          <w:sz w:val="28"/>
        </w:rPr>
        <w:t>Рис.3</w:t>
      </w:r>
      <w:r>
        <w:rPr>
          <w:rFonts w:ascii="Times New Roman" w:hAnsi="Times New Roman"/>
          <w:b w:val="0"/>
          <w:sz w:val="28"/>
        </w:rPr>
        <w:t>):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Содержит функции size_image для изменения размера изображений и join_images для склеивания нескольких изображений.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main.py(</w:t>
      </w:r>
      <w:r>
        <w:rPr>
          <w:rFonts w:ascii="Times New Roman" w:hAnsi="Times New Roman"/>
          <w:b w:val="1"/>
          <w:sz w:val="28"/>
        </w:rPr>
        <w:t>Рис.4</w:t>
      </w:r>
      <w:r>
        <w:rPr>
          <w:rFonts w:ascii="Times New Roman" w:hAnsi="Times New Roman"/>
          <w:b w:val="0"/>
          <w:sz w:val="28"/>
        </w:rPr>
        <w:t>):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Запрашивает у пользователя пути к двум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Проверяет существование файлов.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size_image для изменения размера каждого изображения.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join_images для склеивания измененных изображений и сохранения результата.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 откладке были проверены 2 модуля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1.Проверка корректности ввода: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Пользователь вводит корректные пути к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Проверку на существование файлов перед их обработкой.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Обработка ошибок: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Тестирование функций:</w:t>
      </w:r>
    </w:p>
    <w:p>
      <w:pPr>
        <w:spacing w:after="160" w:beforeAutospacing="0" w:afterAutospacing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1 модуля (</w:t>
      </w:r>
      <w:r>
        <w:rPr>
          <w:rFonts w:ascii="Times New Roman" w:hAnsi="Times New Roman"/>
          <w:sz w:val="28"/>
        </w:rPr>
        <w:t>Модуль обработки и работы с изображениями)</w:t>
      </w:r>
      <w:r>
        <w:rPr>
          <w:rFonts w:ascii="Times New Roman" w:hAnsi="Times New Roman"/>
          <w:b w:val="0"/>
          <w:sz w:val="28"/>
        </w:rPr>
        <w:t xml:space="preserve"> было переданы существующий и несуществующий путь.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2 </w:t>
      </w:r>
      <w:r>
        <w:rPr>
          <w:rFonts w:ascii="Times New Roman" w:hAnsi="Times New Roman"/>
          <w:sz w:val="28"/>
        </w:rPr>
        <w:t xml:space="preserve">модуля 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данных) </w:t>
      </w:r>
      <w:r>
        <w:rPr>
          <w:rFonts w:ascii="Times New Roman" w:hAnsi="Times New Roman"/>
          <w:b w:val="0"/>
          <w:sz w:val="28"/>
        </w:rPr>
        <w:t>проверена работа с двумя существующими изображениями и с одним несуществующим.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Результаты тестирований программных модулей:</w:t>
      </w: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gridBefore w:val="0"/>
          <w:gridAfter w:val="0"/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Тест 1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изображения: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image1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image2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директории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1"/>
              </w:rPr>
              <w:t>C:\Users\Username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(изображения не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Ошибка: Файл не найден: [Errno 2] No such file or directory: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Код работает с ошибкой поскольку пользователь не импортировал исходные изображения в нужную директорию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Для функционирования кода пользователь должен импортировать изображения в нужную директорию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Тест 2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(изображения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-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Тест 3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пути..</w:t>
            </w:r>
          </w:p>
        </w:tc>
        <w:tc>
          <w:tcPr>
            <w:tcW w:w="177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Один или оба файла не найдены.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Код работает с ошибкой поскольку </w:t>
            </w: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указать правильное расположение изображений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4</w:t>
            </w:r>
          </w:p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</w:p>
        </w:tc>
        <w:tc>
          <w:tcPr>
            <w:tcW w:w="1770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Заключение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 время производственной практики я научился эффективно работать с Python и библиотекой Pillow для обработки изображений, что значительно расширило мои навыки программирования. Я освоил основные функции, такие как изменение размера изображений и их склеивание, что позволило мне глубже понять принципы работы с графическими данными.</w:t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Источники: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Сайт Компании по практике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"http://www.mallenom.ru" \t "_blank"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https://www.mallenom.ru</w:t>
      </w:r>
      <w:r>
        <w:rPr>
          <w:rFonts w:ascii="Times New Roman" w:hAnsi="Times New Roman"/>
          <w:b w:val="0"/>
          <w:sz w:val="28"/>
        </w:rPr>
        <w:fldChar w:fldCharType="end"/>
      </w:r>
      <w: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Работы с Pillow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"https://python-scripts.com/pillow"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https://python-scripts.com/pillow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7.80-2000 «Библиографическая запись. Заголовок. Общие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http://docs.cntd.ru/document/gost-7-80-2000</w:t>
      </w:r>
      <w:r>
        <w:rPr>
          <w:rStyle w:val="C2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7.32-2001 «Отчет о научно-исследовательской работе. Структура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http://docs.cntd.ru/document/gost-7-32-2001-sibid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7.1-2003 № 332-ст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http://docs.cntd.ru/document/gost-7-1-2003-sibid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7.0.5-2008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http://www.standartov.ru/norma_doc/53/53649/index.htm</w:t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7.0.11-2011 «Система стандартов по информации,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http://docs.cntd.ru/document/gost-r-7-0-11-2011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Модуль os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"http://docs.python.org/3/library/os.html"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https://docs.python.org/3/library/os.html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Приложения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Рис.1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sz w:val="28"/>
        </w:rPr>
        <w:t>Модуль обработки и работы с изображениями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80710" cy="5800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0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23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Рис.2)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68645" cy="7399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739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Рис.3)Модуль image_utils.py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732145" cy="604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Рис.4)</w:t>
      </w:r>
      <w:r>
        <w:rPr>
          <w:rFonts w:ascii="Times New Roman" w:hAnsi="Times New Roman"/>
          <w:sz w:val="28"/>
        </w:rPr>
        <w:t>main.py</w:t>
      </w:r>
      <w:r>
        <w:drawing>
          <wp:inline xmlns:wp="http://schemas.openxmlformats.org/drawingml/2006/wordprocessingDrawing">
            <wp:extent cx="5720715" cy="4470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1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