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BCE96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Содержание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/>
          <w:noProof w:val="1"/>
          <w:color w:val="auto"/>
          <w:u w:val="none"/>
        </w:rPr>
        <w:t>Введение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_Toc183088803 \h </w:instrText>
      </w:r>
      <w:r>
        <w:rPr>
          <w:noProof w:val="1"/>
        </w:rPr>
        <w:fldChar w:fldCharType="separate"/>
      </w:r>
      <w:r>
        <w:rPr>
          <w:noProof w:val="1"/>
        </w:rPr>
        <w:t>3</w:t>
      </w:r>
      <w:r>
        <w:rPr>
          <w:noProof w:val="1"/>
        </w:rPr>
        <w:fldChar w:fldCharType="end"/>
      </w:r>
    </w:p>
    <w:p>
      <w:pPr>
        <w:pStyle w:val="P4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</w:t>
      </w:r>
      <w:r>
        <w:rPr>
          <w:rFonts w:ascii="Times New Roman" w:hAnsi="Times New Roman"/>
          <w:sz w:val="24"/>
        </w:rPr>
        <w:t>Общая характеристика предприятия (организации)</w:t>
      </w:r>
      <w:r>
        <w:rPr>
          <w:noProof w:val="1"/>
        </w:rPr>
        <w:tab/>
        <w:t>5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1.1.Организационная структура предприятия</w:t>
      </w:r>
      <w:r>
        <w:rPr>
          <w:noProof w:val="1"/>
        </w:rPr>
        <w:tab/>
        <w:t>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1.2. Внутренний распорядок работы предприятия, охрана труда на предприятии</w:t>
      </w:r>
      <w:r>
        <w:rPr>
          <w:noProof w:val="1"/>
        </w:rPr>
        <w:tab/>
        <w:t>8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1.3.Должностные инструкции ИТ-специалистов предприятия</w:t>
      </w:r>
      <w:r>
        <w:rPr>
          <w:noProof w:val="1"/>
        </w:rPr>
        <w:tab/>
        <w:t>10</w:t>
      </w:r>
    </w:p>
    <w:p>
      <w:pPr>
        <w:pStyle w:val="P4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2.Осуществление интеграции программных модулей</w:t>
      </w:r>
      <w:r>
        <w:rPr>
          <w:noProof w:val="1"/>
        </w:rPr>
        <w:tab/>
        <w:t>12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2.1.Разработка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r>
        <w:rPr>
          <w:noProof w:val="1"/>
        </w:rPr>
        <w:tab/>
        <w:t>12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2.2.Выполнение интеграции модулей в программное обеспечение</w:t>
      </w:r>
      <w:r>
        <w:rPr>
          <w:noProof w:val="1"/>
        </w:rPr>
        <w:tab/>
        <w:t>13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2.3.Выполнение отладки программного модуля с использованием специализированных программных средств</w:t>
      </w:r>
      <w:r>
        <w:rPr>
          <w:noProof w:val="1"/>
        </w:rPr>
        <w:tab/>
        <w:t>13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2.4.Осуществление разработки тестовых наборов и тестовых сценариев для программного обеспечения</w:t>
      </w:r>
      <w:r>
        <w:rPr>
          <w:noProof w:val="1"/>
        </w:rPr>
        <w:tab/>
        <w:t>14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2.5.Инспектирование компонент программного обеспечения на предмет соответствия стандартам кодирования</w:t>
      </w:r>
      <w:r>
        <w:rPr>
          <w:noProof w:val="1"/>
        </w:rPr>
        <w:tab/>
        <w:t>15</w:t>
      </w:r>
    </w:p>
    <w:p>
      <w:pPr>
        <w:pStyle w:val="P4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3.Выполняемые задания</w:t>
      </w:r>
      <w:r>
        <w:rPr>
          <w:noProof w:val="1"/>
        </w:rPr>
        <w:tab/>
        <w:t>16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Заключение</w:t>
      </w:r>
      <w:r>
        <w:rPr>
          <w:noProof w:val="1"/>
        </w:rPr>
        <w:tab/>
        <w:t>26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Список использованных источников</w:t>
      </w:r>
      <w:r>
        <w:rPr>
          <w:noProof w:val="1"/>
        </w:rPr>
        <w:tab/>
        <w:t>26</w:t>
      </w:r>
    </w:p>
    <w:p>
      <w:pPr>
        <w:pStyle w:val="P4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  <w:color w:val="auto"/>
          <w:u w:val="none"/>
        </w:rPr>
        <w:t>Приложения</w:t>
      </w:r>
      <w:r>
        <w:rPr>
          <w:noProof w:val="1"/>
        </w:rPr>
        <w:tab/>
        <w:t>28</w:t>
      </w:r>
    </w:p>
    <w:p>
      <w:pPr>
        <w:pStyle w:val="P4"/>
        <w:tabs>
          <w:tab w:val="left" w:pos="660" w:leader="none"/>
          <w:tab w:val="right" w:pos="9345" w:leader="dot"/>
        </w:tabs>
        <w:rPr>
          <w:noProof w:val="1"/>
        </w:rPr>
      </w:pPr>
    </w:p>
    <w:p>
      <w:pPr>
        <w:pStyle w:val="P4"/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center"/>
        <w:rPr>
          <w:rFonts w:ascii="Times New Roman" w:hAnsi="Times New Roman"/>
          <w:b w:val="0"/>
          <w:sz w:val="28"/>
        </w:rPr>
      </w:pPr>
      <w:r>
        <w:fldChar w:fldCharType="end"/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Введение: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Место прохождения производственной практики: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"Малленом Системс"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Срок прохождения производственной практики: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24.11.2024 по 7.12.2024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Специальность: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Информационные системы и программирование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Задачи: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Цели: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Целями производственной практики (по профилю специальности) являются: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закрепление и совершенствование общих и профессиональных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компетенций: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ОК 04. Эффективно взаимодействовать и работать в коллективе и команде;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ПК 2.2. Выполнять интеграцию модулей в программное обеспечение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32"/>
        </w:rPr>
      </w:pPr>
      <w:r>
        <w:rPr>
          <w:rFonts w:ascii="Times New Roman" w:hAnsi="Times New Roman"/>
          <w:b w:val="0"/>
          <w:sz w:val="28"/>
        </w:rPr>
        <w:t>1. Общая характеристика предприятия (организации)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Кроме того, Малленом Системс участвует в национальном рейтинге быстрорастущих технологических компаний России «ТехУспех», разработанном РВК.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Noto Sans" w:hAnsi="Noto Sans"/>
          <w:b w:val="0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1.1 Организационная структура предприятия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Высшее руководство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2.Отдел тестирования и контроля качества: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Маркетинг и продажи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Инженерные службы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Отдел разработки ПО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Финансовый и административный отдел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7. Юридический отдел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1.3 Должностные инструкции ИТ-специалистов предприятия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Техник: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Техник выполняет следующие должностные обязанности: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2.1 Выполняет работу по проведению необходимых технических расчетов;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2.3 Принимает участие в проведение экспериментов и испытаний;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keepNext w:val="0"/>
        <w:widowControl w:val="1"/>
        <w:shd w:val="clear" w:fill="auto"/>
        <w:spacing w:lineRule="auto" w:line="360" w:after="12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2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Осуществление интеграции программных модулей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Интеграция программных модулей — это ключевой этап в разработке программного обеспечения, который обеспечивает совместную работу различных компонентов системы. Этот процесс требует тщательного планирования и внимательного выполнения, чтобы гарантировать, что все части системы функционируют как единое целое.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2.1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Анализ документации: Начинайте с тщательного изучения проектной и технической документации. Это включает в себя архитектурные схемы, описания интерфейсов, спецификации API и любые другие документы, которые могут дать представление о том, как модули должны взаимодействовать.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Выявление зависимостей: Определите зависимости между модулями. Какие модули требуют данных от других? Какой формат данных будет использоваться при обмене? Эти аспекты критически важны для успешной интеграции.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Согласование функциональных и нефункциональных требований: Определите не только функциональные требования (например, что модуль должен делать), но и нефункциональные (например, производительность, безопасность, масштабируемость). Это поможет создать более полное представление о том, как модули должны работать вместе.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Документация требований: Создайте документ с четко сформулированными требованиями, который будет служить основой для дальнейшей работы. Это поможет избежать недопонимания между членами команды и обеспечит единый подход к разработке.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2.2  Выполнение интеграции модулей в программное обеспечение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Подготовка среды интеграции: Создайте отдельную среду для интеграции, где можно будет тестировать взаимодействие модулей без влияния на основную продуктивную среду. Убедитесь, что все необходимые инструменты и зависимости установлены.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Физическая интеграция: На этом этапе происходит фактическая интеграция модулей в единую систему. Это может включать в себя настройку конфигурационных файлов, подключение баз данных и настройку API.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Проверка корректности взаимодействия: После интеграции необходимо провести тестирование на предмет корректности взаимодействия между модулями. Убедитесь, что данные передаются правильно и что модули реагируют на события так, как это было предусмотрено.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2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2.3 Выполнение отладки программного модуля с использованием специализированных программных средств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Логирование: Настройте логирование для отслеживания работы модулей. Логи могут содержать информацию о входных данных, выходных результатах и возникающих ошибках, что значительно упростит процесс отладки.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Инструменты отладки: Используйте современные инструменты отладки (например, IDE с встроенными отладчиками, профайлеры) для выявления и устранения ошибок в коде. Эти инструменты могут помочь вам отслеживать выполнение программы и выявлять проблемные участки.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Тестирование: Выполняйте отладку как на уровне отдельных модулей (юнит-тестирование), так и на уровне интеграции (интеграционное тестирование). Это поможет выявить ошибки как в логике отдельных компонентов, так и в их взаимодействии.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2.4  Осуществление разработки тестовых наборов и тестовых сценариев для программного обеспечения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Создание тестовых наборов: Определите наборы тестов для проверки каждой функциональности системы. Убедитесь, что тесты покрывают все важные сценарии использования.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Разработка тестовых сценариев: Напишите детализированные сценарии тестирования, которые описывают шаги, необходимые для проверки каждого требования. Сценарии должны включать как позитивные тесты (проверка правильного поведения системы), так и негативные (проверка обработки ошибок).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Автоматизация: Рассмотрите возможность автоматизации тестирования с использованием инструментов для автоматизированного тестирования. Это позволит значительно ускорить процесс тестирования и повысить его эффективность.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2.5 Инспектирование компонентов программного обеспечения на предмет соответствия стандартам кодирования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Определение стандартов кодирования: Установите четкие стандарты кодирования для команды (например, использование определенного стиля написания кода, правил именования переменных и функций). Это поможет обеспечить единообразие и читаемость кода.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ревью кода: Организуйте регулярные проверки кода (код-ревью) среди членов команды для выявления несоответствий стандартам. Это не только помогает улучшить качество кода, но и способствует обмену знаниями внутри команды.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Использование статического анализа кода: Применяйте инструменты статического анализа кода для автоматической проверки на соответствие стандартам. Эти инструменты могут выявлять потенциальные проблемы еще до запуска программы.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3.Выполняемые задания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Список выполненных заданий во время прохождения практики необходимых для заполнения отчёта: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Репозиторий.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Техническое задание на разработку модулей.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Стандарт кодирования </w:t>
      </w:r>
      <w:bookmarkStart w:id="0" w:name="_dx_frag_StartFragment"/>
      <w:bookmarkEnd w:id="0"/>
      <w:r>
        <w:rPr>
          <w:rFonts w:ascii="Times New Roman" w:hAnsi="Times New Roman"/>
          <w:b w:val="0"/>
          <w:sz w:val="28"/>
        </w:rPr>
        <w:t xml:space="preserve">PEP 8.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Инспектирование разрабатываемого программного кода.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Интеграция Модулей.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Отладка модулей.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• Тестирование программных модулей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ходе производственной практики был создан репозиторий в Github для предоставления отчёта, документов практики и всех выполненных заданий.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Структура 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a. Report - В данной папке расположен отчёт по всей производственной практике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b. Src - В данной папке расположен код разрабатываемых модулей</w:t>
      </w:r>
    </w:p>
    <w:p>
      <w:pPr>
        <w:pStyle w:val="P1"/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c. Docs - Содержит все документы практики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Техническое задание на разработку модулей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Заказчик:«Малленом Системс», Выполняющий:Студент Группы ИС-23 Ткаченко Тихон Александрович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Введение: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Основания: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Цели и задачи: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Цель разработки заключается в создании двух модулей: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Изменение размера изображения.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Склеивание нескольких изображений в одно.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взаимодействия с пользователем и формирования данных, который будет: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Обеспечивать ввод данных от пользователя.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Передавать данные в модуль обработки изображений.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Выдавать результат, сохраняя объединенное изображение в указанной директории.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Технологические требования: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Язык программирования: Python.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Используемые библиотеки: Pillow (для работы с изображениями).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Формат выходных изображений: JPEG, PNG (возможны другие).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Pillow- это бесплатная библиотека с открытым исходным кодом для работы с изображениями и их обработки на языке Python.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Общие Требования к модулям: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1.Модуль обработки и работы с изображениями: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взаимодействия с пользователем: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Пользователь вводит путь к двум изображениям.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Тестирование: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тестирования каждой функции модуля обработки изображений индивидуально.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 модуля взаимодействия с пользователем по различным сценариям ввода.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Все функции функционируют в соответствии с установленными требованиями.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Отсутствие критических ошибок и сбоев.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Обновленная документация к коду.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Сроки выполнения: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Срок производственной практики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Предварительные стадии разработки: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1.Сбор информации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2.Анализ задания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3.Подготовка приложения для разработки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4.Проектирование системы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5.Тестирование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Стандарт кодирования на языке Python (PEP 8)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PEP 8 — это стиль кодирования для языка Python, который служит набором рекомендаций и стандартов для написания читаемого и поддерживаемого кода. Он был разработан для того, чтобы помочь программистам следовать единым принципам, что, в свою очередь, облегчает совместную работу над проектами и улучшает качество кода. Следование PEP 8 позволяет создавать код, который будет понятен не только вам, но и другим разработчикам, которые могут работать с вашим кодом в будущем.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Основные принципы PEP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Максимальная длина строки: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Рекомендуется ограничивать длину строк до 79 символов. Это помогает избежать горизонтальной прокрутки в редакторах и делает код более читаемым. Для комментариев и документации рекомендуется использовать строки длиной до 72 символов.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Именование переменных и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Имена переменных должны быть понятными и описательными. Для переменных и функций рекомендуется использовать стиль snake_case (например, `my_variable`, `calculate_sum`). Для классов применяется стиль CamelCase (например, `MyClass`).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Импорт модулей: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Импортируйте модули в начале файла, группируя их по стандартным библиотекам, сторонним библиотекам и вашим собственным модулям. Каждый импорт должен находиться на отдельной строке.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Пробелы в выражениях и инструкциях: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PEP 8 рекомендует использовать пробелы вокруг операторов и после запятых, чтобы улучшить читаемость.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Избегайте излишнего использования пробелов, например перед запятой или после открывающей скобки.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Докстринги и комментарии: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Документация к функциям и классам должна быть написана в виде строк документации (docstrings). Они должны начинаться с краткого описания и содержать информацию о параметрах и возвращаемых значениях.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Пробелы между функциями и классами: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Используйте два пустых ряда между определениями классов и функциями, а один пустой ряд между методами внутри класса. Это помогает структурировать код и улучшает его читаемость.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7. Отступы: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В PEP 8 рекомендуется использовать 4 пробела для каждого уровня отступа. Это делает структуру кода более очевидной и облегчает его восприятие. Избегайте использования табуляции, так как это может привести к несоответствию в отображении кода в разных редакторах.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Инспектирование модулей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Импортирование модулей: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Модули следует импортировать в начале файла, перед определением функций.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Использование if __name__ == "__main__":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 импорте кода провести обязательную проверку на двойные подчеркивания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Форматирование: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Рекомендуется использовать 4 пробела для отступов.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 комментариях перед строками кода следует добавлять два пробела перед текстом комментария.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Длина строки: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Старайтесь придерживаться максимальной длины строки в 79 символов. Если ваши строки длиннее, разбивайте их на несколько строк.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Докстринги: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Докстринги функций содержат описание, но можно добавить больше информации о параметрах и возвращаемых значениях.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Код после вызова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Вызовы функций в блоке if __name__ == "__main__": должны быть оформлены более аккуратно, чтобы было легче читать и поддерживать.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7.По возможности  добавить более конкретные сообщения об ошибках для разных типов исключений, чтобы пользователь мог легче понять, что произошло.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Интеграция модулей друг с другом: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Метод Импорт и использование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Для интеграции модулей обработки изображений и взаимодействия с пользователем в одном проекте с использованием импорта, мы можем организовать код в несколько файлов. Один файл будет содержит функции для обработки изображений.Затем мы объединим его в основном файле.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Модуль image_utils.py(Рис.3):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Содержит функции size_image для изменения размера изображений и join_images для склеивания нескольких изображений.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main.py(Рис.4):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Запрашивает у пользователя пути к двум изображениям.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Проверяет существование файлов.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 size_image для изменения размера каждого изображения.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 join_images для склеивания измененных изображений и сохранения результата.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 откладке были проверены 2 модуля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1.Проверка корректности ввода: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Пользователь вводит корректные пути к изображениям.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Проверку на существование файлов перед их обработкой.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Обработка ошибок: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Функции корректно обрабатывают исключения. Например, если файл изображения не существует, программа должна информировать пользователя об этом.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Тестирование функций: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1 модуля (Модуль обработки и работы с изображениями) было переданы существующий и несуществующий путь.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2 модуля (Модуль взаимодействия с пользователем и формирование и хранений данных) проверена работа с двумя существующими изображениями и с одним несуществующим.</w:t>
      </w: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тестирований программных модулей:</w:t>
      </w:r>
    </w:p>
    <w:tbl>
      <w:tblPr>
        <w:tblStyle w:val="T1"/>
        <w:tblW w:w="0" w:type="auto"/>
        <w:tblInd w:w="-852" w:type="dxa"/>
        <w:tblLayout w:type="fixed"/>
        <w:tblLook w:val="04A0"/>
      </w:tblPr>
      <w:tblGrid/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Наименование теста 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Тестовые данные 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Ожидаемый результат 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Фактический результат 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Результат тестирования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Комментарий </w:t>
            </w:r>
          </w:p>
        </w:tc>
      </w:tr>
      <w:tr>
        <w:trPr>
          <w:trHeight w:hRule="atLeast" w:val="294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Тест 1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C:\Users\Username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(изображения не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Ошибка: Файл image1.jpg не найден.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Ошибка: Файл не найден: [Errno 2] No such file or directory: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работает с ошибкой поскольку пользователь не импортировал исходные изображения в нужную директорию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Для функционирования кода пользователь должен импортировать изображения в нужную директорию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Тест 2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C:\Users\Username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(изображения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Изображение image1.jpg изменено и сохранено как image1_resized.jpg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Изображения склеены и сохранены как joined_image.jpg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 xml:space="preserve">Наименование теста 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Тестовые данные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Ожидаемый результат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Фактический результат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 xml:space="preserve">Результат тестирования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t>Комментарий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 3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неправильные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пути..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Один или оба файла не найдены.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работает с ошибкой поскольку Пользователь указал неправильные пути к изображениям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функционирования кода пользователь должен указать правильное расположение изображений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4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склеены и сохранены как c:\Users\image1_joined.jpg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Склеенное изображение сохранено по пути: c:\Users\image1_joined.jpg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производственной практики я научился эффективно работать с Python и библиотекой Pillow для обработки изображений, что значительно расширило мои навыки программирования. Я освоил основные функции, такие как изменение размера изображений и их склеивание, что позволило мне глубже понять принципы работы с графическими данными.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Источники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Сайт Компании по практике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"http://www.mallenom.ru"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https://www.mallenom.ru</w:t>
      </w:r>
      <w:r>
        <w:rPr>
          <w:rStyle w:val="C2"/>
          <w:rFonts w:ascii="Times New Roman" w:hAnsi="Times New Roman"/>
          <w:sz w:val="28"/>
        </w:rPr>
        <w:fldChar w:fldCharType="end"/>
      </w:r>
      <w: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Работы с Pillow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"https://python-scripts.com/pillow"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https://python-scripts.com/pillow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7.80-2000 «Библиографическая запись. Заголовок. Общие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"http://docs.cntd.ru/document/gost-7-80-2000"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 xml:space="preserve">http://docs.cntd.ru/document/gost-7-80-2000 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7.32-2001 «Отчет о научно-исследовательской работе. Структура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"http://docs.cntd.ru/document/gost-7-32-2001-sibid"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http://docs.cntd.ru/document/gost-7-32-2001-sibid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7.1-2003 № 332-ст «Система стандартов по информации,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запись. Библиографическое описание.Электронный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"http://docs.cntd.ru/document/gost-7-1-2003-sibid"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http://docs.cntd.ru/document/gost-7-1-2003-sibid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7.0.5-2008 «Система стандартов по информации,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"http://www.standartov.ru/norma_doc/53/53649/index.htm"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http://www.standartov.ru/norma_doc/53/53649/index.htm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7.0.11-2011 «Система стандартов по информации,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"http://docs.cntd.ru/document/gost-r-7-0-11-2011"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http://docs.cntd.ru/document/gost-r-7-0-11-2011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"http://docs.python.org/3/tutorial/modules.html"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https://docs.python.org/3/tutorial/modules.html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os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"http://docs.python.org/3/library/os.html"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https://docs.python.org/3/library/os.html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 PEP 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Рис.1)Модуль обработки и работы с изображениями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80710" cy="58007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5800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Рис.2)Модуль взаимодействия с пользователем и формирование и хранений данных 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68645" cy="73996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739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Рис.3)Модуль image_utils.py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32145" cy="60401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0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Рис.4)main.py</w:t>
      </w:r>
      <w:r>
        <w:drawing>
          <wp:inline xmlns:wp="http://schemas.openxmlformats.org/drawingml/2006/wordprocessingDrawing">
            <wp:extent cx="5720715" cy="4470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470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9"/>
      <w:pgMar w:left="1699" w:right="849" w:top="1137" w:bottom="1137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2"/>
    </w:pPr>
  </w:p>
</w:hdr>
</file>

<file path=word/numbering.xml><?xml version="1.0" encoding="utf-8"?>
<w:numbering xmlns:w="http://schemas.openxmlformats.org/wordprocessingml/2006/main">
  <w:abstractNum w:abstractNumId="0">
    <w:nsid w:val="0AB3472C"/>
    <w:multiLevelType w:val="hybridMultilevel"/>
    <w:lvl w:ilvl="0" w:tplc="7EED90BC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571C3FF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D9B9C4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CE25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3F75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0452C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159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F2B00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A3C2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10B08B04"/>
    <w:multiLevelType w:val="hybridMultilevel"/>
    <w:lvl w:ilvl="0" w:tplc="53C1270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2BBB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4C4CDC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5FEF8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99E47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E61080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0F433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931A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7DC6B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16CFE78F"/>
    <w:multiLevelType w:val="hybridMultilevel"/>
    <w:lvl w:ilvl="0" w:tplc="057DD6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A764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1C41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615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C6C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9FED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1226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3BA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B1A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2FE3B577"/>
    <w:multiLevelType w:val="hybridMultilevel"/>
    <w:lvl w:ilvl="0" w:tplc="61F5C6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505F6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2FA7F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3783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28006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8BA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2E4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A70C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4FA6E1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3EFEA43B"/>
    <w:multiLevelType w:val="hybridMultilevel"/>
    <w:lvl w:ilvl="0" w:tplc="5B494B6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7F39E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F8143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EAA4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FCBE5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129B24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3EEB17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24CF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B8D10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40C02955"/>
    <w:multiLevelType w:val="hybridMultilevel"/>
    <w:lvl w:ilvl="0" w:tplc="793C55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DB2E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0CF2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C522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13F0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B365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E3C1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7CE8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72768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479B97E0"/>
    <w:multiLevelType w:val="hybridMultilevel"/>
    <w:lvl w:ilvl="0" w:tplc="35FEA707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2B68CEE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60F7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84B7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3E5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EA55C1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E08A2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A3B07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83BC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55351939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 w:beforeAutospacing="0" w:afterAutospacing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 w:beforeAutospacing="0" w:afterAutospacing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 w:beforeAutospacing="0" w:afterAutospacing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 w:beforeAutospacing="0" w:afterAutospacing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 w:beforeAutospacing="0" w:afterAutospacing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 w:beforeAutospacing="0" w:afterAutospacing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 w:beforeAutospacing="0" w:afterAutospacing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 w:beforeAutospacing="0" w:afterAutospacing="0"/>
        <w:ind w:hanging="1440" w:left="4320"/>
      </w:pPr>
      <w:rPr/>
    </w:lvl>
  </w:abstractNum>
  <w:abstractNum w:abstractNumId="8">
    <w:nsid w:val="6780B2A1"/>
    <w:multiLevelType w:val="hybridMultilevel"/>
    <w:lvl w:ilvl="0" w:tplc="09882619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7037AB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CAD57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49E37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B1966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5CF8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64A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45EFC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44C9C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6B663D67"/>
    <w:multiLevelType w:val="hybridMultilevel"/>
    <w:lvl w:ilvl="0" w:tplc="115D699B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6C504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772C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D6A3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D344D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A705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8A8CA9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14B06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475C2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Default"/>
    <w:basedOn w:val="P0"/>
    <w:pPr>
      <w:suppressAutoHyphens w:val="1"/>
    </w:pPr>
    <w:rPr>
      <w:color w:val="000000"/>
    </w:rPr>
  </w:style>
  <w:style w:type="paragraph" w:styleId="P2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4">
    <w:name w:val="toc 1"/>
    <w:basedOn w:val="P0"/>
    <w:next w:val="P0"/>
    <w:pPr>
      <w:spacing w:after="100" w:beforeAutospacing="0" w:afterAutospacing="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Header Char"/>
    <w:basedOn w:val="C0"/>
    <w:link w:val="P2"/>
    <w:rPr/>
  </w:style>
  <w:style w:type="character" w:styleId="C5">
    <w:name w:val="Footer Char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