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00" w:before="160"/>
      </w:pPr>
      <w:r>
        <w:rPr>
          <w:rFonts w:ascii="맑은 고딕" w:eastAsia="맑은 고딕" w:hAnsi="맑은 고딕" w:cs="맑은 고딕"/>
          <w:b/>
          <w:bCs/>
          <w:color w:val="1F3864"/>
          <w:sz w:val="32"/>
          <w:szCs w:val="32"/>
        </w:rPr>
        <w:t>적층제조(AM) 제조성 검토 소프트웨어</w:t>
      </w:r>
    </w:p>
    <w:p>
      <w:pPr>
        <w:jc w:val="center"/>
        <w:spacing w:after="130"/>
      </w:pPr>
      <w:r>
        <w:rPr>
          <w:rFonts w:ascii="맑은 고딕" w:eastAsia="맑은 고딕" w:hAnsi="맑은 고딕" w:cs="맑은 고딕"/>
          <w:color w:val="404040"/>
          <w:sz w:val="24"/>
          <w:szCs w:val="24"/>
        </w:rPr>
        <w:t>1차 미팅 진행 보고서</w:t>
      </w:r>
    </w:p>
    <w:p>
      <w:pPr>
        <w:jc w:val="center"/>
        <w:pBdr>
          <w:top w:val="single" w:sz="6" w:space="9" w:color="B8C4D0"/>
        </w:pBdr>
        <w:spacing w:after="0"/>
      </w:pPr>
      <w:r>
        <w:rPr>
          <w:rFonts w:ascii="맑은 고딕" w:eastAsia="맑은 고딕" w:hAnsi="맑은 고딕" w:cs="맑은 고딕"/>
          <w:color w:val="595959"/>
          <w:sz w:val="21"/>
          <w:szCs w:val="21"/>
        </w:rPr>
        <w:t>경상국립대학교  윤성진   ·   2026년 9월 14일</w:t>
      </w:r>
    </w:p>
    <w:p>
      <w:pPr>
        <w:spacing w:after="280"/>
      </w:pPr>
    </w:p>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1. 요약</w:t>
      </w:r>
    </w:p>
    <w:p>
      <w:pPr>
        <w:spacing w:after="120" w:line="290"/>
      </w:pPr>
      <w:r>
        <w:rPr>
          <w:rFonts w:ascii="맑은 고딕" w:eastAsia="맑은 고딕" w:hAnsi="맑은 고딕" w:cs="맑은 고딕"/>
          <w:color w:val="1A1A1A"/>
          <w:sz w:val="20"/>
          <w:szCs w:val="20"/>
        </w:rPr>
        <w:t>3D 모델을 입력하면 적층제조 공정별 제조성을 정량 평가하는 소프트웨어를 개발 중이다. 평가 체계는 KS D ISO/ASTM 52910의 구조, 즉 설계 고려사항과 적색깃발의 구분을 반영해 2단계(하드 게이트 + 소프트 점수)로 구성했다. Oh 등(2021)이 같은 표준에 기반해 정량 평가 지표를 정의한 접근을 참고하되, 본 프로젝트는 부품 분해가 아니라 단일 부품의 공정별 평가에 집중한다.</w:t>
      </w:r>
    </w:p>
    <w:p>
      <w:pPr>
        <w:spacing w:after="120" w:line="290"/>
      </w:pPr>
      <w:r>
        <w:rPr>
          <w:rFonts w:ascii="맑은 고딕" w:eastAsia="맑은 고딕" w:hAnsi="맑은 고딕" w:cs="맑은 고딕"/>
          <w:color w:val="1A1A1A"/>
          <w:sz w:val="20"/>
          <w:szCs w:val="20"/>
        </w:rPr>
        <w:t>검증은 정답을 아는 형상(해석해 대조)과 정답은 모르지만 성립해야 할 성질(불변성·단조성 검사)을 합쳐 19개 항목으로 시작했고, 초기 구현은 6개만 통과했다. 세 차례 확장 후 현재 55개 전부 통과하며, 뮤테이션 테스팅(점수 90%)으로 검증의 사각지대까지 탐색한다. 지지구조물 부피 추정은 상용 슬라이서(Cura) 24건 대조에서 2항 모델 도입 후 R² 0.978을 달성했다.</w:t>
      </w:r>
    </w:p>
    <w:p>
      <w:pPr>
        <w:spacing w:after="50"/>
      </w:pP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3200"/>
        <w:gridCol w:w="2100"/>
        <w:gridCol w:w="2100"/>
        <w:gridCol w:w="2200"/>
      </w:tblGrid>
      <w:tr>
        <w:trPr>
          <w:tblHeader/>
        </w:trPr>
        <w:tc>
          <w:tcPr>
            <w:tcW w:w="32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검증 항목</w:t>
            </w:r>
          </w:p>
        </w:tc>
        <w:tc>
          <w:tcPr>
            <w:tcW w:w="21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초기 구현</w:t>
            </w:r>
          </w:p>
        </w:tc>
        <w:tc>
          <w:tcPr>
            <w:tcW w:w="21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현재</w:t>
            </w:r>
          </w:p>
        </w:tc>
        <w:tc>
          <w:tcPr>
            <w:tcW w:w="22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비고</w:t>
            </w:r>
          </w:p>
        </w:tc>
      </w:tr>
      <w:tr>
        <w:tc>
          <w:tcPr>
            <w:tcW w:w="32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직육면체 오버행 면적비</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76.9%</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0.00%</w:t>
            </w:r>
          </w:p>
        </w:tc>
        <w:tc>
          <w:tcPr>
            <w:tcW w:w="2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정답 0%</w:t>
            </w:r>
          </w:p>
        </w:tc>
      </w:tr>
      <w:tr>
        <w:tc>
          <w:tcPr>
            <w:tcW w:w="32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45° 임계각 작동</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작동 안 함</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정확히 동작</w:t>
            </w:r>
          </w:p>
        </w:tc>
        <w:tc>
          <w:tcPr>
            <w:tcW w:w="2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46°에서 0%</w:t>
            </w:r>
          </w:p>
        </w:tc>
      </w:tr>
      <w:tr>
        <w:tc>
          <w:tcPr>
            <w:tcW w:w="32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벽두께 측정 오차</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+73.2%</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0.00%</w:t>
            </w:r>
          </w:p>
        </w:tc>
        <w:tc>
          <w:tcPr>
            <w:tcW w:w="2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전 구간</w:t>
            </w:r>
          </w:p>
        </w:tc>
      </w:tr>
      <w:tr>
        <w:tc>
          <w:tcPr>
            <w:tcW w:w="32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얇은 특징(0.3mm 핀) 탐지</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놓침 (20mm 보고)</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0.297mm</w:t>
            </w:r>
          </w:p>
        </w:tc>
        <w:tc>
          <w:tcPr>
            <w:tcW w:w="2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표본 추출 수정</w:t>
            </w:r>
          </w:p>
        </w:tc>
      </w:tr>
      <w:tr>
        <w:tc>
          <w:tcPr>
            <w:tcW w:w="32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평가 규칙 수</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7개 (2개 미작동)</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10개</w:t>
            </w:r>
          </w:p>
        </w:tc>
        <w:tc>
          <w:tcPr>
            <w:tcW w:w="2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4개 신규</w:t>
            </w:r>
          </w:p>
        </w:tc>
      </w:tr>
      <w:tr>
        <w:tc>
          <w:tcPr>
            <w:tcW w:w="32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하드 게이트</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없음</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4개</w:t>
            </w:r>
          </w:p>
        </w:tc>
        <w:tc>
          <w:tcPr>
            <w:tcW w:w="2200" w:type="dxa"/>
            <w:tcMar>
              <w:top w:w="60" w:type="dxa"/>
              <w:left w:w="100" w:type="dxa"/>
              <w:bottom w:w="60" w:type="dxa"/>
              <w:right w:w="100" w:type="dxa"/>
            </w:tcMar>
            <w:vAlign w:val="center"/>
          </w:tcPr>
          <w:p>
            <w:pPr>
              <w:jc w:val="center"/>
              <w:spacing w:after="0" w:line="265"/>
            </w:pPr>
          </w:p>
        </w:tc>
      </w:tr>
      <w:tr>
        <w:tc>
          <w:tcPr>
            <w:tcW w:w="3200" w:type="dxa"/>
            <w:shd w:val="clear" w:color="auto" w:fill="E8F2E9"/>
            <w:tcMar>
              <w:top w:w="60" w:type="dxa"/>
              <w:left w:w="100" w:type="dxa"/>
              <w:bottom w:w="60" w:type="dxa"/>
              <w:right w:w="100" w:type="dxa"/>
            </w:tcMar>
            <w:vAlign w:val="center"/>
          </w:tcPr>
          <w:p>
            <w:pPr>
              <w:jc w:val="left"/>
              <w:spacing w:after="0" w:line="265"/>
            </w:pPr>
            <w:r>
              <w:rPr>
                <w:rFonts w:ascii="맑은 고딕" w:eastAsia="맑은 고딕" w:hAnsi="맑은 고딕" w:cs="맑은 고딕"/>
                <w:b/>
                <w:bCs/>
                <w:color w:val="1A1A1A"/>
                <w:sz w:val="18"/>
                <w:szCs w:val="18"/>
              </w:rPr>
              <w:t>검증 항목 통과</w:t>
            </w:r>
          </w:p>
        </w:tc>
        <w:tc>
          <w:tcPr>
            <w:tcW w:w="21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6 / 14</w:t>
            </w:r>
          </w:p>
        </w:tc>
        <w:tc>
          <w:tcPr>
            <w:tcW w:w="21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55 / 55</w:t>
            </w:r>
          </w:p>
        </w:tc>
        <w:tc>
          <w:tcPr>
            <w:tcW w:w="2200" w:type="dxa"/>
            <w:shd w:val="clear" w:color="auto" w:fill="E8F2E9"/>
            <w:tcMar>
              <w:top w:w="60" w:type="dxa"/>
              <w:left w:w="100" w:type="dxa"/>
              <w:bottom w:w="60" w:type="dxa"/>
              <w:right w:w="100" w:type="dxa"/>
            </w:tcMar>
            <w:vAlign w:val="center"/>
          </w:tcPr>
          <w:p>
            <w:pPr>
              <w:jc w:val="center"/>
              <w:spacing w:after="0" w:line="265"/>
            </w:pPr>
          </w:p>
        </w:tc>
      </w:tr>
    </w:tbl>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2. 프로젝트 개요</w:t>
      </w:r>
    </w:p>
    <w:p>
      <w:pPr>
        <w:spacing w:after="120" w:line="290"/>
      </w:pPr>
      <w:r>
        <w:rPr>
          <w:rFonts w:ascii="맑은 고딕" w:eastAsia="맑은 고딕" w:hAnsi="맑은 고딕" w:cs="맑은 고딕"/>
          <w:color w:val="1A1A1A"/>
          <w:sz w:val="20"/>
          <w:szCs w:val="20"/>
        </w:rPr>
        <w:t>적층제조는 재료를 층층이 쌓아 부품을 제조하는 공정이다. 설계 단계에서 공정 제약을 고려하지 않으면 인쇄 실패, 품질 저하, 후처리 비용 증가가 발생한다. 기존 제조성 검토는 숙련 엔지니어의 수동 확인에 의존해 시간이 오래 걸리고 평가 일관성이 부족하다. 본 프로젝트는 설계 규칙을 자동화해 정량 평가하는 시스템을 구축한다.</w:t>
      </w:r>
    </w:p>
    <w:p>
      <w:pPr>
        <w:spacing w:after="120" w:line="290"/>
      </w:pPr>
      <w:r>
        <w:rPr>
          <w:rFonts w:ascii="맑은 고딕" w:eastAsia="맑은 고딕" w:hAnsi="맑은 고딕" w:cs="맑은 고딕"/>
          <w:color w:val="1A1A1A"/>
          <w:sz w:val="20"/>
          <w:szCs w:val="20"/>
        </w:rPr>
        <w:t>Oh 등(2021)은 ISO/ASTM 52910에 기반한 평가 지표를 정의하고 유전 알고리즘으로 부품 분해를 최적화했다. 본 프로젝트는 그 지표 정의 방식을 참고하되 부품 분해와 조립성은 다루지 않으며, 단일 부품에 대해 공정별·방향별 평가를 심화한다. 1차에서 한 공정을 완성도 있게 구현하고, 2차에서 절삭가공 모듈을 추가해 하이브리드 제조성 검토로 확장할 계획이다.</w:t>
      </w:r>
    </w:p>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3. 규칙 근거</w:t>
      </w:r>
    </w:p>
    <w:p>
      <w:pPr>
        <w:spacing w:after="120" w:line="290"/>
      </w:pPr>
      <w:r>
        <w:rPr>
          <w:rFonts w:ascii="맑은 고딕" w:eastAsia="맑은 고딕" w:hAnsi="맑은 고딕" w:cs="맑은 고딕"/>
          <w:color w:val="1A1A1A"/>
          <w:sz w:val="20"/>
          <w:szCs w:val="20"/>
        </w:rPr>
        <w:t>KS D ISO/ASTM 52910(2024 확인)은 ISO/ASTM 52910:2018을 변경 없이 국가표준으로 채택한 것이다(IDT).</w:t>
      </w:r>
    </w:p>
    <w:p>
      <w:pPr>
        <w:pStyle w:val="Heading2"/>
        <w:keepNext/>
        <w:spacing w:after="95" w:before="200"/>
      </w:pPr>
      <w:r>
        <w:rPr>
          <w:rFonts w:ascii="맑은 고딕" w:eastAsia="맑은 고딕" w:hAnsi="맑은 고딕" w:cs="맑은 고딕"/>
          <w:b/>
          <w:bCs/>
          <w:color w:val="2E5496"/>
          <w:sz w:val="21"/>
          <w:szCs w:val="21"/>
        </w:rPr>
        <w:t>3.1 근거로 삼을 수 있는 범위</w:t>
      </w:r>
    </w:p>
    <w:p>
      <w:pPr>
        <w:spacing w:after="120" w:line="290"/>
      </w:pPr>
      <w:r>
        <w:rPr>
          <w:rFonts w:ascii="맑은 고딕" w:eastAsia="맑은 고딕" w:hAnsi="맑은 고딕" w:cs="맑은 고딕"/>
          <w:color w:val="1A1A1A"/>
          <w:sz w:val="20"/>
          <w:szCs w:val="20"/>
        </w:rPr>
        <w:t>표준 5절은 설계 기회, 6절은 설계 고려사항, 7절은 설계자의 주의사항으로 구성되며 7.1절은 이를 적색깃발(red flag) 사항으로 지칭한다. 표준 자체가 고려사항과 경고 신호를 구분하고 있어, 본 소프트웨어의 2단계 평가 구조가 이 구분에 대응한다.</w:t>
      </w:r>
    </w:p>
    <w:p>
      <w:pPr>
        <w:spacing w:after="120" w:line="290"/>
      </w:pPr>
      <w:r>
        <w:rPr>
          <w:rFonts w:ascii="맑은 고딕" w:eastAsia="맑은 고딕" w:hAnsi="맑은 고딕" w:cs="맑은 고딕"/>
          <w:color w:val="1A1A1A"/>
          <w:sz w:val="20"/>
          <w:szCs w:val="20"/>
        </w:rPr>
        <w:t>반면 적용범위 1절은 구체적 설계 해법과 공정별·재료별 자료를 다루지 않는다고 명시하고, 4.4절도 제시된 그림이 필수 규정이 아니라는 단서를 둔다. 따라서 표준은 평가 항목과 구조의 근거는 되지만, 임계값의 근거는 되지 않는다.</w:t>
      </w:r>
    </w:p>
    <w:p>
      <w:pPr>
        <w:pStyle w:val="Heading2"/>
        <w:keepNext/>
        <w:spacing w:after="95" w:before="200"/>
      </w:pPr>
      <w:r>
        <w:rPr>
          <w:rFonts w:ascii="맑은 고딕" w:eastAsia="맑은 고딕" w:hAnsi="맑은 고딕" w:cs="맑은 고딕"/>
          <w:b/>
          <w:bCs/>
          <w:color w:val="2E5496"/>
          <w:sz w:val="21"/>
          <w:szCs w:val="21"/>
        </w:rPr>
        <w:t>3.2 임계값의 출처</w:t>
      </w:r>
    </w:p>
    <w:p>
      <w:pPr>
        <w:spacing w:after="120" w:line="290"/>
      </w:pPr>
      <w:r>
        <w:rPr>
          <w:rFonts w:ascii="맑은 고딕" w:eastAsia="맑은 고딕" w:hAnsi="맑은 고딕" w:cs="맑은 고딕"/>
          <w:color w:val="1A1A1A"/>
          <w:sz w:val="20"/>
          <w:szCs w:val="20"/>
        </w:rPr>
        <w:t>7.2절은 오버행이 처짐·말림을 유발한다는 원칙만 서술하고 각도를 제시하지 않는다. 6.6.9절도 기준 각도가 존재한다는 사실까지만 밝히고, 그 값은 형상 크기와 길이에 따라 결정된다고 할 뿐이다. 공정별 설계 수치를 다루는 ISO/ASTM 52911을 인용하고자 하였으나 국내 부합화 표준이 확인되지 않고 원문이 유료라 확보하지 못했다.</w:t>
      </w:r>
    </w:p>
    <w:p>
      <w:pPr>
        <w:spacing w:after="120" w:line="290"/>
      </w:pPr>
      <w:r>
        <w:rPr>
          <w:rFonts w:ascii="맑은 고딕" w:eastAsia="맑은 고딕" w:hAnsi="맑은 고딕" w:cs="맑은 고딕"/>
          <w:color w:val="1A1A1A"/>
          <w:sz w:val="20"/>
          <w:szCs w:val="20"/>
        </w:rPr>
        <w:t>대신 문헌으로 두 값의 근거를 확보했다. Jiang 등(2018)은 인쇄 가능 임계 오버행각(PTOA)이 대부분의 프린터에서 45°로 설정된다고 서술하며, 동시에 그 값이 프린터·재료·공정 변수에 따라 달라지므로 시험으로 결정해야 한다고 밝힌다. 같은 연구에서 노즐 0.4mm, PLA, 층 두께 0.2mm, 출력 온도 190℃, 이송 속도 20mm/s 조건의 실측값은 PTOA 40°, 인쇄 가능 브리지 길이(LPBL) 2.0mm였다(변형 허용 0.15mm 기준).</w:t>
      </w:r>
    </w:p>
    <w:p>
      <w:pPr>
        <w:spacing w:after="120" w:line="290"/>
      </w:pPr>
      <w:r>
        <w:rPr>
          <w:rFonts w:ascii="맑은 고딕" w:eastAsia="맑은 고딕" w:hAnsi="맑은 고딕" w:cs="맑은 고딕"/>
          <w:color w:val="1A1A1A"/>
          <w:sz w:val="20"/>
          <w:szCs w:val="20"/>
        </w:rPr>
        <w:t>이 실측 조건은 본 소프트웨어의 FDM 기본 설정(노즐 0.4mm, 층 두께 0.2mm)과 거의 일치한다. 따라서 브리지 한계를 문헌 실측값 2.0mm로 채택했다. 임계각은 45°를 유지하는데, 실측값 40°보다 크게 잡으면 40~45° 구간을 지지 필요로 과대 판정하므로 오차가 안전한 방향이기 때문이다. 근거의 성격을 다음 네 등급으로 분류해 코드에 기록했다.</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1500"/>
        <w:gridCol w:w="3600"/>
        <w:gridCol w:w="4500"/>
      </w:tblGrid>
      <w:tr>
        <w:trPr>
          <w:tblHeader/>
        </w:trPr>
        <w:tc>
          <w:tcPr>
            <w:tcW w:w="15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등급</w:t>
            </w:r>
          </w:p>
        </w:tc>
        <w:tc>
          <w:tcPr>
            <w:tcW w:w="36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의미</w:t>
            </w:r>
          </w:p>
        </w:tc>
        <w:tc>
          <w:tcPr>
            <w:tcW w:w="45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해당 값</w:t>
            </w:r>
          </w:p>
        </w:tc>
      </w:tr>
      <w:tr>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사양</w:t>
            </w:r>
          </w:p>
        </w:tc>
        <w:tc>
          <w:tcPr>
            <w:tcW w:w="36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장비 사양에서 직접 옴</w:t>
            </w:r>
          </w:p>
        </w:tc>
        <w:tc>
          <w:tcPr>
            <w:tcW w:w="45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노즐 직경, 층 두께 (2개)</w:t>
            </w:r>
          </w:p>
        </w:tc>
      </w:tr>
      <w:tr>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실측</w:t>
            </w:r>
          </w:p>
        </w:tc>
        <w:tc>
          <w:tcPr>
            <w:tcW w:w="36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실험·대조로 도출</w:t>
            </w:r>
          </w:p>
        </w:tc>
        <w:tc>
          <w:tcPr>
            <w:tcW w:w="45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서포트 부피 계수 2개, 브리지 한계 (3개)</w:t>
            </w:r>
          </w:p>
        </w:tc>
      </w:tr>
      <w:tr>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관행</w:t>
            </w:r>
          </w:p>
        </w:tc>
        <w:tc>
          <w:tcPr>
            <w:tcW w:w="36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통용값 (문헌 뒷받침 포함)</w:t>
            </w:r>
          </w:p>
        </w:tc>
        <w:tc>
          <w:tcPr>
            <w:tcW w:w="45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오버행 임계각, 권장 벽두께 등 (5개)</w:t>
            </w:r>
          </w:p>
        </w:tc>
      </w:tr>
      <w:tr>
        <w:tc>
          <w:tcPr>
            <w:tcW w:w="15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판단</w:t>
            </w:r>
          </w:p>
        </w:tc>
        <w:tc>
          <w:tcPr>
            <w:tcW w:w="3600" w:type="dxa"/>
            <w:shd w:val="clear" w:color="auto" w:fill="E8F2E9"/>
            <w:tcMar>
              <w:top w:w="60" w:type="dxa"/>
              <w:left w:w="100" w:type="dxa"/>
              <w:bottom w:w="60" w:type="dxa"/>
              <w:right w:w="100" w:type="dxa"/>
            </w:tcMar>
            <w:vAlign w:val="center"/>
          </w:tcPr>
          <w:p>
            <w:pPr>
              <w:jc w:val="left"/>
              <w:spacing w:after="0" w:line="265"/>
            </w:pPr>
            <w:r>
              <w:rPr>
                <w:rFonts w:ascii="맑은 고딕" w:eastAsia="맑은 고딕" w:hAnsi="맑은 고딕" w:cs="맑은 고딕"/>
                <w:b/>
                <w:bCs/>
                <w:color w:val="1A1A1A"/>
                <w:sz w:val="18"/>
                <w:szCs w:val="18"/>
              </w:rPr>
              <w:t>개발자 추정, 근거 없음</w:t>
            </w:r>
          </w:p>
        </w:tc>
        <w:tc>
          <w:tcPr>
            <w:tcW w:w="4500" w:type="dxa"/>
            <w:shd w:val="clear" w:color="auto" w:fill="E8F2E9"/>
            <w:tcMar>
              <w:top w:w="60" w:type="dxa"/>
              <w:left w:w="100" w:type="dxa"/>
              <w:bottom w:w="60" w:type="dxa"/>
              <w:right w:w="100" w:type="dxa"/>
            </w:tcMar>
            <w:vAlign w:val="center"/>
          </w:tcPr>
          <w:p>
            <w:pPr>
              <w:jc w:val="left"/>
              <w:spacing w:after="0" w:line="265"/>
            </w:pPr>
            <w:r>
              <w:rPr>
                <w:rFonts w:ascii="맑은 고딕" w:eastAsia="맑은 고딕" w:hAnsi="맑은 고딕" w:cs="맑은 고딕"/>
                <w:b/>
                <w:bCs/>
                <w:color w:val="1A1A1A"/>
                <w:sz w:val="18"/>
                <w:szCs w:val="18"/>
              </w:rPr>
              <w:t>오버행 면적 30%, 종횡비 10 등 (4개)</w:t>
            </w:r>
          </w:p>
        </w:tc>
      </w:tr>
    </w:tbl>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4. 소프트웨어 구성</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1900"/>
        <w:gridCol w:w="3400"/>
        <w:gridCol w:w="4300"/>
      </w:tblGrid>
      <w:tr>
        <w:trPr>
          <w:tblHeader/>
        </w:trPr>
        <w:tc>
          <w:tcPr>
            <w:tcW w:w="19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계층</w:t>
            </w:r>
          </w:p>
        </w:tc>
        <w:tc>
          <w:tcPr>
            <w:tcW w:w="3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모듈</w:t>
            </w:r>
          </w:p>
        </w:tc>
        <w:tc>
          <w:tcPr>
            <w:tcW w:w="43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역할</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입력</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model_loader.py</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STL 로드, 단위 변환, 메시 유효성 진단</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형상 분석</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geometry_analyzer.py</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빌드 방향별 형상 특징 계산</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규칙 평가</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additive.py</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하드 게이트 판정, 소프트 규칙 점수 산출</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결과 관리</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scoring.py</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6방향 비교, 최적 방향 탐색, 민감도 분석</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UI</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app.py (Streamlit)</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3D 시각화, 게이트·점수 표시, 개선 제안</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검증</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verify.py / mutation_test.py</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55개 회귀 테스트 및 뮤테이션 테스팅</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외부 대조</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cura_check.py</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슬라이서 대조 자료 생성·회귀·교차검증</w:t>
            </w:r>
          </w:p>
        </w:tc>
      </w:tr>
    </w:tbl>
    <w:p>
      <w:pPr>
        <w:spacing w:after="110"/>
      </w:pPr>
    </w:p>
    <w:p>
      <w:pPr>
        <w:spacing w:after="120" w:line="290"/>
      </w:pPr>
      <w:r>
        <w:rPr>
          <w:rFonts w:ascii="맑은 고딕" w:eastAsia="맑은 고딕" w:hAnsi="맑은 고딕" w:cs="맑은 고딕"/>
          <w:color w:val="1A1A1A"/>
          <w:sz w:val="20"/>
          <w:szCs w:val="20"/>
        </w:rPr>
        <w:t>분석 진입점에서 메시를 회전시켜 빌드 방향이 항상 +Z가 되도록 좌표계를 통일함으로써, 방향 의존 오류를 구조적으로 제거했다.</w:t>
      </w:r>
    </w:p>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5. 평가 체계</w:t>
      </w:r>
    </w:p>
    <w:p>
      <w:pPr>
        <w:pStyle w:val="Heading2"/>
        <w:keepNext/>
        <w:spacing w:after="95" w:before="200"/>
      </w:pPr>
      <w:r>
        <w:rPr>
          <w:rFonts w:ascii="맑은 고딕" w:eastAsia="맑은 고딕" w:hAnsi="맑은 고딕" w:cs="맑은 고딕"/>
          <w:b/>
          <w:bCs/>
          <w:color w:val="2E5496"/>
          <w:sz w:val="21"/>
          <w:szCs w:val="21"/>
        </w:rPr>
        <w:t>5.1 2단계 구조와 하드 게이트</w:t>
      </w:r>
    </w:p>
    <w:p>
      <w:pPr>
        <w:spacing w:after="120" w:line="290"/>
      </w:pPr>
      <w:r>
        <w:rPr>
          <w:rFonts w:ascii="맑은 고딕" w:eastAsia="맑은 고딕" w:hAnsi="맑은 고딕" w:cs="맑은 고딕"/>
          <w:color w:val="1A1A1A"/>
          <w:sz w:val="20"/>
          <w:szCs w:val="20"/>
        </w:rPr>
        <w:t>모든 규칙을 하나의 가중 평균에 넣으면 빌드 볼륨을 초과해 조형이 불가능한 부품도 나머지가 우수하면 높은 등급을 받는다. 가중치 0.1인 규칙 하나가 0점이어도 종합 90점이 되기 때문이다. 따라서 평가를 물리적 가능성과 품질로 분리했다.</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2400"/>
        <w:gridCol w:w="2400"/>
        <w:gridCol w:w="4800"/>
      </w:tblGrid>
      <w:tr>
        <w:trPr>
          <w:tblHeader/>
        </w:trPr>
        <w:tc>
          <w:tcPr>
            <w:tcW w:w="2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게이트</w:t>
            </w:r>
          </w:p>
        </w:tc>
        <w:tc>
          <w:tcPr>
            <w:tcW w:w="2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근거(절)</w:t>
            </w:r>
          </w:p>
        </w:tc>
        <w:tc>
          <w:tcPr>
            <w:tcW w:w="48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판정 내용</w:t>
            </w:r>
          </w:p>
        </w:tc>
      </w:tr>
      <w:tr>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메시 무결성</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6.6.11.2~4</w:t>
            </w:r>
          </w:p>
        </w:tc>
        <w:tc>
          <w:tcPr>
            <w:tcW w:w="48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닫힌 솔리드 · 법선 방향 · 내부 면 제거</w:t>
            </w:r>
          </w:p>
        </w:tc>
      </w:tr>
      <w:tr>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갇힌 체적</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7.4 적색깃발</w:t>
            </w:r>
          </w:p>
        </w:tc>
        <w:tc>
          <w:tcPr>
            <w:tcW w:w="48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밀폐 공동 유무 (분말·레진 공정에서 차단)</w:t>
            </w:r>
          </w:p>
        </w:tc>
      </w:tr>
      <w:tr>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빌드 볼륨</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6.6.8</w:t>
            </w:r>
          </w:p>
        </w:tc>
        <w:tc>
          <w:tcPr>
            <w:tcW w:w="48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부품이 장비에 들어가는가</w:t>
            </w:r>
          </w:p>
        </w:tc>
      </w:tr>
      <w:tr>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최소 벽두께</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6.6.10</w:t>
            </w:r>
          </w:p>
        </w:tc>
        <w:tc>
          <w:tcPr>
            <w:tcW w:w="48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공정 물리 하한 이상인가</w:t>
            </w:r>
          </w:p>
        </w:tc>
      </w:tr>
    </w:tbl>
    <w:p>
      <w:pPr>
        <w:spacing w:after="110"/>
      </w:pPr>
    </w:p>
    <w:p>
      <w:pPr>
        <w:spacing w:after="120" w:line="290"/>
      </w:pPr>
      <w:r>
        <w:rPr>
          <w:rFonts w:ascii="맑은 고딕" w:eastAsia="맑은 고딕" w:hAnsi="맑은 고딕" w:cs="맑은 고딕"/>
          <w:color w:val="1A1A1A"/>
          <w:sz w:val="20"/>
          <w:szCs w:val="20"/>
        </w:rPr>
        <w:t>위반 시 즉시 인쇄 불가로 처리하고 점수를 산출하지 않는다. 벽두께 게이트는 하한 미만 표본이 2개 이상일 때 차단한다. 최솟값 하나만 보면 측정 이상치에 좌우되고, 백분위수를 쓰면 일부만 얇은 부품을 놓치기 때문이다.</w:t>
      </w:r>
    </w:p>
    <w:p>
      <w:pPr>
        <w:pStyle w:val="Heading2"/>
        <w:keepNext/>
        <w:spacing w:after="95" w:before="200"/>
      </w:pPr>
      <w:r>
        <w:rPr>
          <w:rFonts w:ascii="맑은 고딕" w:eastAsia="맑은 고딕" w:hAnsi="맑은 고딕" w:cs="맑은 고딕"/>
          <w:b/>
          <w:bCs/>
          <w:color w:val="2E5496"/>
          <w:sz w:val="21"/>
          <w:szCs w:val="21"/>
        </w:rPr>
        <w:t>5.2 소프트 규칙과 가중치</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3000"/>
        <w:gridCol w:w="1200"/>
        <w:gridCol w:w="3000"/>
        <w:gridCol w:w="2400"/>
      </w:tblGrid>
      <w:tr>
        <w:trPr>
          <w:tblHeader/>
        </w:trPr>
        <w:tc>
          <w:tcPr>
            <w:tcW w:w="30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규칙</w:t>
            </w:r>
          </w:p>
        </w:tc>
        <w:tc>
          <w:tcPr>
            <w:tcW w:w="12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가중치</w:t>
            </w:r>
          </w:p>
        </w:tc>
        <w:tc>
          <w:tcPr>
            <w:tcW w:w="30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평가 내용</w:t>
            </w:r>
          </w:p>
        </w:tc>
        <w:tc>
          <w:tcPr>
            <w:tcW w:w="2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근거(절)</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최소 벽두께</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0.20</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5퍼센타일 국소 두께</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6.6.10 · 7.3</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오버행 면적 비율</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0.20</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지지가 필요한 면적 비율</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7.2 · 6.6.9</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지지구조물 부피 비율</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0.15</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2항 모델 추정 부피 / 부품 부피</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7.2 · 6.8.3.1</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계단 효과</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0.10</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층 적층으로 생기는 계단 높이</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6.6.3 · 7.5</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종횡비</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0.08</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빌드 높이 / 최소 수평 폭</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6.6.5</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갑작스런 두께 변화</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0.08</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국소 두께 비 (기본 N/A)</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7.3</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형상 간 최소 간격</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0.07</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마주 보는 형상 사이 거리</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6.6.6</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빌드 볼륨 여유</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0.04</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최대 축 점유율</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6.6.8</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최소 특징 크기</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0.05</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복셀 오프닝 소실 부피 (기본 N/A)</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6.6.4 · 7.9</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수평 구멍 직경</w:t>
            </w:r>
          </w:p>
        </w:tc>
        <w:tc>
          <w:tcPr>
            <w:tcW w:w="12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0.03</w:t>
            </w:r>
          </w:p>
        </w:tc>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STL에서는 측정 불가 (N/A)</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7.4 · 6.6.6</w:t>
            </w:r>
          </w:p>
        </w:tc>
      </w:tr>
    </w:tbl>
    <w:p>
      <w:pPr>
        <w:spacing w:after="110"/>
      </w:pPr>
    </w:p>
    <w:p>
      <w:pPr>
        <w:spacing w:after="120" w:line="290"/>
      </w:pPr>
      <w:r>
        <w:rPr>
          <w:rFonts w:ascii="맑은 고딕" w:eastAsia="맑은 고딕" w:hAnsi="맑은 고딕" w:cs="맑은 고딕"/>
          <w:color w:val="1A1A1A"/>
          <w:sz w:val="20"/>
          <w:szCs w:val="20"/>
        </w:rPr>
        <w:t>측정할 수 없는 규칙에는 만점을 주지 않고 N/A로 표시한 뒤 가중치를 나머지에 비례 재분배한다. 만점을 주면 모든 부품이 그 가중치만큼 무조건 점수를 받아 해당 항목의 변별력이 사라지고, 측정 가능한 규칙 수가 다른 부품끼리 비교가 왜곡된다. 같은 메커니즘으로 SLS에서는 분말이 자연 지지 역할을 하므로 오버행과 지지구조물 규칙이 자동으로 N/A가 된다. FDM에서는 10개 중 7개, SLS에서는 5개가 평가된다.</w:t>
      </w:r>
    </w:p>
    <w:p>
      <w:pPr>
        <w:pStyle w:val="Heading2"/>
        <w:keepNext/>
        <w:spacing w:after="95" w:before="200"/>
      </w:pPr>
      <w:r>
        <w:rPr>
          <w:rFonts w:ascii="맑은 고딕" w:eastAsia="맑은 고딕" w:hAnsi="맑은 고딕" w:cs="맑은 고딕"/>
          <w:b/>
          <w:bCs/>
          <w:color w:val="2E5496"/>
          <w:sz w:val="21"/>
          <w:szCs w:val="21"/>
        </w:rPr>
        <w:t>5.3 형상 분석 핵심 방법</w:t>
      </w:r>
    </w:p>
    <w:p>
      <w:pPr>
        <w:spacing w:after="120" w:line="290"/>
      </w:pPr>
      <w:r>
        <w:rPr>
          <w:rFonts w:ascii="맑은 고딕" w:eastAsia="맑은 고딕" w:hAnsi="맑은 고딕" w:cs="맑은 고딕"/>
          <w:color w:val="1A1A1A"/>
          <w:sz w:val="20"/>
          <w:szCs w:val="20"/>
        </w:rPr>
        <w:t>오버행 판정은 면 법선과 빌드 방향 사이 각도로 경사각을 정의하고, 공정별 임계각 미만의 하향면을 식별한다. 수직벽과 빌드 플레이트 접촉면은 제외한다. 초기 구현은 경사각을 0~90으로 절단해 하향면 정보가 소실됐고, 수직벽과 접촉면까지 포함되어 임계각이 결과에 영향을 주지 못했다.</w:t>
      </w:r>
    </w:p>
    <w:p>
      <w:pPr>
        <w:spacing w:after="120" w:line="290"/>
      </w:pPr>
      <w:r>
        <w:rPr>
          <w:rFonts w:ascii="맑은 고딕" w:eastAsia="맑은 고딕" w:hAnsi="맑은 고딕" w:cs="맑은 고딕"/>
          <w:color w:val="1A1A1A"/>
          <w:sz w:val="20"/>
          <w:szCs w:val="20"/>
        </w:rPr>
        <w:t>지지구조물 부피는 오버행 면을 연결 영역으로 묶은 뒤 2항 모델로 추정한다.</w:t>
      </w:r>
    </w:p>
    <w:p>
      <w:pPr>
        <w:jc w:val="center"/>
        <w:spacing w:after="130" w:before="110"/>
      </w:pPr>
      <w:r>
        <w:rPr>
          <w:rFonts w:ascii="Cambria Math" w:eastAsia="Cambria Math" w:hAnsi="Cambria Math" w:cs="Cambria Math"/>
          <w:i/>
          <w:iCs/>
          <w:sz w:val="22"/>
          <w:szCs w:val="22"/>
        </w:rPr>
        <w:t>V = a · Σ(A · h)  +  b · Σ(P · h)</w:t>
      </w:r>
    </w:p>
    <w:p>
      <w:pPr>
        <w:spacing w:after="120" w:line="290"/>
      </w:pPr>
      <w:r>
        <w:rPr>
          <w:rFonts w:ascii="맑은 고딕" w:eastAsia="맑은 고딕" w:hAnsi="맑은 고딕" w:cs="맑은 고딕"/>
          <w:color w:val="1A1A1A"/>
          <w:sz w:val="20"/>
          <w:szCs w:val="20"/>
        </w:rPr>
        <w:t>A는 지지 영역의 수평 투영 면적, P는 그 영역의 둘레, h는 아래 첫 표면까지의 높이다. 지지 기둥은 내부 격자뿐 아니라 바깥 벽과 인터페이스로도 구성되며, 이 성분은 부피가 아니라 둘레에 비례한다. 기둥이 가늘수록 벽의 비중이 커지므로 부피 항만 쓰면 작은 지지구조가 많은 형상에서 과소추정한다. 두 계수는 슬라이서 대조로 도출했다(7.2절).</w:t>
      </w:r>
    </w:p>
    <w:p>
      <w:pPr>
        <w:spacing w:after="120" w:line="290"/>
      </w:pPr>
      <w:r>
        <w:rPr>
          <w:rFonts w:ascii="맑은 고딕" w:eastAsia="맑은 고딕" w:hAnsi="맑은 고딕" w:cs="맑은 고딕"/>
          <w:color w:val="1A1A1A"/>
          <w:sz w:val="20"/>
          <w:szCs w:val="20"/>
        </w:rPr>
        <w:t>계단 효과는 층 적층에서 유도된다. 두께 t인 층으로 수평면 기준 각도 a인 면을 쌓으면 계단 하나의 편차가 t·cos(a)가 된다. 층 두께가 장비 설정값이므로 이 지표에는 임의 상수가 들어가지 않는다. 벽두께는 면 중심에서 면 법선 반대 방향으로 레이캐스팅해 측정하며, 표본 추출은 면적 가중과 면 균등 두 경로를 병행한다. 면적 가중만 쓰면 면적이 작은 얇은 특징이 표본에 들지 않는다.</w:t>
      </w:r>
    </w:p>
    <w:p>
      <w:pPr>
        <w:spacing w:after="120" w:line="290"/>
      </w:pPr>
      <w:r>
        <w:rPr>
          <w:rFonts w:ascii="맑은 고딕" w:eastAsia="맑은 고딕" w:hAnsi="맑은 고딕" w:cs="맑은 고딕"/>
          <w:color w:val="1A1A1A"/>
          <w:sz w:val="20"/>
          <w:szCs w:val="20"/>
        </w:rPr>
        <w:t>브리징은 양단이 고정된 짧은 수평 구간을 오버행에서 제외한다. Jiang 등(2018)은 임계 오버행각과 브리지 길이를 함께 고려하면 지지 재료를 크게 줄일 수 있음을 보였다. 다만 브리지 한계를 실제보다 크게 잡으면 지지가 필요한 구간을 불필요하다고 판정하므로 오차 방향이 위험하다. 따라서 실측 자료가 없는 공정에서는 0으로 두어 브리징을 인정하지 않는다. 갇힌 체적은 닫힌 메시를 껍질 단위로 분리해 부호 있는 부피가 음수인 껍질을 찾으며, 배출 구멍이 있으면 껍질이 하나로 합쳐지므로 자동으로 구분된다.</w:t>
      </w:r>
    </w:p>
    <w:p>
      <w:pPr>
        <w:pStyle w:val="Heading2"/>
        <w:keepNext/>
        <w:spacing w:after="95" w:before="200"/>
      </w:pPr>
      <w:r>
        <w:rPr>
          <w:rFonts w:ascii="맑은 고딕" w:eastAsia="맑은 고딕" w:hAnsi="맑은 고딕" w:cs="맑은 고딕"/>
          <w:b/>
          <w:bCs/>
          <w:color w:val="2E5496"/>
          <w:sz w:val="21"/>
          <w:szCs w:val="21"/>
        </w:rPr>
        <w:t>5.4 점수 산출 및 등급</w:t>
      </w:r>
    </w:p>
    <w:p>
      <w:pPr>
        <w:spacing w:after="120" w:line="290"/>
      </w:pPr>
      <w:r>
        <w:rPr>
          <w:rFonts w:ascii="맑은 고딕" w:eastAsia="맑은 고딕" w:hAnsi="맑은 고딕" w:cs="맑은 고딕"/>
          <w:color w:val="1A1A1A"/>
          <w:sz w:val="20"/>
          <w:szCs w:val="20"/>
        </w:rPr>
        <w:t>각 규칙은 0~100점 연속 점수를 산출한다. 클수록 좋은 지표는 기준값에서 50점, 기준의 2배 이상에서 100점이며, 작을수록 좋은 지표는 반대로 작동한다. 모든 분기 경계에서 좌우 극한이 일치하도록 설계했다.</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1100"/>
        <w:gridCol w:w="3300"/>
        <w:gridCol w:w="1100"/>
        <w:gridCol w:w="4100"/>
      </w:tblGrid>
      <w:tr>
        <w:trPr>
          <w:tblHeader/>
        </w:trPr>
        <w:tc>
          <w:tcPr>
            <w:tcW w:w="11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등급</w:t>
            </w:r>
          </w:p>
        </w:tc>
        <w:tc>
          <w:tcPr>
            <w:tcW w:w="33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점수</w:t>
            </w:r>
          </w:p>
        </w:tc>
        <w:tc>
          <w:tcPr>
            <w:tcW w:w="11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등급</w:t>
            </w:r>
          </w:p>
        </w:tc>
        <w:tc>
          <w:tcPr>
            <w:tcW w:w="41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점수</w:t>
            </w:r>
          </w:p>
        </w:tc>
      </w:tr>
      <w:tr>
        <w:tc>
          <w:tcPr>
            <w:tcW w:w="1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불가</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하드 게이트 위반</w:t>
            </w:r>
          </w:p>
        </w:tc>
        <w:tc>
          <w:tcPr>
            <w:tcW w:w="1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C</w:t>
            </w:r>
          </w:p>
        </w:tc>
        <w:tc>
          <w:tcPr>
            <w:tcW w:w="41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70~79 개선 후 인쇄</w:t>
            </w:r>
          </w:p>
        </w:tc>
      </w:tr>
      <w:tr>
        <w:tc>
          <w:tcPr>
            <w:tcW w:w="1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A</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90~100 바로 인쇄 가능</w:t>
            </w:r>
          </w:p>
        </w:tc>
        <w:tc>
          <w:tcPr>
            <w:tcW w:w="1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D</w:t>
            </w:r>
          </w:p>
        </w:tc>
        <w:tc>
          <w:tcPr>
            <w:tcW w:w="41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60~69 상당한 개선 필요</w:t>
            </w:r>
          </w:p>
        </w:tc>
      </w:tr>
      <w:tr>
        <w:tc>
          <w:tcPr>
            <w:tcW w:w="1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B</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80~89 소소한 개선 권장</w:t>
            </w:r>
          </w:p>
        </w:tc>
        <w:tc>
          <w:tcPr>
            <w:tcW w:w="1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F</w:t>
            </w:r>
          </w:p>
        </w:tc>
        <w:tc>
          <w:tcPr>
            <w:tcW w:w="41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60 미만 재검토 필요</w:t>
            </w:r>
          </w:p>
        </w:tc>
      </w:tr>
    </w:tbl>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6. 검증</w:t>
      </w:r>
    </w:p>
    <w:p>
      <w:pPr>
        <w:spacing w:after="120" w:line="290"/>
      </w:pPr>
      <w:r>
        <w:rPr>
          <w:rFonts w:ascii="맑은 고딕" w:eastAsia="맑은 고딕" w:hAnsi="맑은 고딕" w:cs="맑은 고딕"/>
          <w:color w:val="1A1A1A"/>
          <w:sz w:val="20"/>
          <w:szCs w:val="20"/>
        </w:rPr>
        <w:t>규칙 기반 시스템은 입력에 대한 정답을 미리 계산할 수 있다. 이를 활용해 네 층위로 검증을 구성했다. 해석해 대조는 정답을 손으로 계산할 수 있는 형상을 넣어 그 값이 나오는지 본다. 불변성 검사는 평행이동·회전·확대 시 성립해야 할 성질을, 단조성 검사는 방향만 아는 경우를, 비정상 입력 방어는 잘못된 입력을 막는지를 확인한다.</w:t>
      </w:r>
    </w:p>
    <w:p>
      <w:pPr>
        <w:pStyle w:val="Heading2"/>
        <w:keepNext/>
        <w:spacing w:after="95" w:before="200"/>
      </w:pPr>
      <w:r>
        <w:rPr>
          <w:rFonts w:ascii="맑은 고딕" w:eastAsia="맑은 고딕" w:hAnsi="맑은 고딕" w:cs="맑은 고딕"/>
          <w:b/>
          <w:bCs/>
          <w:color w:val="2E5496"/>
          <w:sz w:val="21"/>
          <w:szCs w:val="21"/>
        </w:rPr>
        <w:t>6.1 검증 종합</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4400"/>
        <w:gridCol w:w="2600"/>
        <w:gridCol w:w="2600"/>
      </w:tblGrid>
      <w:tr>
        <w:trPr>
          <w:tblHeader/>
        </w:trPr>
        <w:tc>
          <w:tcPr>
            <w:tcW w:w="4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검증 층위</w:t>
            </w:r>
          </w:p>
        </w:tc>
        <w:tc>
          <w:tcPr>
            <w:tcW w:w="26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초기 구현</w:t>
            </w:r>
          </w:p>
        </w:tc>
        <w:tc>
          <w:tcPr>
            <w:tcW w:w="26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현재</w:t>
            </w:r>
          </w:p>
        </w:tc>
      </w:tr>
      <w:tr>
        <w:tc>
          <w:tcPr>
            <w:tcW w:w="4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해석해 대조</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 / 6</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14 / 14</w:t>
            </w:r>
          </w:p>
        </w:tc>
      </w:tr>
      <w:tr>
        <w:tc>
          <w:tcPr>
            <w:tcW w:w="4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불변성 검사</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5 / 5</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6 / 6</w:t>
            </w:r>
          </w:p>
        </w:tc>
      </w:tr>
      <w:tr>
        <w:tc>
          <w:tcPr>
            <w:tcW w:w="4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단조성·방향 반응</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 / 3</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6 / 6</w:t>
            </w:r>
          </w:p>
        </w:tc>
      </w:tr>
      <w:tr>
        <w:tc>
          <w:tcPr>
            <w:tcW w:w="4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비정상 입력 방어</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해당 없음</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 / 10</w:t>
            </w:r>
          </w:p>
        </w:tc>
      </w:tr>
      <w:tr>
        <w:tc>
          <w:tcPr>
            <w:tcW w:w="4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신규 규칙 검증</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해당 없음</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18 / 18</w:t>
            </w:r>
          </w:p>
        </w:tc>
      </w:tr>
      <w:tr>
        <w:tc>
          <w:tcPr>
            <w:tcW w:w="4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스모크 (4공정 × 6방향)</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실패 (SLS 크래시)</w:t>
            </w:r>
          </w:p>
        </w:tc>
        <w:tc>
          <w:tcPr>
            <w:tcW w:w="2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통과</w:t>
            </w:r>
          </w:p>
        </w:tc>
      </w:tr>
      <w:tr>
        <w:tc>
          <w:tcPr>
            <w:tcW w:w="4400" w:type="dxa"/>
            <w:shd w:val="clear" w:color="auto" w:fill="E8F2E9"/>
            <w:tcMar>
              <w:top w:w="60" w:type="dxa"/>
              <w:left w:w="100" w:type="dxa"/>
              <w:bottom w:w="60" w:type="dxa"/>
              <w:right w:w="100" w:type="dxa"/>
            </w:tcMar>
            <w:vAlign w:val="center"/>
          </w:tcPr>
          <w:p>
            <w:pPr>
              <w:jc w:val="left"/>
              <w:spacing w:after="0" w:line="265"/>
            </w:pPr>
            <w:r>
              <w:rPr>
                <w:rFonts w:ascii="맑은 고딕" w:eastAsia="맑은 고딕" w:hAnsi="맑은 고딕" w:cs="맑은 고딕"/>
                <w:b/>
                <w:bCs/>
                <w:color w:val="1A1A1A"/>
                <w:sz w:val="18"/>
                <w:szCs w:val="18"/>
              </w:rPr>
              <w:t>합계</w:t>
            </w:r>
          </w:p>
        </w:tc>
        <w:tc>
          <w:tcPr>
            <w:tcW w:w="26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6 / 14</w:t>
            </w:r>
          </w:p>
        </w:tc>
        <w:tc>
          <w:tcPr>
            <w:tcW w:w="26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55 / 55</w:t>
            </w:r>
          </w:p>
        </w:tc>
      </w:tr>
    </w:tbl>
    <w:p>
      <w:pPr>
        <w:spacing w:after="110"/>
      </w:pPr>
    </w:p>
    <w:p>
      <w:pPr>
        <w:spacing w:after="120" w:line="290"/>
      </w:pPr>
      <w:r>
        <w:rPr>
          <w:rFonts w:ascii="맑은 고딕" w:eastAsia="맑은 고딕" w:hAnsi="맑은 고딕" w:cs="맑은 고딕"/>
          <w:color w:val="1A1A1A"/>
          <w:sz w:val="20"/>
          <w:szCs w:val="20"/>
        </w:rPr>
        <w:t>검증 항목은 세 차례 확장했다. 첫째, 19개를 통과한 뒤 비정상 입력으로 시험하자 열린 메시와 법선 반전 메시가 A등급을 받았고, 하드 게이트가 백분위수를 써서 일부만 얇은 부품을 통과시켰다. 둘째, 슬라이서 대조 과정에서 얇은 특징을 놓치는 표본 추출 결함과 둘레 항의 테셀레이션 의존을 발견했다. 셋째, 코드 전수 재검토에서 3D 오버행 하이라이트가 조용히 동작하지 않고 있는 것과 중복 구현된 사용되지 않는 코드를 발견했다. 세 경우 모두 시험이 그 영역을 건드리지 않은 것이 원인이었다.</w:t>
      </w:r>
    </w:p>
    <w:p>
      <w:pPr>
        <w:pStyle w:val="Heading2"/>
        <w:keepNext/>
        <w:spacing w:after="95" w:before="200"/>
      </w:pPr>
      <w:r>
        <w:rPr>
          <w:rFonts w:ascii="맑은 고딕" w:eastAsia="맑은 고딕" w:hAnsi="맑은 고딕" w:cs="맑은 고딕"/>
          <w:b/>
          <w:bCs/>
          <w:color w:val="2E5496"/>
          <w:sz w:val="21"/>
          <w:szCs w:val="21"/>
        </w:rPr>
        <w:t>6.2 해석해 대조 주요 결과</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1900"/>
        <w:gridCol w:w="2500"/>
        <w:gridCol w:w="2500"/>
        <w:gridCol w:w="2700"/>
      </w:tblGrid>
      <w:tr>
        <w:trPr>
          <w:tblHeader/>
        </w:trPr>
        <w:tc>
          <w:tcPr>
            <w:tcW w:w="19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시험</w:t>
            </w:r>
          </w:p>
        </w:tc>
        <w:tc>
          <w:tcPr>
            <w:tcW w:w="25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기대값</w:t>
            </w:r>
          </w:p>
        </w:tc>
        <w:tc>
          <w:tcPr>
            <w:tcW w:w="25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현재</w:t>
            </w:r>
          </w:p>
        </w:tc>
        <w:tc>
          <w:tcPr>
            <w:tcW w:w="27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초기 구현</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직육면체 오버행</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0.00%</w:t>
            </w:r>
          </w:p>
        </w:tc>
        <w:tc>
          <w:tcPr>
            <w:tcW w:w="27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76.9%</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46° 경사면</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자립 (0%)</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0.00%</w:t>
            </w:r>
          </w:p>
        </w:tc>
        <w:tc>
          <w:tcPr>
            <w:tcW w:w="27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82.0%</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두께 2mm 판 측정</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2.000mm</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2.000mm</w:t>
            </w:r>
          </w:p>
        </w:tc>
        <w:tc>
          <w:tcPr>
            <w:tcW w:w="27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3.464mm</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서포트 부피</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해석해 일치</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오차 0.000%</w:t>
            </w:r>
          </w:p>
        </w:tc>
        <w:tc>
          <w:tcPr>
            <w:tcW w:w="27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2.4~4.4배 과대</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계단 높이 (경사 45°)</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0.1414mm</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0.1414mm</w:t>
            </w:r>
          </w:p>
        </w:tc>
        <w:tc>
          <w:tcPr>
            <w:tcW w:w="27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해당 없음</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슬롯 간격 0.8mm</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0.800mm</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0.800mm</w:t>
            </w:r>
          </w:p>
        </w:tc>
        <w:tc>
          <w:tcPr>
            <w:tcW w:w="27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해당 없음</w:t>
            </w:r>
          </w:p>
        </w:tc>
      </w:tr>
      <w:tr>
        <w:tc>
          <w:tcPr>
            <w:tcW w:w="1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밀폐 공동 부피</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8,000mm³</w:t>
            </w:r>
          </w:p>
        </w:tc>
        <w:tc>
          <w:tcPr>
            <w:tcW w:w="2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8,000mm³</w:t>
            </w:r>
          </w:p>
        </w:tc>
        <w:tc>
          <w:tcPr>
            <w:tcW w:w="27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해당 없음</w:t>
            </w:r>
          </w:p>
        </w:tc>
      </w:tr>
    </w:tbl>
    <w:p>
      <w:pPr>
        <w:spacing w:after="110"/>
      </w:pPr>
    </w:p>
    <w:p>
      <w:pPr>
        <w:spacing w:after="120" w:line="290"/>
      </w:pPr>
      <w:r>
        <w:rPr>
          <w:rFonts w:ascii="맑은 고딕" w:eastAsia="맑은 고딕" w:hAnsi="맑은 고딕" w:cs="맑은 고딕"/>
          <w:color w:val="1A1A1A"/>
          <w:sz w:val="20"/>
          <w:szCs w:val="20"/>
        </w:rPr>
        <w:t>초기 구현의 벽두께 오차는 전 구간에서 일정하게 √3배였다. 실제보다 두껍게 측정하므로 기준 미달인 벽을 합격 처리한다. FDM 기준 1.0mm에서 실제 0.578mm 벽까지 통과했다. 제조성 검토 도구가 인쇄 불가능한 설계를 통과시키는 것은 가장 피해야 할 오류 유형이다.</w:t>
      </w:r>
    </w:p>
    <w:p>
      <w:pPr>
        <w:pStyle w:val="Heading2"/>
        <w:keepNext/>
        <w:spacing w:after="95" w:before="200"/>
      </w:pPr>
      <w:r>
        <w:rPr>
          <w:rFonts w:ascii="맑은 고딕" w:eastAsia="맑은 고딕" w:hAnsi="맑은 고딕" w:cs="맑은 고딕"/>
          <w:b/>
          <w:bCs/>
          <w:color w:val="2E5496"/>
          <w:sz w:val="21"/>
          <w:szCs w:val="21"/>
        </w:rPr>
        <w:t>6.3 검증의 검증</w:t>
      </w:r>
    </w:p>
    <w:p>
      <w:pPr>
        <w:spacing w:after="120" w:line="290"/>
      </w:pPr>
      <w:r>
        <w:rPr>
          <w:rFonts w:ascii="맑은 고딕" w:eastAsia="맑은 고딕" w:hAnsi="맑은 고딕" w:cs="맑은 고딕"/>
          <w:color w:val="1A1A1A"/>
          <w:sz w:val="20"/>
          <w:szCs w:val="20"/>
        </w:rPr>
        <w:t>세 차례 모두 검증을 통과한 상태에서 결함이 남아 있었으므로, 검증 하네스 자체를 검증하는 뮤테이션 테스팅을 도입했다. 코드에 결함을 일부러 심고 검증이 잡아내는지 확인하는 방법이며, 살아남은 결함이 곧 검증의 사각지대다. 초기 뮤테이션 점수는 73%였고, 놓친 항목을 분석해 시험을 추가한 결과 현재 90%다. 살아남은 나머지는 결함을 심어도 출력이 바뀌지 않는 동등 변이임을 확인했다.</w:t>
      </w:r>
    </w:p>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7. 평가 결과</w:t>
      </w:r>
    </w:p>
    <w:p>
      <w:pPr>
        <w:pStyle w:val="Heading2"/>
        <w:keepNext/>
        <w:spacing w:after="95" w:before="200"/>
      </w:pPr>
      <w:r>
        <w:rPr>
          <w:rFonts w:ascii="맑은 고딕" w:eastAsia="맑은 고딕" w:hAnsi="맑은 고딕" w:cs="맑은 고딕"/>
          <w:b/>
          <w:bCs/>
          <w:color w:val="2E5496"/>
          <w:sz w:val="21"/>
          <w:szCs w:val="21"/>
        </w:rPr>
        <w:t>7.1 샘플 모델 평가 (FDM, +Z)</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3000"/>
        <w:gridCol w:w="1300"/>
        <w:gridCol w:w="1500"/>
        <w:gridCol w:w="1500"/>
        <w:gridCol w:w="1500"/>
        <w:gridCol w:w="1000"/>
      </w:tblGrid>
      <w:tr>
        <w:trPr>
          <w:tblHeader/>
        </w:trPr>
        <w:tc>
          <w:tcPr>
            <w:tcW w:w="30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규칙</w:t>
            </w:r>
          </w:p>
        </w:tc>
        <w:tc>
          <w:tcPr>
            <w:tcW w:w="13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가중치</w:t>
            </w:r>
          </w:p>
        </w:tc>
        <w:tc>
          <w:tcPr>
            <w:tcW w:w="15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Good</w:t>
            </w:r>
          </w:p>
        </w:tc>
        <w:tc>
          <w:tcPr>
            <w:tcW w:w="15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Moderate</w:t>
            </w:r>
          </w:p>
        </w:tc>
        <w:tc>
          <w:tcPr>
            <w:tcW w:w="15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Bad</w:t>
            </w:r>
          </w:p>
        </w:tc>
        <w:tc>
          <w:tcPr>
            <w:tcW w:w="10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기준</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최소 벽두께</w:t>
            </w:r>
          </w:p>
        </w:tc>
        <w:tc>
          <w:tcPr>
            <w:tcW w:w="13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23.8%</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50.0</w:t>
            </w:r>
          </w:p>
        </w:tc>
        <w:tc>
          <w:tcPr>
            <w:tcW w:w="1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1.0mm</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오버행 면적 비율</w:t>
            </w:r>
          </w:p>
        </w:tc>
        <w:tc>
          <w:tcPr>
            <w:tcW w:w="13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23.8%</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81.9</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26.1</w:t>
            </w:r>
          </w:p>
        </w:tc>
        <w:tc>
          <w:tcPr>
            <w:tcW w:w="1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30%</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지지구조물 부피 비율</w:t>
            </w:r>
          </w:p>
        </w:tc>
        <w:tc>
          <w:tcPr>
            <w:tcW w:w="13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17.9%</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41.1</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34.9</w:t>
            </w:r>
          </w:p>
        </w:tc>
        <w:tc>
          <w:tcPr>
            <w:tcW w:w="1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0.5</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계단 효과</w:t>
            </w:r>
          </w:p>
        </w:tc>
        <w:tc>
          <w:tcPr>
            <w:tcW w:w="13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11.9%</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0.5</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종횡비</w:t>
            </w:r>
          </w:p>
        </w:tc>
        <w:tc>
          <w:tcPr>
            <w:tcW w:w="13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9.5%</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형상 간 최소 간격</w:t>
            </w:r>
          </w:p>
        </w:tc>
        <w:tc>
          <w:tcPr>
            <w:tcW w:w="13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8.3%</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0.5mm</w:t>
            </w:r>
          </w:p>
        </w:tc>
      </w:tr>
      <w:tr>
        <w:tc>
          <w:tcPr>
            <w:tcW w:w="3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빌드 볼륨 여유</w:t>
            </w:r>
          </w:p>
        </w:tc>
        <w:tc>
          <w:tcPr>
            <w:tcW w:w="13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4.8%</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5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80%</w:t>
            </w:r>
          </w:p>
        </w:tc>
      </w:tr>
      <w:tr>
        <w:tc>
          <w:tcPr>
            <w:tcW w:w="3000" w:type="dxa"/>
            <w:shd w:val="clear" w:color="auto" w:fill="E8F2E9"/>
            <w:tcMar>
              <w:top w:w="60" w:type="dxa"/>
              <w:left w:w="100" w:type="dxa"/>
              <w:bottom w:w="60" w:type="dxa"/>
              <w:right w:w="100" w:type="dxa"/>
            </w:tcMar>
            <w:vAlign w:val="center"/>
          </w:tcPr>
          <w:p>
            <w:pPr>
              <w:jc w:val="left"/>
              <w:spacing w:after="0" w:line="265"/>
            </w:pPr>
            <w:r>
              <w:rPr>
                <w:rFonts w:ascii="맑은 고딕" w:eastAsia="맑은 고딕" w:hAnsi="맑은 고딕" w:cs="맑은 고딕"/>
                <w:b/>
                <w:bCs/>
                <w:color w:val="1A1A1A"/>
                <w:sz w:val="18"/>
                <w:szCs w:val="18"/>
              </w:rPr>
              <w:t>종합 점수</w:t>
            </w:r>
          </w:p>
        </w:tc>
        <w:tc>
          <w:tcPr>
            <w:tcW w:w="1300" w:type="dxa"/>
            <w:shd w:val="clear" w:color="auto" w:fill="E8F2E9"/>
            <w:tcMar>
              <w:top w:w="60" w:type="dxa"/>
              <w:left w:w="100" w:type="dxa"/>
              <w:bottom w:w="60" w:type="dxa"/>
              <w:right w:w="100" w:type="dxa"/>
            </w:tcMar>
            <w:vAlign w:val="center"/>
          </w:tcPr>
          <w:p>
            <w:pPr>
              <w:jc w:val="center"/>
              <w:spacing w:after="0" w:line="265"/>
            </w:pPr>
          </w:p>
        </w:tc>
        <w:tc>
          <w:tcPr>
            <w:tcW w:w="15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100.0 (A)</w:t>
            </w:r>
          </w:p>
        </w:tc>
        <w:tc>
          <w:tcPr>
            <w:tcW w:w="15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85.2 (B)</w:t>
            </w:r>
          </w:p>
        </w:tc>
        <w:tc>
          <w:tcPr>
            <w:tcW w:w="15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58.9 (F)</w:t>
            </w:r>
          </w:p>
        </w:tc>
        <w:tc>
          <w:tcPr>
            <w:tcW w:w="1000" w:type="dxa"/>
            <w:shd w:val="clear" w:color="auto" w:fill="E8F2E9"/>
            <w:tcMar>
              <w:top w:w="60" w:type="dxa"/>
              <w:left w:w="100" w:type="dxa"/>
              <w:bottom w:w="60" w:type="dxa"/>
              <w:right w:w="100" w:type="dxa"/>
            </w:tcMar>
            <w:vAlign w:val="center"/>
          </w:tcPr>
          <w:p>
            <w:pPr>
              <w:jc w:val="center"/>
              <w:spacing w:after="0" w:line="265"/>
            </w:pPr>
          </w:p>
        </w:tc>
      </w:tr>
    </w:tbl>
    <w:p>
      <w:pPr>
        <w:spacing w:after="110"/>
      </w:pPr>
    </w:p>
    <w:p>
      <w:pPr>
        <w:spacing w:after="120" w:line="290"/>
      </w:pPr>
      <w:r>
        <w:rPr>
          <w:rFonts w:ascii="맑은 고딕" w:eastAsia="맑은 고딕" w:hAnsi="맑은 고딕" w:cs="맑은 고딕"/>
          <w:color w:val="1A1A1A"/>
          <w:sz w:val="20"/>
          <w:szCs w:val="20"/>
        </w:rPr>
        <w:t>Good 모델은 오버행이 물리적으로 존재할 수 없는 직육면체이며 면적비 0.00%가 정답이다. 초기 구현에서는 76.9%가 나왔다. 최소 특징 크기, 갑작스런 두께 변화, 수평 구멍 세 규칙은 N/A이며 가중치가 재분배되어 나머지 7개가 23.8~4.8%로 표시된다.</w:t>
      </w:r>
    </w:p>
    <w:p>
      <w:pPr>
        <w:pStyle w:val="Heading2"/>
        <w:keepNext/>
        <w:spacing w:after="95" w:before="200"/>
      </w:pPr>
      <w:r>
        <w:rPr>
          <w:rFonts w:ascii="맑은 고딕" w:eastAsia="맑은 고딕" w:hAnsi="맑은 고딕" w:cs="맑은 고딕"/>
          <w:b/>
          <w:bCs/>
          <w:color w:val="2E5496"/>
          <w:sz w:val="21"/>
          <w:szCs w:val="21"/>
        </w:rPr>
        <w:t>7.2 빌드 방향 비교 (Moderate)</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2000"/>
        <w:gridCol w:w="2100"/>
        <w:gridCol w:w="2100"/>
        <w:gridCol w:w="1800"/>
        <w:gridCol w:w="1600"/>
      </w:tblGrid>
      <w:tr>
        <w:trPr>
          <w:tblHeader/>
        </w:trPr>
        <w:tc>
          <w:tcPr>
            <w:tcW w:w="20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빌드 방향</w:t>
            </w:r>
          </w:p>
        </w:tc>
        <w:tc>
          <w:tcPr>
            <w:tcW w:w="21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오버행 면적비</w:t>
            </w:r>
          </w:p>
        </w:tc>
        <w:tc>
          <w:tcPr>
            <w:tcW w:w="21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서포트 부피비</w:t>
            </w:r>
          </w:p>
        </w:tc>
        <w:tc>
          <w:tcPr>
            <w:tcW w:w="18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종합 점수</w:t>
            </w:r>
          </w:p>
        </w:tc>
        <w:tc>
          <w:tcPr>
            <w:tcW w:w="16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등급</w:t>
            </w:r>
          </w:p>
        </w:tc>
      </w:tr>
      <w:tr>
        <w:tc>
          <w:tcPr>
            <w:tcW w:w="2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+Z (기본)</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20.44%</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0.5887</w:t>
            </w:r>
          </w:p>
        </w:tc>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85.2</w:t>
            </w:r>
          </w:p>
        </w:tc>
        <w:tc>
          <w:tcPr>
            <w:tcW w:w="1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B</w:t>
            </w:r>
          </w:p>
        </w:tc>
      </w:tr>
      <w:tr>
        <w:tc>
          <w:tcPr>
            <w:tcW w:w="2000" w:type="dxa"/>
            <w:shd w:val="clear" w:color="auto" w:fill="E8F2E9"/>
            <w:tcMar>
              <w:top w:w="60" w:type="dxa"/>
              <w:left w:w="100" w:type="dxa"/>
              <w:bottom w:w="60" w:type="dxa"/>
              <w:right w:w="100" w:type="dxa"/>
            </w:tcMar>
            <w:vAlign w:val="center"/>
          </w:tcPr>
          <w:p>
            <w:pPr>
              <w:jc w:val="left"/>
              <w:spacing w:after="0" w:line="265"/>
            </w:pPr>
            <w:r>
              <w:rPr>
                <w:rFonts w:ascii="맑은 고딕" w:eastAsia="맑은 고딕" w:hAnsi="맑은 고딕" w:cs="맑은 고딕"/>
                <w:b/>
                <w:bCs/>
                <w:color w:val="1A1A1A"/>
                <w:sz w:val="18"/>
                <w:szCs w:val="18"/>
              </w:rPr>
              <w:t>−Z (뒤집기)</w:t>
            </w:r>
          </w:p>
        </w:tc>
        <w:tc>
          <w:tcPr>
            <w:tcW w:w="21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0.82%</w:t>
            </w:r>
          </w:p>
        </w:tc>
        <w:tc>
          <w:tcPr>
            <w:tcW w:w="21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0.0222</w:t>
            </w:r>
          </w:p>
        </w:tc>
        <w:tc>
          <w:tcPr>
            <w:tcW w:w="18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100.0</w:t>
            </w:r>
          </w:p>
        </w:tc>
        <w:tc>
          <w:tcPr>
            <w:tcW w:w="16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A</w:t>
            </w:r>
          </w:p>
        </w:tc>
      </w:tr>
      <w:tr>
        <w:tc>
          <w:tcPr>
            <w:tcW w:w="2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+X / −X</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0.82%</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0.0277</w:t>
            </w:r>
          </w:p>
        </w:tc>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100.0</w:t>
            </w:r>
          </w:p>
        </w:tc>
        <w:tc>
          <w:tcPr>
            <w:tcW w:w="1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A</w:t>
            </w:r>
          </w:p>
        </w:tc>
      </w:tr>
      <w:tr>
        <w:tc>
          <w:tcPr>
            <w:tcW w:w="2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+Y</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20.55%</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0.0631</w:t>
            </w:r>
          </w:p>
        </w:tc>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95.6</w:t>
            </w:r>
          </w:p>
        </w:tc>
        <w:tc>
          <w:tcPr>
            <w:tcW w:w="1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A</w:t>
            </w:r>
          </w:p>
        </w:tc>
      </w:tr>
      <w:tr>
        <w:tc>
          <w:tcPr>
            <w:tcW w:w="2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−Y</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19.62%</w:t>
            </w:r>
          </w:p>
        </w:tc>
        <w:tc>
          <w:tcPr>
            <w:tcW w:w="21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0.6160</w:t>
            </w:r>
          </w:p>
        </w:tc>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85.3</w:t>
            </w:r>
          </w:p>
        </w:tc>
        <w:tc>
          <w:tcPr>
            <w:tcW w:w="16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B</w:t>
            </w:r>
          </w:p>
        </w:tc>
      </w:tr>
    </w:tbl>
    <w:p>
      <w:pPr>
        <w:spacing w:after="110"/>
      </w:pPr>
    </w:p>
    <w:p>
      <w:pPr>
        <w:spacing w:after="120" w:line="290"/>
      </w:pPr>
      <w:r>
        <w:rPr>
          <w:rFonts w:ascii="맑은 고딕" w:eastAsia="맑은 고딕" w:hAnsi="맑은 고딕" w:cs="맑은 고딕"/>
          <w:color w:val="1A1A1A"/>
          <w:sz w:val="20"/>
          <w:szCs w:val="20"/>
        </w:rPr>
        <w:t>최적 방향은 −Z이며 지지구조물 부피비가 0.5887에서 0.0222로 약 26배 감소한다. 초기 구현은 X, Y, Z 세 방향만 비교해 축 정렬 방향의 절반만 탐색했으므로 이 개선을 찾을 수 없었다. 이 선택에는 가중치가 필요하지 않다. −Z가 다른 방향을 모든 규칙에서 지배하므로 어떤 양수 가중치를 써도 순위가 바뀌지 않는다. 가중치를 ±50% 교란한 300회 시행에서 최적 방향 유지율은 100%였다.</w:t>
      </w:r>
    </w:p>
    <w:p>
      <w:pPr>
        <w:pStyle w:val="Heading2"/>
        <w:keepNext/>
        <w:spacing w:after="95" w:before="200"/>
      </w:pPr>
      <w:r>
        <w:rPr>
          <w:rFonts w:ascii="맑은 고딕" w:eastAsia="맑은 고딕" w:hAnsi="맑은 고딕" w:cs="맑은 고딕"/>
          <w:b/>
          <w:bCs/>
          <w:color w:val="2E5496"/>
          <w:sz w:val="21"/>
          <w:szCs w:val="21"/>
        </w:rPr>
        <w:t>7.3 외부 검증 — 상용 슬라이서 대조</w:t>
      </w:r>
    </w:p>
    <w:p>
      <w:pPr>
        <w:spacing w:after="120" w:line="290"/>
      </w:pPr>
      <w:r>
        <w:rPr>
          <w:rFonts w:ascii="맑은 고딕" w:eastAsia="맑은 고딕" w:hAnsi="맑은 고딕" w:cs="맑은 고딕"/>
          <w:color w:val="1A1A1A"/>
          <w:sz w:val="20"/>
          <w:szCs w:val="20"/>
        </w:rPr>
        <w:t>내부 검증은 모두 자기 일관성 검사다. 의도한 대로 계산하는지는 확인했으나 그 의도가 현실과 맞는지는 확인되지 않는다. 이를 좁히기 위해 상용 슬라이서 Cura가 실제로 생성하는 지지구조물 재료량과 대조했다. 대상은 샘플 3종과 NIST 시험 아티팩트를 각각 6방향으로, 총 24건이다.</w:t>
      </w:r>
    </w:p>
    <w:p>
      <w:pPr>
        <w:spacing w:after="120" w:line="290"/>
      </w:pPr>
      <w:r>
        <w:rPr>
          <w:rFonts w:ascii="맑은 고딕" w:eastAsia="맑은 고딕" w:hAnsi="맑은 고딕" w:cs="맑은 고딕"/>
          <w:color w:val="1A1A1A"/>
          <w:sz w:val="20"/>
          <w:szCs w:val="20"/>
        </w:rPr>
        <w:t>샘플 3종 18건만으로 대조했을 때는 R² 0.993이 나왔으나, NIST를 추가해 24건으로 늘리자 R²가 0.715로 떨어졌다. 이상치는 NIST를 옆으로 세운 방향 4건으로, 작은 지지구조가 수십 개 생기는 조건이었다. 지지구조물 부피를 세 항으로 분해해 실측에 회귀했다.</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3600"/>
        <w:gridCol w:w="2000"/>
        <w:gridCol w:w="2000"/>
        <w:gridCol w:w="2000"/>
      </w:tblGrid>
      <w:tr>
        <w:trPr>
          <w:tblHeader/>
        </w:trPr>
        <w:tc>
          <w:tcPr>
            <w:tcW w:w="36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모델</w:t>
            </w:r>
          </w:p>
        </w:tc>
        <w:tc>
          <w:tcPr>
            <w:tcW w:w="20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R²</w:t>
            </w:r>
          </w:p>
        </w:tc>
        <w:tc>
          <w:tcPr>
            <w:tcW w:w="20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adj R²</w:t>
            </w:r>
          </w:p>
        </w:tc>
        <w:tc>
          <w:tcPr>
            <w:tcW w:w="20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계수</w:t>
            </w:r>
          </w:p>
        </w:tc>
      </w:tr>
      <w:tr>
        <w:tc>
          <w:tcPr>
            <w:tcW w:w="36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① 부피항만 (초기)</w:t>
            </w:r>
          </w:p>
        </w:tc>
        <w:tc>
          <w:tcPr>
            <w:tcW w:w="2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0.715</w:t>
            </w:r>
          </w:p>
        </w:tc>
        <w:tc>
          <w:tcPr>
            <w:tcW w:w="2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0.702</w:t>
            </w:r>
          </w:p>
        </w:tc>
        <w:tc>
          <w:tcPr>
            <w:tcW w:w="2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a=+0.210</w:t>
            </w:r>
          </w:p>
        </w:tc>
      </w:tr>
      <w:tr>
        <w:tc>
          <w:tcPr>
            <w:tcW w:w="3600" w:type="dxa"/>
            <w:shd w:val="clear" w:color="auto" w:fill="E8F2E9"/>
            <w:tcMar>
              <w:top w:w="60" w:type="dxa"/>
              <w:left w:w="100" w:type="dxa"/>
              <w:bottom w:w="60" w:type="dxa"/>
              <w:right w:w="100" w:type="dxa"/>
            </w:tcMar>
            <w:vAlign w:val="center"/>
          </w:tcPr>
          <w:p>
            <w:pPr>
              <w:jc w:val="left"/>
              <w:spacing w:after="0" w:line="265"/>
            </w:pPr>
            <w:r>
              <w:rPr>
                <w:rFonts w:ascii="맑은 고딕" w:eastAsia="맑은 고딕" w:hAnsi="맑은 고딕" w:cs="맑은 고딕"/>
                <w:b/>
                <w:bCs/>
                <w:color w:val="1A1A1A"/>
                <w:sz w:val="18"/>
                <w:szCs w:val="18"/>
              </w:rPr>
              <w:t>② 부피 + 둘레</w:t>
            </w:r>
          </w:p>
        </w:tc>
        <w:tc>
          <w:tcPr>
            <w:tcW w:w="20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0.978</w:t>
            </w:r>
          </w:p>
        </w:tc>
        <w:tc>
          <w:tcPr>
            <w:tcW w:w="2000" w:type="dxa"/>
            <w:shd w:val="clear" w:color="auto" w:fill="E8F2E9"/>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A1A1A"/>
                <w:sz w:val="18"/>
                <w:szCs w:val="18"/>
              </w:rPr>
              <w:t>0.976</w:t>
            </w:r>
          </w:p>
        </w:tc>
        <w:tc>
          <w:tcPr>
            <w:tcW w:w="2000" w:type="dxa"/>
            <w:shd w:val="clear" w:color="auto" w:fill="E8F2E9"/>
            <w:tcMar>
              <w:top w:w="60" w:type="dxa"/>
              <w:left w:w="100" w:type="dxa"/>
              <w:bottom w:w="60" w:type="dxa"/>
              <w:right w:w="100" w:type="dxa"/>
            </w:tcMar>
            <w:vAlign w:val="center"/>
          </w:tcPr>
          <w:p>
            <w:pPr>
              <w:jc w:val="left"/>
              <w:spacing w:after="0" w:line="265"/>
            </w:pPr>
            <w:r>
              <w:rPr>
                <w:rFonts w:ascii="맑은 고딕" w:eastAsia="맑은 고딕" w:hAnsi="맑은 고딕" w:cs="맑은 고딕"/>
                <w:b/>
                <w:bCs/>
                <w:color w:val="1A1A1A"/>
                <w:sz w:val="18"/>
                <w:szCs w:val="18"/>
              </w:rPr>
              <w:t>a=+0.165  b=+0.272</w:t>
            </w:r>
          </w:p>
        </w:tc>
      </w:tr>
      <w:tr>
        <w:tc>
          <w:tcPr>
            <w:tcW w:w="36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③ 부피 + 면적</w:t>
            </w:r>
          </w:p>
        </w:tc>
        <w:tc>
          <w:tcPr>
            <w:tcW w:w="2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0.716</w:t>
            </w:r>
          </w:p>
        </w:tc>
        <w:tc>
          <w:tcPr>
            <w:tcW w:w="2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0.689</w:t>
            </w:r>
          </w:p>
        </w:tc>
        <w:tc>
          <w:tcPr>
            <w:tcW w:w="2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a=+0.203  c=+0.222</w:t>
            </w:r>
          </w:p>
        </w:tc>
      </w:tr>
      <w:tr>
        <w:tc>
          <w:tcPr>
            <w:tcW w:w="36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④ 부피 + 둘레 + 면적</w:t>
            </w:r>
          </w:p>
        </w:tc>
        <w:tc>
          <w:tcPr>
            <w:tcW w:w="2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0.978</w:t>
            </w:r>
          </w:p>
        </w:tc>
        <w:tc>
          <w:tcPr>
            <w:tcW w:w="20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0.975</w:t>
            </w:r>
          </w:p>
        </w:tc>
        <w:tc>
          <w:tcPr>
            <w:tcW w:w="20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c=−0.004</w:t>
            </w:r>
          </w:p>
        </w:tc>
      </w:tr>
    </w:tbl>
    <w:p>
      <w:pPr>
        <w:spacing w:after="110"/>
      </w:pPr>
    </w:p>
    <w:p>
      <w:pPr>
        <w:spacing w:after="120" w:line="290"/>
      </w:pPr>
      <w:r>
        <w:rPr>
          <w:rFonts w:ascii="맑은 고딕" w:eastAsia="맑은 고딕" w:hAnsi="맑은 고딕" w:cs="맑은 고딕"/>
          <w:color w:val="1A1A1A"/>
          <w:sz w:val="20"/>
          <w:szCs w:val="20"/>
        </w:rPr>
        <w:t>둘레 항을 더하자 R²가 0.715에서 0.978로 올랐다. 면적 항은 단독으로 기여가 없고, 세 항을 모두 넣으면 면적 계수가 음수로 나온다. 재료 부피는 음수가 될 수 없으므로 과적합 신호로 보아 채택하지 않았다. 부피 계수 0.165는 대조 당시 Cura 서포트 밀도 설정 15%에 근접하며, 둘레 계수 0.272mm는 기둥 바깥 벽의 실효 두께에 해당한다. 즉 기존 밀도 상수 자체는 타당했고, 누락된 것은 기둥의 벽이었다.</w:t>
      </w:r>
    </w:p>
    <w:p>
      <w:pPr>
        <w:spacing w:after="120" w:line="290"/>
      </w:pPr>
      <w:r>
        <w:rPr>
          <w:rFonts w:ascii="맑은 고딕" w:eastAsia="맑은 고딕" w:hAnsi="맑은 고딕" w:cs="맑은 고딕"/>
          <w:color w:val="1A1A1A"/>
          <w:sz w:val="20"/>
          <w:szCs w:val="20"/>
        </w:rPr>
        <w:t>다만 계수 두 개를 이 24건으로 회귀했으므로 R² 0.978은 적합도이지 예측 성능이 아니다. 예측 성능은 교차검증(Leave-One-Out 및 부품 단위 분리)으로 확인해야 한다. 또한 검증된 것은 지지구조물 부피 추정식 하나뿐이며, 벽두께·종횡비·최소 특징 크기·종합 점수와 등급은 외부 검증되지 않았다. 현재 주장할 수 있는 것은 지지구조물 부피 추정에 한해 상용 슬라이서와 정량적으로 일치한다는 것까지다.</w:t>
      </w:r>
    </w:p>
    <w:p>
      <w:pPr>
        <w:pStyle w:val="Heading2"/>
        <w:keepNext/>
        <w:spacing w:after="95" w:before="200"/>
      </w:pPr>
      <w:r>
        <w:rPr>
          <w:rFonts w:ascii="맑은 고딕" w:eastAsia="맑은 고딕" w:hAnsi="맑은 고딕" w:cs="맑은 고딕"/>
          <w:b/>
          <w:bCs/>
          <w:color w:val="2E5496"/>
          <w:sz w:val="21"/>
          <w:szCs w:val="21"/>
        </w:rPr>
        <w:t>7.4 가중치 민감도</w:t>
      </w:r>
    </w:p>
    <w:p>
      <w:pPr>
        <w:spacing w:after="120" w:line="290"/>
      </w:pPr>
      <w:r>
        <w:rPr>
          <w:rFonts w:ascii="맑은 고딕" w:eastAsia="맑은 고딕" w:hAnsi="맑은 고딕" w:cs="맑은 고딕"/>
          <w:color w:val="1A1A1A"/>
          <w:sz w:val="20"/>
          <w:szCs w:val="20"/>
        </w:rPr>
        <w:t>가중치를 ±50% 무작위 교란해 200회 재평가했다. 등급 경계에서 10점 이상 떨어진 부품은 변동률 0%인 반면, 1점 이내인 부품은 30~45%가 바뀐다. 가중치는 경계에서 먼 부품에는 영향이 작으나 경계 근처 부품에는 결정적이며, 실무에서 판단이 필요한 것은 바로 경계 근처 부품이다. 따라서 가중치는 본 프로젝트에서 근거가 가장 약한 요소다. 다만 이 한계는 등급 산출에만 해당하며, 빌드 방향 선택에서는 지배 관계가 성립하면 가중치와 무관하게 순위가 동일하다.</w:t>
      </w:r>
    </w:p>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8. 한계</w:t>
      </w:r>
    </w:p>
    <w:p>
      <w:pPr>
        <w:pStyle w:val="Heading2"/>
        <w:keepNext/>
        <w:spacing w:after="95" w:before="200"/>
      </w:pPr>
      <w:r>
        <w:rPr>
          <w:rFonts w:ascii="맑은 고딕" w:eastAsia="맑은 고딕" w:hAnsi="맑은 고딕" w:cs="맑은 고딕"/>
          <w:b/>
          <w:bCs/>
          <w:color w:val="2E5496"/>
          <w:sz w:val="21"/>
          <w:szCs w:val="21"/>
        </w:rPr>
        <w:t>8.1 검증의 한계</w:t>
      </w:r>
    </w:p>
    <w:p>
      <w:pPr>
        <w:spacing w:after="120" w:line="290"/>
      </w:pPr>
      <w:r>
        <w:rPr>
          <w:rFonts w:ascii="맑은 고딕" w:eastAsia="맑은 고딕" w:hAnsi="맑은 고딕" w:cs="맑은 고딕"/>
          <w:color w:val="1A1A1A"/>
          <w:sz w:val="20"/>
          <w:szCs w:val="20"/>
        </w:rPr>
        <w:t>세 차례에 걸쳐 검증을 통과한 상태에서 결함이 남아 있었다. 이에 대응해 뮤테이션 테스팅을 도입했으나, 심을 결함의 목록 자체가 개발자의 상상이므로 목록에 없는 유형은 여전히 미지수다. 실제로 코드 전수 재검토에서 찾은 결함들은 그 목록에 없던 유형이었다.</w:t>
      </w:r>
    </w:p>
    <w:p>
      <w:pPr>
        <w:pStyle w:val="Heading2"/>
        <w:keepNext/>
        <w:spacing w:after="95" w:before="200"/>
      </w:pPr>
      <w:r>
        <w:rPr>
          <w:rFonts w:ascii="맑은 고딕" w:eastAsia="맑은 고딕" w:hAnsi="맑은 고딕" w:cs="맑은 고딕"/>
          <w:b/>
          <w:bCs/>
          <w:color w:val="2E5496"/>
          <w:sz w:val="21"/>
          <w:szCs w:val="21"/>
        </w:rPr>
        <w:t>8.2 근거의 한계</w:t>
      </w:r>
    </w:p>
    <w:p>
      <w:pPr>
        <w:spacing w:after="120" w:line="290"/>
      </w:pPr>
      <w:r>
        <w:rPr>
          <w:rFonts w:ascii="맑은 고딕" w:eastAsia="맑은 고딕" w:hAnsi="맑은 고딕" w:cs="맑은 고딕"/>
          <w:color w:val="1A1A1A"/>
          <w:sz w:val="20"/>
          <w:szCs w:val="20"/>
        </w:rPr>
        <w:t>현재 14개 임계값 중 판단 등급, 즉 근거가 없는 값이 4개이며 가중치도 개발자 판단으로 배치했다. 브리지 한계는 문헌 실측으로 옮겼으나 이는 특정 장비·재료 조건의 값이므로, 다른 조건에는 그대로 적용할 수 없다. 민감도 분석에서 등급 경계에 가까운 부품은 가중치 ±50% 교란 시 변동률이 30~45%였다. AHP 쌍대비교 도구를 구현했으나 아직 응답을 수집하지 않았다. 다만 가중치 불확실성은 등급 산출에만 영향을 주고 방향 최적화에는 영향을 주지 않는다.</w:t>
      </w:r>
    </w:p>
    <w:p>
      <w:pPr>
        <w:pStyle w:val="Heading2"/>
        <w:keepNext/>
        <w:spacing w:after="95" w:before="200"/>
      </w:pPr>
      <w:r>
        <w:rPr>
          <w:rFonts w:ascii="맑은 고딕" w:eastAsia="맑은 고딕" w:hAnsi="맑은 고딕" w:cs="맑은 고딕"/>
          <w:b/>
          <w:bCs/>
          <w:color w:val="2E5496"/>
          <w:sz w:val="21"/>
          <w:szCs w:val="21"/>
        </w:rPr>
        <w:t>8.3 STL 포맷의 한계</w:t>
      </w:r>
    </w:p>
    <w:p>
      <w:pPr>
        <w:spacing w:after="120" w:line="290"/>
      </w:pPr>
      <w:r>
        <w:rPr>
          <w:rFonts w:ascii="맑은 고딕" w:eastAsia="맑은 고딕" w:hAnsi="맑은 고딕" w:cs="맑은 고딕"/>
          <w:color w:val="1A1A1A"/>
          <w:sz w:val="20"/>
          <w:szCs w:val="20"/>
        </w:rPr>
        <w:t>현재 가장 큰 제약은 입력 포맷이다. 삼각형 메시에는 곡면·특징·공차 정보가 없어 세 규칙이 제 기능을 못 한다.</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2900"/>
        <w:gridCol w:w="2400"/>
        <w:gridCol w:w="4300"/>
      </w:tblGrid>
      <w:tr>
        <w:trPr>
          <w:tblHeader/>
        </w:trPr>
        <w:tc>
          <w:tcPr>
            <w:tcW w:w="29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규칙</w:t>
            </w:r>
          </w:p>
        </w:tc>
        <w:tc>
          <w:tcPr>
            <w:tcW w:w="2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현재 상태</w:t>
            </w:r>
          </w:p>
        </w:tc>
        <w:tc>
          <w:tcPr>
            <w:tcW w:w="43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원인</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수평 구멍 직경</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N/A (측정 불가)</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삼각형 더미에는 구멍이라는 개념이 없음</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최소 특징 크기</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N/A (기본 비활성)</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복셀 근사에 의존, 계산 비용이 큼</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갑작스런 두께 변화</w:t>
            </w:r>
          </w:p>
        </w:tc>
        <w:tc>
          <w:tcPr>
            <w:tcW w:w="2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N/A (기본 비활성)</w:t>
            </w:r>
          </w:p>
        </w:tc>
        <w:tc>
          <w:tcPr>
            <w:tcW w:w="4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레이 방향에 따라 두께가 달라져 오탐</w:t>
            </w:r>
          </w:p>
        </w:tc>
      </w:tr>
    </w:tbl>
    <w:p>
      <w:pPr>
        <w:spacing w:after="110"/>
      </w:pPr>
    </w:p>
    <w:p>
      <w:pPr>
        <w:spacing w:after="120" w:line="290"/>
      </w:pPr>
      <w:r>
        <w:rPr>
          <w:rFonts w:ascii="맑은 고딕" w:eastAsia="맑은 고딕" w:hAnsi="맑은 고딕" w:cs="맑은 고딕"/>
          <w:color w:val="1A1A1A"/>
          <w:sz w:val="20"/>
          <w:szCs w:val="20"/>
        </w:rPr>
        <w:t>마지막 항목은 특히 분명하다. 40×30×20 직육면체는 두께가 급변하지 않지만, 세 방향의 관통 거리가 20/30/40mm이므로 비 2.0이 보고된다. 형상의 문제가 아니라 측정 방식의 한계이며, 정상 부품의 점수를 깎는 오탐이므로 기본 비활성으로 두었다. 표준 7.9와 7.10도 같은 문제를 지적한다. 단위 문제는 업로드 시 단위 선택으로 대응했으나, 형상 정보 손실은 포맷을 바꾸지 않는 한 해결되지 않는다.</w:t>
      </w:r>
    </w:p>
    <w:p>
      <w:pPr>
        <w:pStyle w:val="Heading2"/>
        <w:keepNext/>
        <w:spacing w:after="95" w:before="200"/>
      </w:pPr>
      <w:r>
        <w:rPr>
          <w:rFonts w:ascii="맑은 고딕" w:eastAsia="맑은 고딕" w:hAnsi="맑은 고딕" w:cs="맑은 고딕"/>
          <w:b/>
          <w:bCs/>
          <w:color w:val="2E5496"/>
          <w:sz w:val="21"/>
          <w:szCs w:val="21"/>
        </w:rPr>
        <w:t>8.4 그 밖의 한계</w:t>
      </w:r>
    </w:p>
    <w:p>
      <w:pPr>
        <w:pStyle w:val="ListParagraph"/>
        <w:numPr>
          <w:ilvl w:val="0"/>
          <w:numId w:val="1"/>
        </w:numPr>
        <w:spacing w:after="70" w:line="285"/>
      </w:pPr>
      <w:r>
        <w:rPr>
          <w:rFonts w:ascii="맑은 고딕" w:eastAsia="맑은 고딕" w:hAnsi="맑은 고딕" w:cs="맑은 고딕"/>
          <w:color w:val="1A1A1A"/>
          <w:sz w:val="20"/>
          <w:szCs w:val="20"/>
        </w:rPr>
        <w:t>성능. 면 2만 개 규모에서 단일 평가에 약 11초가 소요된다. 레이캐스팅이 병목이며 대화형 사용에는 개선이 필요하다.</w:t>
      </w:r>
    </w:p>
    <w:p>
      <w:pPr>
        <w:pStyle w:val="ListParagraph"/>
        <w:numPr>
          <w:ilvl w:val="0"/>
          <w:numId w:val="1"/>
        </w:numPr>
        <w:spacing w:after="70" w:line="285"/>
      </w:pPr>
      <w:r>
        <w:rPr>
          <w:rFonts w:ascii="맑은 고딕" w:eastAsia="맑은 고딕" w:hAnsi="맑은 고딕" w:cs="맑은 고딕"/>
          <w:color w:val="1A1A1A"/>
          <w:sz w:val="20"/>
          <w:szCs w:val="20"/>
        </w:rPr>
        <w:t>근사 판정. 브리지의 양단 고정 여부는 경계 바깥 재료 유무로, 자기교차는 분리 바디의 바운딩박스 겹침으로 근사한다. 겹치지 않으면 안전하다는 것은 보장되나 정밀 판정은 아니다.</w:t>
      </w:r>
    </w:p>
    <w:p>
      <w:pPr>
        <w:pStyle w:val="ListParagraph"/>
        <w:numPr>
          <w:ilvl w:val="0"/>
          <w:numId w:val="1"/>
        </w:numPr>
        <w:spacing w:after="70" w:line="285"/>
      </w:pPr>
      <w:r>
        <w:rPr>
          <w:rFonts w:ascii="맑은 고딕" w:eastAsia="맑은 고딕" w:hAnsi="맑은 고딕" w:cs="맑은 고딕"/>
          <w:color w:val="1A1A1A"/>
          <w:sz w:val="20"/>
          <w:szCs w:val="20"/>
        </w:rPr>
        <w:t>물리 현상 미반영. 금속 공정의 잔류응력과 열변형, 액조 광경화의 흡착력 등 기하만으로 판정할 수 없는 요소가 반영되어 있지 않다.</w:t>
      </w:r>
    </w:p>
    <w:p>
      <w:pPr>
        <w:pStyle w:val="ListParagraph"/>
        <w:numPr>
          <w:ilvl w:val="0"/>
          <w:numId w:val="1"/>
        </w:numPr>
        <w:spacing w:after="70" w:line="285"/>
      </w:pPr>
      <w:r>
        <w:rPr>
          <w:rFonts w:ascii="맑은 고딕" w:eastAsia="맑은 고딕" w:hAnsi="맑은 고딕" w:cs="맑은 고딕"/>
          <w:color w:val="1A1A1A"/>
          <w:sz w:val="20"/>
          <w:szCs w:val="20"/>
        </w:rPr>
        <w:t>공정 간 비교. SLS는 5개 규칙만 평가되므로 다른 공정과 절대 점수를 직접 비교할 수 없다. 유효 범위는 같은 공정 내 방향·설계 대안 비교다.</w:t>
      </w:r>
    </w:p>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9. 개선 방향</w:t>
      </w:r>
    </w:p>
    <w:p>
      <w:pPr>
        <w:pStyle w:val="Heading2"/>
        <w:keepNext/>
        <w:spacing w:after="95" w:before="200"/>
      </w:pPr>
      <w:r>
        <w:rPr>
          <w:rFonts w:ascii="맑은 고딕" w:eastAsia="맑은 고딕" w:hAnsi="맑은 고딕" w:cs="맑은 고딕"/>
          <w:b/>
          <w:bCs/>
          <w:color w:val="2E5496"/>
          <w:sz w:val="21"/>
          <w:szCs w:val="21"/>
        </w:rPr>
        <w:t>9.1 STEP 입력 지원 — 최우선 과제</w:t>
      </w:r>
    </w:p>
    <w:p>
      <w:pPr>
        <w:spacing w:after="120" w:line="290"/>
      </w:pPr>
      <w:r>
        <w:rPr>
          <w:rFonts w:ascii="맑은 고딕" w:eastAsia="맑은 고딕" w:hAnsi="맑은 고딕" w:cs="맑은 고딕"/>
          <w:color w:val="1A1A1A"/>
          <w:sz w:val="20"/>
          <w:szCs w:val="20"/>
        </w:rPr>
        <w:t>8.3의 한계는 모두 입력이 삼각형 메시라는 한 가지 원인에서 온다. STEP은 경계 표현(B-rep) 형식으로 형상 요소를 이름 붙여 저장한다. 원통면이 반지름과 축을 가진 객체로 존재하므로 구멍 탐지가 역추론이 아니라 조회가 된다.</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2900"/>
        <w:gridCol w:w="3300"/>
        <w:gridCol w:w="3400"/>
      </w:tblGrid>
      <w:tr>
        <w:trPr>
          <w:tblHeader/>
        </w:trPr>
        <w:tc>
          <w:tcPr>
            <w:tcW w:w="29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항목</w:t>
            </w:r>
          </w:p>
        </w:tc>
        <w:tc>
          <w:tcPr>
            <w:tcW w:w="33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STL (현재)</w:t>
            </w:r>
          </w:p>
        </w:tc>
        <w:tc>
          <w:tcPr>
            <w:tcW w:w="3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STEP 도입 후</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수평 구멍 직경</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측정 불가</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원통면 객체 조회로 즉시 확보</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최소 특징 크기</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복셀 근사, 해상도 의존</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필렛 반지름·면 넓이 직접 계산</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갑작스런 두께 변화</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레이 방향 의존, 오탐</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정확한 국소 두께장 산출 가능</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테셀레이션 왜곡</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존재 (표준 7.9)</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해상도 개념 자체가 없음</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단위 정보</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없음 (표준 7.10)</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포맷에 포함</w:t>
            </w:r>
          </w:p>
        </w:tc>
      </w:tr>
      <w:tr>
        <w:tc>
          <w:tcPr>
            <w:tcW w:w="29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공차 정보</w:t>
            </w:r>
          </w:p>
        </w:tc>
        <w:tc>
          <w:tcPr>
            <w:tcW w:w="33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없음</w:t>
            </w:r>
          </w:p>
        </w:tc>
        <w:tc>
          <w:tcPr>
            <w:tcW w:w="3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PMI로 표현 가능</w:t>
            </w:r>
          </w:p>
        </w:tc>
      </w:tr>
    </w:tbl>
    <w:p>
      <w:pPr>
        <w:spacing w:after="110"/>
      </w:pPr>
    </w:p>
    <w:p>
      <w:pPr>
        <w:spacing w:after="120" w:line="290"/>
      </w:pPr>
      <w:r>
        <w:rPr>
          <w:rFonts w:ascii="맑은 고딕" w:eastAsia="맑은 고딕" w:hAnsi="맑은 고딕" w:cs="맑은 고딕"/>
          <w:color w:val="1A1A1A"/>
          <w:sz w:val="20"/>
          <w:szCs w:val="20"/>
        </w:rPr>
        <w:t>그러나 STEP 도입의 더 큰 이유는 이 세 규칙이 아니다. 2차 단계의 절삭가공 모듈이 B-rep을 전제로 하기 때문이다. 공구 접근성 판정은 면과 면의 인접 관계를 요구하고, 설정 방향 결정은 특징 단위 인식을 요구하며, 공차 검토는 PMI 없이는 불가능하다. 즉 STEP은 현재 규칙을 보완하는 수단이자 다음 단계 전체의 전제조건이다.</w:t>
      </w:r>
    </w:p>
    <w:p>
      <w:pPr>
        <w:spacing w:after="120" w:line="290"/>
      </w:pPr>
      <w:r>
        <w:rPr>
          <w:rFonts w:ascii="맑은 고딕" w:eastAsia="맑은 고딕" w:hAnsi="맑은 고딕" w:cs="맑은 고딕"/>
          <w:color w:val="1A1A1A"/>
          <w:sz w:val="20"/>
          <w:szCs w:val="20"/>
        </w:rPr>
        <w:t>대신 치러야 할 비용도 분명하다. pythonOCC는 의존성이 무겁고 STEP 파싱 자체가 느리며, 실무 워크플로는 여전히 STL 중심이라 두 형식을 모두 지원해야 한다. 중간 단계로 3MF 지원을 먼저 검토한다. 메시 기반이라 가볍지만 단위 정보를 담으므로 표준 7.10 대응이 완결되고, 구현 비용이 작아 STEP 도입 전에 확보할 수 있다.</w:t>
      </w:r>
    </w:p>
    <w:p>
      <w:pPr>
        <w:pStyle w:val="Heading2"/>
        <w:keepNext/>
        <w:spacing w:after="95" w:before="200"/>
      </w:pPr>
      <w:r>
        <w:rPr>
          <w:rFonts w:ascii="맑은 고딕" w:eastAsia="맑은 고딕" w:hAnsi="맑은 고딕" w:cs="맑은 고딕"/>
          <w:b/>
          <w:bCs/>
          <w:color w:val="2E5496"/>
          <w:sz w:val="21"/>
          <w:szCs w:val="21"/>
        </w:rPr>
        <w:t>9.2 근거 확보</w:t>
      </w:r>
    </w:p>
    <w:p>
      <w:pPr>
        <w:spacing w:after="120" w:line="290"/>
      </w:pPr>
      <w:r>
        <w:rPr>
          <w:rFonts w:ascii="맑은 고딕" w:eastAsia="맑은 고딕" w:hAnsi="맑은 고딕" w:cs="맑은 고딕"/>
          <w:color w:val="1A1A1A"/>
          <w:sz w:val="20"/>
          <w:szCs w:val="20"/>
        </w:rPr>
        <w:t>판단 등급 임계값을 실측이나 구조화된 전문가 판단으로 옮기는 것이 두 번째 과제다. 세 경로를 병행한다.</w:t>
      </w:r>
    </w:p>
    <w:p>
      <w:pPr>
        <w:pStyle w:val="ListParagraph"/>
        <w:numPr>
          <w:ilvl w:val="0"/>
          <w:numId w:val="1"/>
        </w:numPr>
        <w:spacing w:after="70" w:line="285"/>
      </w:pPr>
      <w:r>
        <w:rPr>
          <w:rFonts w:ascii="맑은 고딕" w:eastAsia="맑은 고딕" w:hAnsi="맑은 고딕" w:cs="맑은 고딕"/>
          <w:color w:val="1A1A1A"/>
          <w:sz w:val="20"/>
          <w:szCs w:val="20"/>
        </w:rPr>
        <w:t>AHP 쌍대비교. 도구는 구현되어 있다. 5개 항목을 10회 비교하면 가중치를 산출하고 일관성 비율로 응답의 논리적 정합성까지 검증할 수 있다. 여러 명의 응답을 기하평균으로 종합하는 것이 표준 절차다.</w:t>
      </w:r>
    </w:p>
    <w:p>
      <w:pPr>
        <w:pStyle w:val="ListParagraph"/>
        <w:numPr>
          <w:ilvl w:val="0"/>
          <w:numId w:val="1"/>
        </w:numPr>
        <w:spacing w:after="70" w:line="285"/>
      </w:pPr>
      <w:r>
        <w:rPr>
          <w:rFonts w:ascii="맑은 고딕" w:eastAsia="맑은 고딕" w:hAnsi="맑은 고딕" w:cs="맑은 고딕"/>
          <w:color w:val="1A1A1A"/>
          <w:sz w:val="20"/>
          <w:szCs w:val="20"/>
        </w:rPr>
        <w:t>시험 제작물 실측. KS D ISO/ASTM 52902는 적층제조 시험 제작물로 기하학적 성능을 평가하는 표준이다. 변수를 하나씩만 바꾼 시편을 배열해 출력하면 임계 오버행각, 브리지 한계, 최소 벽두께, 최소 특징 크기를 자체 장비 조건에서 확정할 수 있다. Jiang 등(2018)도 이 값들이 프린터와 공정 변수에 따라 달라지므로 시험으로 결정해야 한다고 지적한다.</w:t>
      </w:r>
    </w:p>
    <w:p>
      <w:pPr>
        <w:pStyle w:val="ListParagraph"/>
        <w:numPr>
          <w:ilvl w:val="0"/>
          <w:numId w:val="1"/>
        </w:numPr>
        <w:spacing w:after="70" w:line="285"/>
      </w:pPr>
      <w:r>
        <w:rPr>
          <w:rFonts w:ascii="맑은 고딕" w:eastAsia="맑은 고딕" w:hAnsi="맑은 고딕" w:cs="맑은 고딕"/>
          <w:color w:val="1A1A1A"/>
          <w:sz w:val="20"/>
          <w:szCs w:val="20"/>
        </w:rPr>
        <w:t>슬라이서 대조 확대. 지지구조물 계수는 이 방법으로 이미 확보했다. 부품 다양성을 늘리고 교차검증을 병행하면 예측 성능을 확인할 수 있다.</w:t>
      </w:r>
    </w:p>
    <w:p>
      <w:pPr>
        <w:pStyle w:val="Heading2"/>
        <w:keepNext/>
        <w:spacing w:after="95" w:before="200"/>
      </w:pPr>
      <w:r>
        <w:rPr>
          <w:rFonts w:ascii="맑은 고딕" w:eastAsia="맑은 고딕" w:hAnsi="맑은 고딕" w:cs="맑은 고딕"/>
          <w:b/>
          <w:bCs/>
          <w:color w:val="2E5496"/>
          <w:sz w:val="21"/>
          <w:szCs w:val="21"/>
        </w:rPr>
        <w:t>9.3 다목적 최적화</w:t>
      </w:r>
    </w:p>
    <w:p>
      <w:pPr>
        <w:spacing w:after="120" w:line="290"/>
      </w:pPr>
      <w:r>
        <w:rPr>
          <w:rFonts w:ascii="맑은 고딕" w:eastAsia="맑은 고딕" w:hAnsi="맑은 고딕" w:cs="맑은 고딕"/>
          <w:color w:val="1A1A1A"/>
          <w:sz w:val="20"/>
          <w:szCs w:val="20"/>
        </w:rPr>
        <w:t>계단 효과를 추가하기 전까지는 빌드 방향 선택에서 최적 방향이 항상 나머지를 지배했고, 따라서 가중치가 필요하지 않았다. 계단 효과는 오버행과 반대로 움직이는 축이므로 비로소 상충이 생긴다. 얕은 원뿔에서 파레토 최적 방향이 5개로 나뉘어 지배 관계가 성립하지 않는 것을 확인했다. 근거가 약한 가중치를 결과에 개입시키지 않기 위해, 다목적 최적화로 파레토 프론트를 제시하고 선택은 설계자에게 맡기는 방향을 검토한다.</w:t>
      </w:r>
    </w:p>
    <w:p>
      <w:pPr>
        <w:pStyle w:val="Heading2"/>
        <w:keepNext/>
        <w:spacing w:after="95" w:before="200"/>
      </w:pPr>
      <w:r>
        <w:rPr>
          <w:rFonts w:ascii="맑은 고딕" w:eastAsia="맑은 고딕" w:hAnsi="맑은 고딕" w:cs="맑은 고딕"/>
          <w:b/>
          <w:bCs/>
          <w:color w:val="2E5496"/>
          <w:sz w:val="21"/>
          <w:szCs w:val="21"/>
        </w:rPr>
        <w:t>9.4 일정</w:t>
      </w:r>
    </w:p>
    <w:tbl>
      <w:tblPr>
        <w:tblW w:w="96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Pr>
      <w:tblGrid>
        <w:gridCol w:w="1800"/>
        <w:gridCol w:w="1400"/>
        <w:gridCol w:w="6400"/>
      </w:tblGrid>
      <w:tr>
        <w:trPr>
          <w:tblHeader/>
        </w:trPr>
        <w:tc>
          <w:tcPr>
            <w:tcW w:w="18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단계</w:t>
            </w:r>
          </w:p>
        </w:tc>
        <w:tc>
          <w:tcPr>
            <w:tcW w:w="1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기간</w:t>
            </w:r>
          </w:p>
        </w:tc>
        <w:tc>
          <w:tcPr>
            <w:tcW w:w="6400" w:type="dxa"/>
            <w:shd w:val="clear" w:color="auto" w:fill="E8EDF3"/>
            <w:tcMar>
              <w:top w:w="60" w:type="dxa"/>
              <w:left w:w="100" w:type="dxa"/>
              <w:bottom w:w="60" w:type="dxa"/>
              <w:right w:w="100" w:type="dxa"/>
            </w:tcMar>
            <w:vAlign w:val="center"/>
          </w:tcPr>
          <w:p>
            <w:pPr>
              <w:jc w:val="center"/>
              <w:spacing w:after="0" w:line="265"/>
            </w:pPr>
            <w:r>
              <w:rPr>
                <w:rFonts w:ascii="맑은 고딕" w:eastAsia="맑은 고딕" w:hAnsi="맑은 고딕" w:cs="맑은 고딕"/>
                <w:b/>
                <w:bCs/>
                <w:color w:val="1F3864"/>
                <w:sz w:val="18"/>
                <w:szCs w:val="18"/>
              </w:rPr>
              <w:t>목표</w:t>
            </w:r>
          </w:p>
        </w:tc>
      </w:tr>
      <w:tr>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2차</w:t>
            </w:r>
          </w:p>
        </w:tc>
        <w:tc>
          <w:tcPr>
            <w:tcW w:w="14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4주 후</w:t>
            </w:r>
          </w:p>
        </w:tc>
        <w:tc>
          <w:tcPr>
            <w:tcW w:w="6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3MF 입력, AHP 가중치 수집, 교차검증 확대, 성능 개선</w:t>
            </w:r>
          </w:p>
        </w:tc>
      </w:tr>
      <w:tr>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3차</w:t>
            </w:r>
          </w:p>
        </w:tc>
        <w:tc>
          <w:tcPr>
            <w:tcW w:w="14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8주 후</w:t>
            </w:r>
          </w:p>
        </w:tc>
        <w:tc>
          <w:tcPr>
            <w:tcW w:w="6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STEP 입력 지원(pythonOCC), 구멍·특징 인식 복구</w:t>
            </w:r>
          </w:p>
        </w:tc>
      </w:tr>
      <w:tr>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4차</w:t>
            </w:r>
          </w:p>
        </w:tc>
        <w:tc>
          <w:tcPr>
            <w:tcW w:w="14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12주 후</w:t>
            </w:r>
          </w:p>
        </w:tc>
        <w:tc>
          <w:tcPr>
            <w:tcW w:w="6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절삭가공 모듈 프로토타입 (공구 접근성, 설정 방향, 공차)</w:t>
            </w:r>
          </w:p>
        </w:tc>
      </w:tr>
      <w:tr>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5차</w:t>
            </w:r>
          </w:p>
        </w:tc>
        <w:tc>
          <w:tcPr>
            <w:tcW w:w="14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15주 후</w:t>
            </w:r>
          </w:p>
        </w:tc>
        <w:tc>
          <w:tcPr>
            <w:tcW w:w="6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2공정 통합, 시험 제작물 실측, 다목적 방향 최적화</w:t>
            </w:r>
          </w:p>
        </w:tc>
      </w:tr>
      <w:tr>
        <w:tc>
          <w:tcPr>
            <w:tcW w:w="18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최종</w:t>
            </w:r>
          </w:p>
        </w:tc>
        <w:tc>
          <w:tcPr>
            <w:tcW w:w="1400" w:type="dxa"/>
            <w:tcMar>
              <w:top w:w="60" w:type="dxa"/>
              <w:left w:w="100" w:type="dxa"/>
              <w:bottom w:w="60" w:type="dxa"/>
              <w:right w:w="100" w:type="dxa"/>
            </w:tcMar>
            <w:vAlign w:val="center"/>
          </w:tcPr>
          <w:p>
            <w:pPr>
              <w:jc w:val="center"/>
              <w:spacing w:after="0" w:line="265"/>
            </w:pPr>
            <w:r>
              <w:rPr>
                <w:rFonts w:ascii="맑은 고딕" w:eastAsia="맑은 고딕" w:hAnsi="맑은 고딕" w:cs="맑은 고딕"/>
                <w:b w:val="0"/>
                <w:bCs w:val="0"/>
                <w:color w:val="1A1A1A"/>
                <w:sz w:val="18"/>
                <w:szCs w:val="18"/>
              </w:rPr>
              <w:t>18주 후</w:t>
            </w:r>
          </w:p>
        </w:tc>
        <w:tc>
          <w:tcPr>
            <w:tcW w:w="6400" w:type="dxa"/>
            <w:tcMar>
              <w:top w:w="60" w:type="dxa"/>
              <w:left w:w="100" w:type="dxa"/>
              <w:bottom w:w="60" w:type="dxa"/>
              <w:right w:w="100" w:type="dxa"/>
            </w:tcMar>
            <w:vAlign w:val="center"/>
          </w:tcPr>
          <w:p>
            <w:pPr>
              <w:jc w:val="left"/>
              <w:spacing w:after="0" w:line="265"/>
            </w:pPr>
            <w:r>
              <w:rPr>
                <w:rFonts w:ascii="맑은 고딕" w:eastAsia="맑은 고딕" w:hAnsi="맑은 고딕" w:cs="맑은 고딕"/>
                <w:b w:val="0"/>
                <w:bCs w:val="0"/>
                <w:color w:val="1A1A1A"/>
                <w:sz w:val="18"/>
                <w:szCs w:val="18"/>
              </w:rPr>
              <w:t>최종 패키지, 결과 보고서</w:t>
            </w:r>
          </w:p>
        </w:tc>
      </w:tr>
    </w:tbl>
    <w:p>
      <w:pPr>
        <w:spacing w:after="110"/>
      </w:pPr>
    </w:p>
    <w:p>
      <w:pPr>
        <w:spacing w:after="120" w:line="290"/>
      </w:pPr>
      <w:r>
        <w:rPr>
          <w:rFonts w:ascii="맑은 고딕" w:eastAsia="맑은 고딕" w:hAnsi="맑은 고딕" w:cs="맑은 고딕"/>
          <w:color w:val="1A1A1A"/>
          <w:sz w:val="20"/>
          <w:szCs w:val="20"/>
        </w:rPr>
        <w:t>1차 초안은 4차 단계에 머신러닝 기반 공정 자동 분류를 계획했으나, 3D 형상과 적합 공정을 짝지은 라벨링 데이터셋이 사실상 존재하지 않아 현 시점에서 실현 가능성이 낮다고 판단했다. 대신 데이터가 불필요한 유전 알고리즘 기반 방향 최적화를 우선하되, 목적 함수의 가중치 근거 확보를 선행한다.</w:t>
      </w:r>
    </w:p>
    <w:p>
      <w:pPr>
        <w:pStyle w:val="Heading1"/>
        <w:keepNext/>
        <w:pBdr>
          <w:bottom w:val="single" w:sz="6" w:space="4" w:color="B8C4D0"/>
        </w:pBdr>
        <w:spacing w:after="130" w:before="280"/>
      </w:pPr>
      <w:r>
        <w:rPr>
          <w:rFonts w:ascii="맑은 고딕" w:eastAsia="맑은 고딕" w:hAnsi="맑은 고딕" w:cs="맑은 고딕"/>
          <w:b/>
          <w:bCs/>
          <w:color w:val="1F3864"/>
          <w:sz w:val="26"/>
          <w:szCs w:val="26"/>
        </w:rPr>
        <w:t>10. 참고문헌</w:t>
      </w:r>
    </w:p>
    <w:p>
      <w:pPr>
        <w:ind w:left="440" w:hanging="440"/>
        <w:spacing w:after="110" w:line="285"/>
      </w:pPr>
      <w:r>
        <w:rPr>
          <w:rFonts w:ascii="맑은 고딕" w:eastAsia="맑은 고딕" w:hAnsi="맑은 고딕" w:cs="맑은 고딕"/>
          <w:color w:val="1A1A1A"/>
          <w:sz w:val="19"/>
          <w:szCs w:val="19"/>
        </w:rPr>
        <w:t>KS D ISO/ASTM 52910(2024 확인). 적층제조 — 설계 — 요구사항, 지침 및 권고사항. 국가기술표준원 고시 제2019-0496호. (ISO/ASTM 52910:2018 IDT)</w:t>
      </w:r>
    </w:p>
    <w:p>
      <w:pPr>
        <w:ind w:left="440" w:hanging="440"/>
        <w:spacing w:after="110" w:line="285"/>
      </w:pPr>
      <w:r>
        <w:rPr>
          <w:rFonts w:ascii="맑은 고딕" w:eastAsia="맑은 고딕" w:hAnsi="맑은 고딕" w:cs="맑은 고딕"/>
          <w:color w:val="1A1A1A"/>
          <w:sz w:val="19"/>
          <w:szCs w:val="19"/>
        </w:rPr>
        <w:t>KS D ISO/ASTM 52902. 적층제조 — 시험 제작물 — 적층제조 시스템의 기하학적 성능평가.</w:t>
      </w:r>
    </w:p>
    <w:p>
      <w:pPr>
        <w:ind w:left="440" w:hanging="440"/>
        <w:spacing w:after="110" w:line="285"/>
      </w:pPr>
      <w:r>
        <w:rPr>
          <w:rFonts w:ascii="맑은 고딕" w:eastAsia="맑은 고딕" w:hAnsi="맑은 고딕" w:cs="맑은 고딕"/>
          <w:color w:val="1A1A1A"/>
          <w:sz w:val="19"/>
          <w:szCs w:val="19"/>
        </w:rPr>
        <w:t>Jiang, J., Xu, X., &amp; Stringer, J. (2018). A new support strategy for reducing waste in additive manufacturing. In Proceedings of the 48th International Conference on Computers and Industrial Engineering (CIE48), Auckland, New Zealand, 1–7.</w:t>
      </w:r>
    </w:p>
    <w:p>
      <w:pPr>
        <w:ind w:left="440" w:hanging="440"/>
        <w:spacing w:after="110" w:line="285"/>
      </w:pPr>
      <w:r>
        <w:rPr>
          <w:rFonts w:ascii="맑은 고딕" w:eastAsia="맑은 고딕" w:hAnsi="맑은 고딕" w:cs="맑은 고딕"/>
          <w:color w:val="1A1A1A"/>
          <w:sz w:val="19"/>
          <w:szCs w:val="19"/>
        </w:rPr>
        <w:t>Jiang, J., Stringer, J., Xu, X., &amp; Zhong, R. Y. (2018). Investigation of printable threshold overhang angle in extrusion-based additive manufacturing for reducing support waste. International Journal of Computer Integrated Manufacturing, 31(10), 961–969.</w:t>
      </w:r>
    </w:p>
    <w:p>
      <w:pPr>
        <w:ind w:left="440" w:hanging="440"/>
        <w:spacing w:after="110" w:line="285"/>
      </w:pPr>
      <w:r>
        <w:rPr>
          <w:rFonts w:ascii="맑은 고딕" w:eastAsia="맑은 고딕" w:hAnsi="맑은 고딕" w:cs="맑은 고딕"/>
          <w:color w:val="1A1A1A"/>
          <w:sz w:val="19"/>
          <w:szCs w:val="19"/>
        </w:rPr>
        <w:t>Oh, Y., Ko, H., Sprock, T., Bernstein, W. Z., &amp; Kwon, S. (2021). Part decomposition and evaluation based on standard design guidelines for additive manufacturability and assemblability. Additive Manufacturing, 37, 101702.</w:t>
      </w:r>
    </w:p>
    <w:p>
      <w:pPr>
        <w:ind w:left="440" w:hanging="440"/>
        <w:spacing w:after="110" w:line="285"/>
      </w:pPr>
      <w:r>
        <w:rPr>
          <w:rFonts w:ascii="맑은 고딕" w:eastAsia="맑은 고딕" w:hAnsi="맑은 고딕" w:cs="맑은 고딕"/>
          <w:color w:val="1A1A1A"/>
          <w:sz w:val="19"/>
          <w:szCs w:val="19"/>
        </w:rPr>
        <w:t>Kerbrat, O., Mognol, P., &amp; Hascoët, J.-Y. (2011). A new DFM approach to combine machining and additive manufacturing. Computers in Industry, 62(7), 684–692.</w:t>
      </w:r>
    </w:p>
    <w:p>
      <w:pPr>
        <w:ind w:left="440" w:hanging="440"/>
        <w:spacing w:after="110" w:line="285"/>
      </w:pPr>
      <w:r>
        <w:rPr>
          <w:rFonts w:ascii="맑은 고딕" w:eastAsia="맑은 고딕" w:hAnsi="맑은 고딕" w:cs="맑은 고딕"/>
          <w:color w:val="1A1A1A"/>
          <w:sz w:val="19"/>
          <w:szCs w:val="19"/>
        </w:rPr>
        <w:t>Saaty, T. L. (1980). The analytic hierarchy process. McGraw-Hill.</w:t>
      </w:r>
    </w:p>
    <w:sectPr>
      <w:pgSz w:w="11906" w:h="16838"/>
      <w:pgMar w:top="1300" w:right="1080" w:bottom="1300" w:left="1080" w:header="708" w:footer="708"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ambria Math">
    <w:panose1 w:val="02040503050406030204"/>
    <w:notTrueType w:val="false"/>
    <w:sig w:usb0="E00006FF" w:usb1="420024FF" w:usb2="02000000" w:usb3="00000001" w:csb0="200001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808080"/>
        <w:sz w:val="17"/>
        <w:szCs w:val="17"/>
      </w:rPr>
      <w:fldChar w:fldCharType="begin"/>
    </w:r>
    <w:r>
      <w:rPr>
        <w:rFonts w:ascii="맑은 고딕" w:eastAsia="맑은 고딕" w:hAnsi="맑은 고딕" w:cs="맑은 고딕"/>
        <w:color w:val="808080"/>
        <w:sz w:val="17"/>
        <w:szCs w:val="17"/>
      </w:rPr>
      <w:instrText>PAGE</w:instrText>
    </w:r>
    <w:r>
      <w:rPr>
        <w:rFonts w:ascii="맑은 고딕" w:eastAsia="맑은 고딕" w:hAnsi="맑은 고딕" w:cs="맑은 고딕"/>
        <w:color w:val="808080"/>
        <w:sz w:val="17"/>
        <w:szCs w:val="17"/>
      </w:rPr>
      <w:fldChar w:fldCharType="separate"/>
    </w:r>
    <w:r>
      <w:rPr>
        <w:rFonts w:ascii="맑은 고딕" w:eastAsia="맑은 고딕" w:hAnsi="맑은 고딕" w:cs="맑은 고딕"/>
        <w:color w:val="808080"/>
        <w:sz w:val="17"/>
        <w:szCs w:val="17"/>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5bbc0"/>
    <w:multiLevelType w:val="hybridMultilevel"/>
    <w:lvl w:ilvl="0" w:tentative="on">
      <w:start w:val="1"/>
      <w:numFmt w:val="bullet"/>
      <w:lvlText w:val="•"/>
      <w:lvlJc w:val="left"/>
      <w:pPr>
        <w:ind w:left="380" w:hanging="23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적층제조(AM) 제조성 검토 소프트웨어 - 1차 미팅 진행 보고서</dc:title>
  <dc:subject/>
  <dc:creator>윤성진</dc:creator>
  <cp:keywords/>
  <dc:description/>
  <cp:lastModifiedBy>DNDE-EDU-18</cp:lastModifiedBy>
  <cp:revision>1</cp:revision>
  <dcterms:created xsi:type="dcterms:W3CDTF">2026-09-08T13:53:51Z</dcterms:created>
  <dcterms:modified xsi:type="dcterms:W3CDTF">2026-09-09T01:11:18Z</dcterms:modified>
  <cp:version>1300.0100.01</cp:version>
</cp:coreProperties>
</file>