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90"/>
      </w:pPr>
      <w:r>
        <w:rPr>
          <w:rFonts w:ascii="맑은 고딕" w:eastAsia="맑은 고딕" w:hAnsi="맑은 고딕" w:cs="맑은 고딕"/>
          <w:b/>
          <w:bCs/>
          <w:color w:val="1F3864"/>
          <w:sz w:val="33"/>
          <w:szCs w:val="33"/>
        </w:rPr>
        <w:t>적층제조(AM) 제조성 검토 소프트웨어</w:t>
      </w:r>
    </w:p>
    <w:p>
      <w:pPr>
        <w:jc w:val="center"/>
        <w:spacing w:after="170"/>
      </w:pPr>
      <w:r>
        <w:rPr>
          <w:rFonts w:ascii="맑은 고딕" w:eastAsia="맑은 고딕" w:hAnsi="맑은 고딕" w:cs="맑은 고딕"/>
          <w:color w:val="404040"/>
          <w:sz w:val="23"/>
          <w:szCs w:val="23"/>
        </w:rPr>
        <w:t>개발 경과 · 검증 결과 · 한계 · 다음 계획</w:t>
      </w:r>
    </w:p>
    <w:p>
      <w:pPr>
        <w:jc w:val="center"/>
        <w:pBdr>
          <w:top w:val="single" w:sz="6" w:space="10" w:color="B8C4D0"/>
          <w:bottom w:val="single" w:sz="6" w:space="10" w:color="B8C4D0"/>
        </w:pBdr>
        <w:spacing w:after="0"/>
      </w:pPr>
      <w:r>
        <w:rPr>
          <w:rFonts w:ascii="맑은 고딕" w:eastAsia="맑은 고딕" w:hAnsi="맑은 고딕" w:cs="맑은 고딕"/>
          <w:color w:val="404040"/>
          <w:sz w:val="21"/>
          <w:szCs w:val="21"/>
        </w:rPr>
        <w:t>윤성진 · 경상국립대학교 스마트에너지기계공학</w:t>
      </w:r>
      <w:r>
        <w:rPr>
          <w:lang w:eastAsia="ko-KR"/>
          <w:rFonts w:ascii="맑은 고딕" w:eastAsia="맑은 고딕" w:hAnsi="맑은 고딕" w:cs="맑은 고딕"/>
          <w:color w:val="404040"/>
          <w:sz w:val="21"/>
          <w:szCs w:val="21"/>
          <w:rtl w:val="off"/>
        </w:rPr>
        <w:t>과</w:t>
      </w:r>
      <w:r>
        <w:rPr>
          <w:rFonts w:ascii="맑은 고딕" w:eastAsia="맑은 고딕" w:hAnsi="맑은 고딕" w:cs="맑은 고딕"/>
          <w:color w:val="B8C4D0"/>
          <w:sz w:val="21"/>
          <w:szCs w:val="21"/>
        </w:rPr>
        <w:t xml:space="preserve">      |      </w:t>
      </w:r>
      <w:r>
        <w:rPr>
          <w:rFonts w:ascii="맑은 고딕" w:eastAsia="맑은 고딕" w:hAnsi="맑은 고딕" w:cs="맑은 고딕"/>
          <w:color w:val="404040"/>
          <w:sz w:val="21"/>
          <w:szCs w:val="21"/>
        </w:rPr>
        <w:t>2026년 9월 14일</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1. 요약</w:t>
      </w:r>
    </w:p>
    <w:p>
      <w:pPr>
        <w:spacing w:after="120" w:line="292"/>
      </w:pPr>
      <w:r>
        <w:rPr>
          <w:rFonts w:ascii="맑은 고딕" w:eastAsia="맑은 고딕" w:hAnsi="맑은 고딕" w:cs="맑은 고딕"/>
          <w:color w:val="1A1A1A"/>
          <w:sz w:val="20"/>
          <w:szCs w:val="20"/>
        </w:rPr>
        <w:t>STL 형상에서 적층제조의 기하 위험을 검토하고, 위험 위치와 판단 가능한 범위를 함께 보여주는 프로그램을 개발했다. 현재 검증의 중심은 FDM이며, 평가 항목</w:t>
      </w:r>
      <w:r>
        <w:rPr>
          <w:lang w:eastAsia="ko-KR"/>
          <w:rFonts w:ascii="맑은 고딕" w:eastAsia="맑은 고딕" w:hAnsi="맑은 고딕" w:cs="맑은 고딕"/>
          <w:color w:val="1A1A1A"/>
          <w:sz w:val="20"/>
          <w:szCs w:val="20"/>
          <w:rtl w:val="off"/>
        </w:rPr>
        <w:t>은</w:t>
      </w:r>
      <w:r>
        <w:rPr>
          <w:rFonts w:ascii="맑은 고딕" w:eastAsia="맑은 고딕" w:hAnsi="맑은 고딕" w:cs="맑은 고딕"/>
          <w:color w:val="1A1A1A"/>
          <w:sz w:val="20"/>
          <w:szCs w:val="20"/>
        </w:rPr>
        <w:t xml:space="preserve"> KS D ISO/ASTM 52910의 설계 고려사항에 </w:t>
      </w:r>
      <w:r>
        <w:rPr>
          <w:lang w:eastAsia="ko-KR"/>
          <w:rFonts w:ascii="맑은 고딕" w:eastAsia="맑은 고딕" w:hAnsi="맑은 고딕" w:cs="맑은 고딕"/>
          <w:color w:val="1A1A1A"/>
          <w:sz w:val="20"/>
          <w:szCs w:val="20"/>
          <w:rtl w:val="off"/>
        </w:rPr>
        <w:t>기반한다</w:t>
      </w:r>
      <w:r>
        <w:rPr>
          <w:rFonts w:ascii="맑은 고딕" w:eastAsia="맑은 고딕" w:hAnsi="맑은 고딕" w:cs="맑은 고딕"/>
          <w:color w:val="1A1A1A"/>
          <w:sz w:val="20"/>
          <w:szCs w:val="20"/>
        </w:rPr>
        <w:t>.[1]</w:t>
      </w:r>
    </w:p>
    <w:p>
      <w:pPr>
        <w:spacing w:after="120" w:line="292"/>
      </w:pPr>
      <w:r>
        <w:rPr>
          <w:lang w:eastAsia="ko-KR"/>
          <w:rFonts w:ascii="맑은 고딕" w:eastAsia="맑은 고딕" w:hAnsi="맑은 고딕" w:cs="맑은 고딕"/>
          <w:color w:val="1A1A1A"/>
          <w:sz w:val="20"/>
          <w:szCs w:val="20"/>
          <w:rtl w:val="off"/>
        </w:rPr>
        <w:t>소스코드를 지속적으로 개선하여</w:t>
      </w:r>
      <w:r>
        <w:rPr>
          <w:rFonts w:ascii="맑은 고딕" w:eastAsia="맑은 고딕" w:hAnsi="맑은 고딕" w:cs="맑은 고딕"/>
          <w:color w:val="1A1A1A"/>
          <w:sz w:val="20"/>
          <w:szCs w:val="20"/>
        </w:rPr>
        <w:t xml:space="preserve"> 잘못된 통과 판정과 측정 오류를 수정하고, 전체 솔리드 분석이 어려운 입력에서도 확정 가능한 층 단면을 검토하도록 확장했다. 주요 변화는 다음과 같다.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00"/>
        <w:gridCol w:w="3300"/>
        <w:gridCol w:w="4500"/>
      </w:tblGrid>
      <w:tr>
        <w:trPr>
          <w:cantSplit/>
          <w:tblHeader/>
        </w:trPr>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검토 항목</w:t>
            </w:r>
          </w:p>
        </w:tc>
        <w:tc>
          <w:tcPr>
            <w:tcW w:w="3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초기 문제</w:t>
            </w:r>
          </w:p>
        </w:tc>
        <w:tc>
          <w:tcPr>
            <w:tcW w:w="4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현재 확인한 결과</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입력·측정 상태</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불완전한 입력이나 측정 실패를 통과 처리</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 부적합·근거 부족·프로필 위반을 구분</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벽두께·공동</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평판 두께 과대 측정, 재로드 시 공동 소실</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검증 평판 오차 수정, 시험 공동 8,000 mm³ 보존</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단면 검토</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3D 점수 미산출 시 검토가 제한됨</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외부 16개 입력의 요청 단면 계산 완료</w:t>
            </w:r>
          </w:p>
        </w:tc>
      </w:tr>
      <w:tr>
        <w:trPr>
          <w:cantSplit/>
        </w:trPr>
        <w:tc>
          <w:tcPr>
            <w:tcW w:w="20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표시</w:t>
            </w:r>
          </w:p>
        </w:tc>
        <w:tc>
          <w:tcPr>
            <w:tcW w:w="33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작은 잔여 영역이 검토를 방해</w:t>
            </w:r>
          </w:p>
        </w:tc>
        <w:tc>
          <w:tcPr>
            <w:tcW w:w="45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후보를 보존하며 우선 검토와 작은 세부로 분류</w:t>
            </w:r>
          </w:p>
        </w:tc>
      </w:tr>
    </w:tbl>
    <w:p>
      <w:pPr>
        <w:spacing w:after="140"/>
      </w:pP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 xml:space="preserve">현재 성과는 계산과 판정의 신뢰 범위를 명확히 한 것이다. 실제 제조 위험의 검출 정확도는 아직 독립 검증이 필요하며, 다음 </w:t>
      </w:r>
      <w:r>
        <w:rPr>
          <w:lang w:eastAsia="ko-KR"/>
          <w:rFonts w:ascii="맑은 고딕" w:eastAsia="맑은 고딕" w:hAnsi="맑은 고딕" w:cs="맑은 고딕"/>
          <w:color w:val="1A1A1A"/>
          <w:sz w:val="20"/>
          <w:szCs w:val="20"/>
          <w:rtl w:val="off"/>
        </w:rPr>
        <w:t>계획</w:t>
      </w:r>
      <w:r>
        <w:rPr>
          <w:rFonts w:ascii="맑은 고딕" w:eastAsia="맑은 고딕" w:hAnsi="맑은 고딕" w:cs="맑은 고딕"/>
          <w:color w:val="1A1A1A"/>
          <w:sz w:val="20"/>
          <w:szCs w:val="20"/>
        </w:rPr>
        <w:t>은 기하 정답·슬라이서</w:t>
      </w:r>
      <w:r>
        <w:rPr>
          <w:lang w:eastAsia="ko-KR"/>
          <w:rFonts w:ascii="맑은 고딕" w:eastAsia="맑은 고딕" w:hAnsi="맑은 고딕" w:cs="맑은 고딕"/>
          <w:color w:val="1A1A1A"/>
          <w:sz w:val="20"/>
          <w:szCs w:val="20"/>
          <w:rtl w:val="off"/>
        </w:rPr>
        <w:t xml:space="preserve"> </w:t>
      </w:r>
      <w:r>
        <w:rPr>
          <w:rFonts w:ascii="맑은 고딕" w:eastAsia="맑은 고딕" w:hAnsi="맑은 고딕" w:cs="맑은 고딕"/>
          <w:color w:val="1A1A1A"/>
          <w:sz w:val="20"/>
          <w:szCs w:val="20"/>
        </w:rPr>
        <w:t>대조를 중심으로</w:t>
      </w:r>
      <w:r>
        <w:rPr>
          <w:lang w:eastAsia="ko-KR"/>
          <w:rFonts w:ascii="맑은 고딕" w:eastAsia="맑은 고딕" w:hAnsi="맑은 고딕" w:cs="맑은 고딕"/>
          <w:color w:val="1A1A1A"/>
          <w:sz w:val="20"/>
          <w:szCs w:val="20"/>
          <w:rtl w:val="off"/>
        </w:rPr>
        <w:t xml:space="preserve"> 독립 검증을 진행, 정확도를 확보한다.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2. 프로젝트 개요와 선행 연구</w:t>
      </w:r>
    </w:p>
    <w:p>
      <w:pPr>
        <w:spacing w:after="120" w:line="292"/>
      </w:pPr>
      <w:r>
        <w:rPr>
          <w:rFonts w:ascii="맑은 고딕" w:eastAsia="맑은 고딕" w:hAnsi="맑은 고딕" w:cs="맑은 고딕"/>
          <w:color w:val="1A1A1A"/>
          <w:sz w:val="20"/>
          <w:szCs w:val="20"/>
        </w:rPr>
        <w:t>Oh 등</w:t>
      </w:r>
      <w:r>
        <w:rPr>
          <w:lang w:eastAsia="ko-KR"/>
          <w:rFonts w:ascii="맑은 고딕" w:eastAsia="맑은 고딕" w:hAnsi="맑은 고딕" w:cs="맑은 고딕"/>
          <w:color w:val="1A1A1A"/>
          <w:sz w:val="20"/>
          <w:szCs w:val="20"/>
          <w:rtl w:val="off"/>
        </w:rPr>
        <w:t>(2021)</w:t>
      </w:r>
      <w:r>
        <w:rPr>
          <w:rFonts w:ascii="맑은 고딕" w:eastAsia="맑은 고딕" w:hAnsi="맑은 고딕" w:cs="맑은 고딕"/>
          <w:color w:val="1A1A1A"/>
          <w:sz w:val="20"/>
          <w:szCs w:val="20"/>
        </w:rPr>
        <w:t>은 표준 설계 지침을 정량 지표로 옮겨 부품 분해에 적용했고, Stavropoulos 등</w:t>
      </w:r>
      <w:r>
        <w:rPr>
          <w:lang w:eastAsia="ko-KR"/>
          <w:rFonts w:ascii="맑은 고딕" w:eastAsia="맑은 고딕" w:hAnsi="맑은 고딕" w:cs="맑은 고딕"/>
          <w:color w:val="1A1A1A"/>
          <w:sz w:val="20"/>
          <w:szCs w:val="20"/>
          <w:rtl w:val="off"/>
        </w:rPr>
        <w:t>(2022)</w:t>
      </w:r>
      <w:r>
        <w:rPr>
          <w:rFonts w:ascii="맑은 고딕" w:eastAsia="맑은 고딕" w:hAnsi="맑은 고딕" w:cs="맑은 고딕"/>
          <w:color w:val="1A1A1A"/>
          <w:sz w:val="20"/>
          <w:szCs w:val="20"/>
        </w:rPr>
        <w:t>은 특징 인식과 제조 지식을 결합해 제조성을 평가했다.[2,3] 이러한 연구는 계산 가능한 지표와 근거를 연결하는 방향을 지지하지만, 현재 프로그램의 정확성까지 보장하지는 않는다.</w:t>
      </w:r>
    </w:p>
    <w:p>
      <w:pPr>
        <w:spacing w:after="120" w:line="292"/>
      </w:pPr>
      <w:r>
        <w:rPr>
          <w:rFonts w:ascii="맑은 고딕" w:eastAsia="맑은 고딕" w:hAnsi="맑은 고딕" w:cs="맑은 고딕"/>
          <w:color w:val="1A1A1A"/>
          <w:sz w:val="20"/>
          <w:szCs w:val="20"/>
        </w:rPr>
        <w:t>본 프로젝트는 단일 부품의 위험 위치, 방향별 지표, 미확정 범위를 설명하는 데 집중한다. FDM 설계 문헌은 형상 제약이 장비·재료·공정 조건에 따라 달라짐을 보여준다.[4–7] SLA·SLS·DMLS 프로필은 미검증 데모 범위이며, 타 공정 확장은 FDM 검증 이후에 검토한다.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3. 규칙의 근거</w:t>
      </w:r>
    </w:p>
    <w:p>
      <w:pPr>
        <w:pStyle w:val="Heading2"/>
        <w:keepNext/>
        <w:spacing w:after="95" w:before="200"/>
      </w:pPr>
      <w:r>
        <w:rPr>
          <w:rFonts w:ascii="맑은 고딕" w:eastAsia="맑은 고딕" w:hAnsi="맑은 고딕" w:cs="맑은 고딕"/>
          <w:b/>
          <w:bCs/>
          <w:color w:val="2E5496"/>
          <w:sz w:val="21"/>
          <w:szCs w:val="21"/>
        </w:rPr>
        <w:t>3.1 표준과 수치 기준의 구분</w:t>
      </w:r>
    </w:p>
    <w:p>
      <w:pPr>
        <w:spacing w:after="120" w:line="292"/>
      </w:pPr>
      <w:r>
        <w:rPr>
          <w:rFonts w:ascii="맑은 고딕" w:eastAsia="맑은 고딕" w:hAnsi="맑은 고딕" w:cs="맑은 고딕"/>
          <w:color w:val="1A1A1A"/>
          <w:sz w:val="20"/>
          <w:szCs w:val="20"/>
        </w:rPr>
        <w:t>KS D ISO/ASTM 52910은 설계 고려사항과 주의사항을 제시한다. 공정·재료별 수치 한계나 구체적인 설계 해법은 적용범위 밖이다. 따라서 표준은 검사 항목의 근거로 사용하며, 게이트와 점수의 구분은 자체 소프트웨어 설계다.[1]</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300"/>
        <w:gridCol w:w="44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근거 유형</w:t>
            </w:r>
          </w:p>
        </w:tc>
        <w:tc>
          <w:tcPr>
            <w:tcW w:w="3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현재 적용 예</w:t>
            </w:r>
          </w:p>
        </w:tc>
        <w:tc>
          <w:tcPr>
            <w:tcW w:w="44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해석 범위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설정값</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높이 0.2 mm, 선폭 0.4 mm</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기본값이며 실제 슬라이서 설정에 맞춰 변경</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문헌 실험·자료 적합</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브리지 2 mm, 서포트 계수</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문헌의 특정 출력 조건 / Cura 24건 적합을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관행을 참고한 값</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권장 벽 1 mm, 오버행 45°</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통용 지침을 참고한 프로필. 장비별 확인 필요</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개발 판단</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오버행 비율 30%, 종횡비 10 등</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개발 목적은 있으나 해당 숫자의 독립 실증 부족</w:t>
            </w:r>
          </w:p>
        </w:tc>
      </w:tr>
    </w:tbl>
    <w:p>
      <w:pPr>
        <w:spacing w:after="140"/>
      </w:pPr>
    </w:p>
    <w:p>
      <w:pPr>
        <w:spacing w:after="120" w:line="292"/>
      </w:pPr>
      <w:r>
        <w:rPr>
          <w:rFonts w:ascii="맑은 고딕" w:eastAsia="맑은 고딕" w:hAnsi="맑은 고딕" w:cs="맑은 고딕"/>
          <w:color w:val="1A1A1A"/>
          <w:sz w:val="20"/>
          <w:szCs w:val="20"/>
        </w:rPr>
        <w:t>개발 판단값은 비교와 경고 기능을 작동시키기 위한 잠정 기준이다. 예를 들어 오버행 30%는 위험면 비중을 점수화하는 기준이며, 출력 실패 경계가 아니다. 수치 선택의 목적·코드상 작동·남은 검증 과제는 부록 B에 정리했다.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4. 프로그램 구성</w:t>
      </w:r>
    </w:p>
    <w:p>
      <w:pPr>
        <w:spacing w:after="120" w:line="292"/>
      </w:pPr>
      <w:r>
        <w:rPr>
          <w:rFonts w:ascii="맑은 고딕" w:eastAsia="맑은 고딕" w:hAnsi="맑은 고딕" w:cs="맑은 고딕"/>
          <w:color w:val="1A1A1A"/>
          <w:sz w:val="20"/>
          <w:szCs w:val="20"/>
        </w:rPr>
        <w:t>입력은 STL, 단위, 빌드 방향, 장비 크기와 공정 설정이다. 입력 진단 후 3D 규칙 평가와 FDM 층 단면 검토를 수행한다.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600"/>
        <w:gridCol w:w="41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경로</w:t>
            </w:r>
          </w:p>
        </w:tc>
        <w:tc>
          <w:tcPr>
            <w:tcW w:w="36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수행 내용</w:t>
            </w:r>
          </w:p>
        </w:tc>
        <w:tc>
          <w:tcPr>
            <w:tcW w:w="41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결과의 의미</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 메시 진단</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열린 경계·법선·중복·퇴화 등 검사</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원본과 정리 후보를 구분하고 결함 위치 표시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3D 규칙 평가</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하드 게이트 4개와 소프트 규칙 10개</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평가 가능한 항목의 측정량·점수. FDM 기본 7개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단면 검토</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선폭 기준 특징, 지지·브리지, 한 층 영역</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확정 가능한 단면만 제공. 3D 점수와 독립</w:t>
            </w:r>
          </w:p>
        </w:tc>
      </w:tr>
    </w:tbl>
    <w:p>
      <w:pPr>
        <w:spacing w:after="140"/>
      </w:pP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3D 점수 미산출과 단면 계산 완료는 함께 나타날 수 있다. 단면 결과는 전체 메시 복구나 출력 성공을 뜻하지 않는다. N/A는 만점으로 처리하지 않으며, 종합 점수와 함께 평가 범위를 제시한다.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5. 개발 경과</w:t>
      </w:r>
    </w:p>
    <w:p>
      <w:pPr>
        <w:pStyle w:val="Heading2"/>
        <w:keepNext/>
        <w:spacing w:after="95" w:before="200"/>
      </w:pPr>
      <w:r>
        <w:rPr>
          <w:rFonts w:ascii="맑은 고딕" w:eastAsia="맑은 고딕" w:hAnsi="맑은 고딕" w:cs="맑은 고딕"/>
          <w:b/>
          <w:bCs/>
          <w:color w:val="2E5496"/>
          <w:sz w:val="21"/>
          <w:szCs w:val="21"/>
        </w:rPr>
        <w:t>5.1 오류 수정의 목적</w:t>
      </w:r>
    </w:p>
    <w:p>
      <w:pPr>
        <w:spacing w:after="120" w:line="292"/>
      </w:pPr>
      <w:r>
        <w:rPr>
          <w:rFonts w:ascii="맑은 고딕" w:eastAsia="맑은 고딕" w:hAnsi="맑은 고딕" w:cs="맑은 고딕"/>
          <w:color w:val="1A1A1A"/>
          <w:sz w:val="20"/>
          <w:szCs w:val="20"/>
        </w:rPr>
        <w:t>초기에는 방향·각도 해석, 벽두께 표본, 공동 법선 처리에서 잘못된 결과가 발생했다. 검증한 평판의 두께를 73.2% 크게 측정한 오류는 실제 기준 미달 벽을 통과시킬 수 있었다. 면 법선 기반 측정과 별도의 얇은 후보 확인으로 판정 근거를 강화했다.</w:t>
      </w:r>
    </w:p>
    <w:p>
      <w:pPr>
        <w:spacing w:after="120" w:line="292"/>
      </w:pPr>
      <w:r>
        <w:rPr>
          <w:rFonts w:ascii="맑은 고딕" w:eastAsia="맑은 고딕" w:hAnsi="맑은 고딕" w:cs="맑은 고딕"/>
          <w:color w:val="1A1A1A"/>
          <w:sz w:val="20"/>
          <w:szCs w:val="20"/>
        </w:rPr>
        <w:t>전체 가중 점수만으로는 핵심 제약 위반이 다른 항목의 높은 점수에 가려질 수 있다. 이에 입력 유효성·프로필 위반·측정 근거를 먼저 구분하고, 판단이 가능한 경우에 점수를 산출하도록 정리했다.</w:t>
      </w:r>
    </w:p>
    <w:p>
      <w:pPr>
        <w:pStyle w:val="Heading2"/>
        <w:keepNext/>
        <w:spacing w:after="95" w:before="200"/>
      </w:pPr>
      <w:r>
        <w:rPr>
          <w:rFonts w:ascii="맑은 고딕" w:eastAsia="맑은 고딕" w:hAnsi="맑은 고딕" w:cs="맑은 고딕"/>
          <w:b/>
          <w:bCs/>
          <w:color w:val="2E5496"/>
          <w:sz w:val="21"/>
          <w:szCs w:val="21"/>
        </w:rPr>
        <w:t>5.2 버전별 핵심 변경</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000"/>
        <w:gridCol w:w="4550"/>
        <w:gridCol w:w="4250"/>
      </w:tblGrid>
      <w:tr>
        <w:trPr>
          <w:cantSplit/>
          <w:tblHeader/>
        </w:trPr>
        <w:tc>
          <w:tcPr>
            <w:tcW w:w="1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단계</w:t>
            </w:r>
          </w:p>
        </w:tc>
        <w:tc>
          <w:tcPr>
            <w:tcW w:w="45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문제와 변경</w:t>
            </w:r>
          </w:p>
        </w:tc>
        <w:tc>
          <w:tcPr>
            <w:tcW w:w="42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개선의 의미</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v2.1</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입력·측정 상태 구분, 공동 부호·장비 배치·표본 분포 수정</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근거 없는 통과와 잘못된 측정값 사용을 방지</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v2.2</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Cura 원자료·설정·예측값의 재현 경로 정리</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과거 예측 재현과 새 계수 적합을 구분</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v2.3</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손상 메시 진단·부분 결과, 얇은 후보 3점 재확인</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의심 측정을 즉시 확정하지 않고 근거를 보강</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v2.4</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중간 평면의 단면 검토 경로 추가</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솔리드 조건이 부족해도 가능한 범위 검토</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v2.5</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과다·공간 조회 비용·부분 성분 처리 개선</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작은 실제 특징을 유지하며 복잡한 단면 대응</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v2.6</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후보량 보존과 표시 분류, 단면 경로·화면 회귀 강화</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감소의 이유와 남은 후보를 추적 가능</w:t>
            </w:r>
          </w:p>
        </w:tc>
      </w:tr>
    </w:tbl>
    <w:p>
      <w:pPr>
        <w:spacing w:after="140"/>
      </w:pPr>
    </w:p>
    <w:p>
      <w:pPr>
        <w:pStyle w:val="Heading2"/>
        <w:keepNext/>
        <w:spacing w:after="95" w:before="200"/>
      </w:pPr>
      <w:r>
        <w:rPr>
          <w:rFonts w:ascii="맑은 고딕" w:eastAsia="맑은 고딕" w:hAnsi="맑은 고딕" w:cs="맑은 고딕"/>
          <w:b/>
          <w:bCs/>
          <w:color w:val="2E5496"/>
          <w:sz w:val="21"/>
          <w:szCs w:val="21"/>
        </w:rPr>
        <w:t>5.3 현재 벽두께 판정과 경고 표시</w:t>
      </w:r>
    </w:p>
    <w:p>
      <w:pPr>
        <w:spacing w:after="120" w:line="292"/>
      </w:pPr>
      <w:r>
        <w:rPr>
          <w:rFonts w:ascii="맑은 고딕" w:eastAsia="맑은 고딕" w:hAnsi="맑은 고딕" w:cs="맑은 고딕"/>
          <w:color w:val="1A1A1A"/>
          <w:sz w:val="20"/>
          <w:szCs w:val="20"/>
        </w:rPr>
        <w:t>현재 벽두께 게이트는 하한 미만 후보 면의 내부 3점에서 비인접·대향 표면까지 거리를 다시 측정한다. 일정 공간에 걸쳐 얇음이 확인되면 프로필 위반으로 처리하고, 의심이 남으나 확증되지 않으면 보류한다. 이는 실제 출력 실패를 증명하는 절차는 아니다.</w:t>
      </w:r>
    </w:p>
    <w:p>
      <w:pPr>
        <w:spacing w:after="120" w:line="292"/>
      </w:pPr>
      <w:r>
        <w:rPr>
          <w:rFonts w:ascii="맑은 고딕" w:eastAsia="맑은 고딕" w:hAnsi="맑은 고딕" w:cs="맑은 고딕"/>
          <w:color w:val="1A1A1A"/>
          <w:sz w:val="20"/>
          <w:szCs w:val="20"/>
        </w:rPr>
        <w:t>층 단면의 작은 후보는 삭제하지 않고 별도 세부로 보존한다. 특히 하나의 재료 성분 전체가 영향을 받는 경우는 면적이 작아도 우선 검토에 남긴다. 이 정책은 경고 과다를 줄이면서 작은 핀 등의 누락을 피하려는 것이다.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개발 이력의 기준은 각 단계의 코드·변경 기록이다. ZIP 이름과 내부 전달본 버전명이 다른 자료가 있어 파일명만으로 수정 시점을 판단하지 않았다.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6. 확인된 성능</w:t>
      </w:r>
    </w:p>
    <w:p>
      <w:pPr>
        <w:pStyle w:val="Heading2"/>
        <w:keepNext/>
        <w:spacing w:after="95" w:before="200"/>
      </w:pPr>
      <w:r>
        <w:rPr>
          <w:rFonts w:ascii="맑은 고딕" w:eastAsia="맑은 고딕" w:hAnsi="맑은 고딕" w:cs="맑은 고딕"/>
          <w:b/>
          <w:bCs/>
          <w:color w:val="2E5496"/>
          <w:sz w:val="21"/>
          <w:szCs w:val="21"/>
        </w:rPr>
        <w:t>6.1 검증 결과와 범위</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500"/>
        <w:gridCol w:w="42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항목</w:t>
            </w:r>
          </w:p>
        </w:tc>
        <w:tc>
          <w:tcPr>
            <w:tcW w:w="3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 결과</w:t>
            </w:r>
          </w:p>
        </w:tc>
        <w:tc>
          <w:tcPr>
            <w:tcW w:w="42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주장할 수 있는 범위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기본·회귀·화면 검사</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55/55 + 167/167 통과</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2026-09-09 Linux, Python 3.12.14의 v2.6 기록</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외부 STL 16개</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원본·정리 후보의 요청 단면 계산 완료</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GB 1개, Benchy 1개, Prusa 부품 14개. 비무작위 표본</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NIST 한 층 후보</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우선 검토 61→0층, 작은 세부로 이동</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후보 면적 합 0.004141 mm² 보존. 오검출 입증은 아님</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Cura 서포트 대조</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24건의 저장 예측 R² 약 0.978</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독립 형상 4종에 맞춘 적합도. 새 부품 예측 성능 미확인</w:t>
            </w:r>
          </w:p>
        </w:tc>
      </w:tr>
    </w:tbl>
    <w:p>
      <w:pPr>
        <w:spacing w:after="140"/>
      </w:pPr>
    </w:p>
    <w:p>
      <w:pPr>
        <w:spacing w:after="120" w:line="292"/>
      </w:pPr>
      <w:r>
        <w:rPr>
          <w:rFonts w:ascii="맑은 고딕" w:eastAsia="맑은 고딕" w:hAnsi="맑은 고딕" w:cs="맑은 고딕"/>
          <w:color w:val="1A1A1A"/>
          <w:sz w:val="20"/>
          <w:szCs w:val="20"/>
        </w:rPr>
        <w:t>외부 16개 중 3D 점수 산출은 2개, 입력 부적합은 5개, 측정 근거 부족은 7개, 프로필 위반은 2개였다. 점수 미산출을 모두 열린 메시로 해석하거나 원본·정리 후보를 독립 부품으로 세지 않는다.</w:t>
      </w:r>
    </w:p>
    <w:p>
      <w:pPr>
        <w:spacing w:after="120" w:line="292"/>
      </w:pPr>
      <w:r>
        <w:rPr>
          <w:rFonts w:ascii="맑은 고딕" w:eastAsia="맑은 고딕" w:hAnsi="맑은 고딕" w:cs="맑은 고딕"/>
          <w:color w:val="1A1A1A"/>
          <w:sz w:val="20"/>
          <w:szCs w:val="20"/>
        </w:rPr>
        <w:t>Windows 재실행은 기본검증 중단과 회귀/UI 1개 실패 후, 기본 55개와 해당 UI 단독 재시험이 통과했다. 전체 222개 일괄 통과와 구분한다. AppTest는 화면 동작 검사이며 브라우저 픽셀 검사는 아니다. 실제 구동 화면과 해석은 부록 D에 제시한다.</w:t>
      </w:r>
    </w:p>
    <w:p>
      <w:pPr>
        <w:pStyle w:val="Heading2"/>
        <w:keepNext/>
        <w:spacing w:after="95" w:before="200"/>
      </w:pPr>
      <w:r>
        <w:rPr>
          <w:rFonts w:ascii="맑은 고딕" w:eastAsia="맑은 고딕" w:hAnsi="맑은 고딕" w:cs="맑은 고딕"/>
          <w:b/>
          <w:bCs/>
          <w:color w:val="2E5496"/>
          <w:sz w:val="21"/>
          <w:szCs w:val="21"/>
        </w:rPr>
        <w:t>6.2 동일 조건 실행 시간</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5800"/>
        <w:gridCol w:w="2000"/>
        <w:gridCol w:w="2000"/>
      </w:tblGrid>
      <w:tr>
        <w:trPr>
          <w:cantSplit/>
          <w:tblHeader/>
        </w:trPr>
        <w:tc>
          <w:tcPr>
            <w:tcW w:w="58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작업</w:t>
            </w:r>
          </w:p>
        </w:tc>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v2.5</w:t>
            </w:r>
          </w:p>
        </w:tc>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v2.6</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NIST_posZ 단면 검토</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3.923초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4.094초</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반지름 25 mm 구 단면 검토</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7.219초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5.173초</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같은 구의 기존 3D 분석</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9.529초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9.382초</w:t>
            </w:r>
          </w:p>
        </w:tc>
      </w:tr>
    </w:tbl>
    <w:p>
      <w:pPr>
        <w:spacing w:after="140"/>
      </w:pPr>
    </w:p>
    <w:p>
      <w:pPr>
        <w:spacing w:after="120" w:line="292"/>
      </w:pPr>
      <w:r>
        <w:rPr>
          <w:rFonts w:ascii="맑은 고딕" w:eastAsia="맑은 고딕" w:hAnsi="맑은 고딕" w:cs="맑은 고딕"/>
          <w:color w:val="1A1A1A"/>
          <w:sz w:val="20"/>
          <w:szCs w:val="20"/>
        </w:rPr>
        <w:t>같은 Linux 환경에서 +Z, 층 0.2 mm, 선폭 0.4 mm, 경사 45°로 각 1회 측정했다. 구는 삼각형 81,920개·250층이다. NIST의 총시간 개선은 없었으며, 고정 속도비나 통계적 유의성을 주장하지 않는다.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7. 한계</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자동 검증은 정해진 계산·판정·회귀 조건을 확인한 것이다. 현재 단면 경고의 실제 제조 위험에 대한 오탐·미검출률은 측정하지 않았다. 점수와 등급은 출력 성공률이나 표준 적합 인증이 아니다.</w:t>
      </w:r>
    </w:p>
    <w:p>
      <w:pPr>
        <w:spacing w:after="120" w:line="292"/>
      </w:pPr>
      <w:r>
        <w:rPr>
          <w:rFonts w:ascii="맑은 고딕" w:eastAsia="맑은 고딕" w:hAnsi="맑은 고딕" w:cs="맑은 고딕"/>
          <w:color w:val="1A1A1A"/>
          <w:sz w:val="20"/>
          <w:szCs w:val="20"/>
        </w:rPr>
        <w:t>법선 레이 거리는 곡면의 최소 벽두께와 다를 수 있고, 층보다 얇은 수평 특징은 표본 평면에서 누락될 수 있다. 실제 배출·제거성, 열변형·강도·표면 품질도 현재 기하 검토만으로 확정할 수 없다.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8. 다음 계획</w:t>
      </w:r>
    </w:p>
    <w:p>
      <w:pPr>
        <w:spacing w:after="120" w:line="292"/>
      </w:pPr>
      <w:r>
        <w:rPr>
          <w:rFonts w:ascii="맑은 고딕" w:eastAsia="맑은 고딕" w:hAnsi="맑은 고딕" w:cs="맑은 고딕"/>
          <w:color w:val="1A1A1A"/>
          <w:sz w:val="20"/>
          <w:szCs w:val="20"/>
        </w:rPr>
        <w:t>9월 말까지는 현재 FDM 기능의 재현성과 설명력을 높이는 데 집중한다. 준비한 규칙별 시연 형상 18개 중 대표 6~8개를 골라 설계 치수와 계산값을 대조하고, 경계값 사례를 보완한다. 시연 성공을 정확도 검증으로 대신하지 않으며, 보정용과 최종 확인용 사례를 구분한다.</w:t>
      </w:r>
    </w:p>
    <w:p>
      <w:pPr>
        <w:pStyle w:val="Heading2"/>
        <w:keepNext/>
        <w:spacing w:after="95" w:before="200"/>
      </w:pPr>
      <w:r>
        <w:rPr>
          <w:rFonts w:ascii="맑은 고딕" w:eastAsia="맑은 고딕" w:hAnsi="맑은 고딕" w:cs="맑은 고딕"/>
          <w:b/>
          <w:bCs/>
          <w:color w:val="2E5496"/>
          <w:sz w:val="21"/>
          <w:szCs w:val="21"/>
        </w:rPr>
        <w:t>8.1 9월의 우선 검증 범위</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4200"/>
        <w:gridCol w:w="35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단계</w:t>
            </w:r>
          </w:p>
        </w:tc>
        <w:tc>
          <w:tcPr>
            <w:tcW w:w="4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확인할 질문</w:t>
            </w:r>
          </w:p>
        </w:tc>
        <w:tc>
          <w:tcPr>
            <w:tcW w:w="35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산출물</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기하 기준 대조</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벽두께·간격·브리지의 설계 치수와 검출 위치가 맞는가?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대표 6~8개와 경계값 변형의 예상값·오차표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슬라이서 대조</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같은 높이의 경로와 지지 후보가 어떻게 다른가?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대표 3~4개 STL의 설정·단면·경로 비교</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결함 수정·재현</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확인한 오판정·표시 혼동을 줄이고 재현 가능한가?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우선 결함 1~2건 수정 또는 원인·제약 기록</w:t>
            </w:r>
          </w:p>
        </w:tc>
      </w:tr>
    </w:tbl>
    <w:p>
      <w:pPr>
        <w:spacing w:after="140"/>
      </w:pPr>
    </w:p>
    <w:p>
      <w:pPr>
        <w:spacing w:after="120" w:line="292"/>
      </w:pPr>
      <w:r>
        <w:rPr>
          <w:rFonts w:ascii="맑은 고딕" w:eastAsia="맑은 고딕" w:hAnsi="맑은 고딕" w:cs="맑은 고딕"/>
          <w:color w:val="1A1A1A"/>
          <w:sz w:val="20"/>
          <w:szCs w:val="20"/>
        </w:rPr>
        <w:t>예상값은 설계 치수와 독립 계산으로 정하고, 코드의 경고를 정답으로 쓰지 않는다. 슬라이서의 선폭·층 높이·메시 보정·서포트 조건을 기록한다. 대표 사례 수는 9월 작업 범위이며 통계적 충분성을 뜻하지 않는다.</w:t>
      </w:r>
    </w:p>
    <w:p>
      <w:pPr>
        <w:pStyle w:val="Heading2"/>
        <w:keepNext/>
        <w:spacing w:after="95" w:before="200"/>
      </w:pPr>
      <w:r>
        <w:rPr>
          <w:rFonts w:ascii="맑은 고딕" w:eastAsia="맑은 고딕" w:hAnsi="맑은 고딕" w:cs="맑은 고딕"/>
          <w:b/>
          <w:bCs/>
          <w:color w:val="2E5496"/>
          <w:sz w:val="21"/>
          <w:szCs w:val="21"/>
        </w:rPr>
        <w:t>8.2 9월 말까지 약 3주 추진안</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200"/>
        <w:gridCol w:w="4500"/>
        <w:gridCol w:w="4100"/>
      </w:tblGrid>
      <w:tr>
        <w:trPr>
          <w:cantSplit/>
          <w:tblHeader/>
        </w:trPr>
        <w:tc>
          <w:tcPr>
            <w:tcW w:w="1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기간</w:t>
            </w:r>
          </w:p>
        </w:tc>
        <w:tc>
          <w:tcPr>
            <w:tcW w:w="4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집중할 일</w:t>
            </w:r>
          </w:p>
        </w:tc>
        <w:tc>
          <w:tcPr>
            <w:tcW w:w="41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완료 기준</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9/14~20</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대표 형상·경계값 점검, 입력 상태와 경고 표시 정리</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6~8개 예상값·실행 기록, 설정·파일 해시 보존</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9/21~27</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3~4개 슬라이서 대조, 우선 결함 1~2건 수정</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차이 원인 기록, 수정 전후 비교와 관련 회귀 검사</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9/28~30</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최종 확인용 사례 재실행, 보고서·시연 정리</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미해결 한계 명시, 재현 절차와 시연 자료 완성</w:t>
            </w:r>
          </w:p>
        </w:tc>
      </w:tr>
    </w:tbl>
    <w:p>
      <w:pPr>
        <w:spacing w:after="140"/>
      </w:pPr>
    </w:p>
    <w:p>
      <w:pPr>
        <w:spacing w:after="120" w:line="292"/>
      </w:pPr>
      <w:r>
        <w:rPr>
          <w:rFonts w:ascii="맑은 고딕" w:eastAsia="맑은 고딕" w:hAnsi="맑은 고딕" w:cs="맑은 고딕"/>
          <w:color w:val="1A1A1A"/>
          <w:sz w:val="20"/>
          <w:szCs w:val="20"/>
        </w:rPr>
        <w:t>9월에는 자동 메시 복구 확대·수평 구멍 인식·STEP·AI 확장을 필수 목표로 잡지 않는다. 절삭·AI 확장은 후속 검토 대상으로 남긴다.[9,10] 장비·재료가 확보되면 대표 1~2개 시편의 예비 출력만 추가하고, 출력 검증·임계값 재보정 완료는 약속하지 않는다.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이번 미팅에서는 대상 장비·재료와 슬라이서 조건, 우선 검증 항목, 출력·측정 가능 범위를 협의한다. 월말 성과는 기능 수보다 재현 가능한 대조 결과와 확인한 한계로 평가한다.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9. 참고문헌</w:t>
      </w:r>
    </w:p>
    <w:p>
      <w:pPr>
        <w:ind w:left="440" w:hanging="440"/>
        <w:keepLines/>
        <w:spacing w:after="105" w:line="285"/>
      </w:pPr>
      <w:r>
        <w:rPr>
          <w:rFonts w:ascii="맑은 고딕" w:eastAsia="맑은 고딕" w:hAnsi="맑은 고딕" w:cs="맑은 고딕"/>
          <w:color w:val="1A1A1A"/>
          <w:sz w:val="19"/>
          <w:szCs w:val="19"/>
        </w:rPr>
        <w:t>[1] KS D ISO/ASTM 52910. 적층제조 — 설계 — 요구사항, 지침 및 권고사항. 제공본: 2024 확인, ISO/ASTM 52910:2018 IDT.</w:t>
      </w:r>
    </w:p>
    <w:p>
      <w:pPr>
        <w:ind w:left="440" w:hanging="440"/>
        <w:keepLines/>
        <w:spacing w:after="105" w:line="285"/>
      </w:pPr>
      <w:r>
        <w:rPr>
          <w:rFonts w:ascii="맑은 고딕" w:eastAsia="맑은 고딕" w:hAnsi="맑은 고딕" w:cs="맑은 고딕"/>
          <w:color w:val="1A1A1A"/>
          <w:sz w:val="19"/>
          <w:szCs w:val="19"/>
        </w:rPr>
        <w:t>[2] Oh, Y., Ko, H., Sprock, T., Bernstein, W. Z., &amp; Kwon, S. (2021). Part decomposition and evaluation based on standard design guidelines for additive manufacturability and assemblability. Additive Manufacturing, 37, 101702.</w:t>
      </w:r>
    </w:p>
    <w:p>
      <w:pPr>
        <w:ind w:left="440" w:hanging="440"/>
        <w:keepLines/>
        <w:spacing w:after="105" w:line="285"/>
      </w:pPr>
      <w:r>
        <w:rPr>
          <w:rFonts w:ascii="맑은 고딕" w:eastAsia="맑은 고딕" w:hAnsi="맑은 고딕" w:cs="맑은 고딕"/>
          <w:color w:val="1A1A1A"/>
          <w:sz w:val="19"/>
          <w:szCs w:val="19"/>
        </w:rPr>
        <w:t>[3] Stavropoulos, P., Tzimanis, K., Souflas, T., &amp; Bikas, H. (2022). Knowledge-based manufacturability assessment for optimization of additive manufacturing processes based on automated feature recognition from CAD models. The International Journal of Advanced Manufacturing Technology, 122, 993–1007.</w:t>
      </w:r>
    </w:p>
    <w:p>
      <w:pPr>
        <w:ind w:left="440" w:hanging="440"/>
        <w:keepLines/>
        <w:spacing w:after="105" w:line="285"/>
      </w:pPr>
      <w:r>
        <w:rPr>
          <w:rFonts w:ascii="맑은 고딕" w:eastAsia="맑은 고딕" w:hAnsi="맑은 고딕" w:cs="맑은 고딕"/>
          <w:color w:val="1A1A1A"/>
          <w:sz w:val="19"/>
          <w:szCs w:val="19"/>
        </w:rPr>
        <w:t>[4] Patterson, A. E., Chadha, C., &amp; Jasiuk, I. M. (2021). Identification and mapping of manufacturability constraints for extrusion-based additive manufacturing. Journal of Manufacturing and Materials Processing, 5(2), 33.</w:t>
      </w:r>
    </w:p>
    <w:p>
      <w:pPr>
        <w:ind w:left="440" w:hanging="440"/>
        <w:keepLines/>
        <w:spacing w:after="105" w:line="285"/>
      </w:pPr>
      <w:r>
        <w:rPr>
          <w:rFonts w:ascii="맑은 고딕" w:eastAsia="맑은 고딕" w:hAnsi="맑은 고딕" w:cs="맑은 고딕"/>
          <w:color w:val="1A1A1A"/>
          <w:sz w:val="19"/>
          <w:szCs w:val="19"/>
        </w:rPr>
        <w:t>[5] Jiang, J., Xu, X., &amp; Stringer, J. (2018). A new support strategy for reducing waste in additive manufacturing. CIE48 Proceedings, University of Auckland, paper 54.</w:t>
      </w:r>
    </w:p>
    <w:p>
      <w:pPr>
        <w:ind w:left="440" w:hanging="440"/>
        <w:keepLines/>
        <w:spacing w:after="105" w:line="285"/>
      </w:pPr>
      <w:r>
        <w:rPr>
          <w:rFonts w:ascii="맑은 고딕" w:eastAsia="맑은 고딕" w:hAnsi="맑은 고딕" w:cs="맑은 고딕"/>
          <w:color w:val="1A1A1A"/>
          <w:sz w:val="19"/>
          <w:szCs w:val="19"/>
        </w:rPr>
        <w:t>[6] Medellin-Castillo, H. I., &amp; Zaragoza-Siqueiros, J. (2019). Design and manufacturing strategies for fused deposition modelling in additive manufacturing: A review. Chinese Journal of Mechanical Engineering, 32, 53.</w:t>
      </w:r>
    </w:p>
    <w:p>
      <w:pPr>
        <w:ind w:left="440" w:hanging="440"/>
        <w:keepLines/>
        <w:spacing w:after="105" w:line="285"/>
      </w:pPr>
      <w:r>
        <w:rPr>
          <w:rFonts w:ascii="맑은 고딕" w:eastAsia="맑은 고딕" w:hAnsi="맑은 고딕" w:cs="맑은 고딕"/>
          <w:color w:val="1A1A1A"/>
          <w:sz w:val="19"/>
          <w:szCs w:val="19"/>
        </w:rPr>
        <w:t>[7] Alafaghani, A., Qattawi, A., &amp; Ablat, M. A. (2017). Design consideration for additive manufacturing: Fused deposition modelling. Open Journal of Applied Sciences, 7(6), 291–318.</w:t>
      </w:r>
    </w:p>
    <w:p>
      <w:pPr>
        <w:ind w:left="440" w:hanging="440"/>
        <w:keepLines/>
        <w:spacing w:after="105" w:line="285"/>
      </w:pPr>
      <w:r>
        <w:rPr>
          <w:rFonts w:ascii="맑은 고딕" w:eastAsia="맑은 고딕" w:hAnsi="맑은 고딕" w:cs="맑은 고딕"/>
          <w:color w:val="1A1A1A"/>
          <w:sz w:val="19"/>
          <w:szCs w:val="19"/>
        </w:rPr>
        <w:t>[8] KS D ISO/ASTM 52902. 적층제조 — 시험 제작물 — 적층제조 시스템의 기하학적 성능평가.</w:t>
      </w:r>
    </w:p>
    <w:p>
      <w:pPr>
        <w:ind w:left="440" w:hanging="440"/>
        <w:keepLines/>
        <w:spacing w:after="105" w:line="285"/>
      </w:pPr>
      <w:r>
        <w:rPr>
          <w:rFonts w:ascii="맑은 고딕" w:eastAsia="맑은 고딕" w:hAnsi="맑은 고딕" w:cs="맑은 고딕"/>
          <w:color w:val="1A1A1A"/>
          <w:sz w:val="19"/>
          <w:szCs w:val="19"/>
        </w:rPr>
        <w:t>[9] Kerbrat, O., Mognol, P., &amp; Hascoët, J.-Y. (2011). A new DFM approach to combine machining and additive manufacturing. Computers in Industry, 62(7), 684–692.</w:t>
      </w:r>
    </w:p>
    <w:p>
      <w:pPr>
        <w:ind w:left="440" w:hanging="440"/>
        <w:keepLines/>
        <w:spacing w:after="105" w:line="285"/>
      </w:pPr>
      <w:r>
        <w:rPr>
          <w:rFonts w:ascii="맑은 고딕" w:eastAsia="맑은 고딕" w:hAnsi="맑은 고딕" w:cs="맑은 고딕"/>
          <w:color w:val="1A1A1A"/>
          <w:sz w:val="19"/>
          <w:szCs w:val="19"/>
        </w:rPr>
        <w:t>[10] Ko, M., Yoon, Y., Kim, J., Kim, S., &amp; Kwon, S. (2025). D-ECOmposer: Sustainable part decomposition for additive manufacturing using machine learning based life cycle assessment. Additive Manufacturing, 103, 104759. DOI: 10.1016/j.addma.2025.104759.</w:t>
      </w:r>
    </w:p>
    <w:p>
      <w:pPr>
        <w:keepLines/>
        <w:spacing w:after="105" w:line="285"/>
      </w:pPr>
    </w:p>
    <w:p>
      <w:pPr>
        <w:pageBreakBefore/>
        <w:pBdr>
          <w:bottom w:val="double" w:sz="6" w:space="5" w:color="1F3864"/>
        </w:pBdr>
        <w:spacing w:after="150"/>
      </w:pPr>
      <w:r>
        <w:rPr>
          <w:rFonts w:ascii="맑은 고딕" w:eastAsia="맑은 고딕" w:hAnsi="맑은 고딕" w:cs="맑은 고딕"/>
          <w:b/>
          <w:bCs/>
          <w:color w:val="1F3864"/>
          <w:sz w:val="28"/>
          <w:szCs w:val="28"/>
        </w:rPr>
        <w:t>부록</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부록 A. 평가 규칙과 판정 범위</w:t>
      </w:r>
    </w:p>
    <w:p>
      <w:pPr>
        <w:pStyle w:val="Heading2"/>
        <w:keepNext/>
        <w:spacing w:after="95" w:before="200"/>
      </w:pPr>
      <w:r>
        <w:rPr>
          <w:rFonts w:ascii="맑은 고딕" w:eastAsia="맑은 고딕" w:hAnsi="맑은 고딕" w:cs="맑은 고딕"/>
          <w:b/>
          <w:bCs/>
          <w:color w:val="2E5496"/>
          <w:sz w:val="21"/>
          <w:szCs w:val="21"/>
        </w:rPr>
        <w:t>A.1 하드 게이트</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200"/>
        <w:gridCol w:w="5600"/>
        <w:gridCol w:w="2000"/>
      </w:tblGrid>
      <w:tr>
        <w:trPr>
          <w:cantSplit/>
          <w:tblHeader/>
        </w:trPr>
        <w:tc>
          <w:tcPr>
            <w:tcW w:w="2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게이트</w:t>
            </w:r>
          </w:p>
        </w:tc>
        <w:tc>
          <w:tcPr>
            <w:tcW w:w="56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 내용</w:t>
            </w:r>
          </w:p>
        </w:tc>
        <w:tc>
          <w:tcPr>
            <w:tcW w:w="2000" w:type="dxa"/>
            <w:shd w:val="clear" w:color="auto" w:fill="E8EDF3"/>
            <w:tcMar>
              <w:top w:w="58" w:type="dxa"/>
              <w:left w:w="100" w:type="dxa"/>
              <w:bottom w:w="58" w:type="dxa"/>
              <w:right w:w="100" w:type="dxa"/>
            </w:tcMar>
            <w:vAlign w:val="center"/>
          </w:tcPr>
          <w:p>
            <w:pPr>
              <w:keepNext/>
              <w:jc w:val="center"/>
              <w:spacing w:after="0" w:line="262"/>
            </w:pPr>
            <w:r>
              <w:rPr>
                <w:lang w:eastAsia="ko-KR"/>
                <w:rFonts w:ascii="맑은 고딕" w:eastAsia="맑은 고딕" w:hAnsi="맑은 고딕" w:cs="맑은 고딕"/>
                <w:b/>
                <w:bCs/>
                <w:color w:val="1F3864"/>
                <w:sz w:val="18"/>
                <w:szCs w:val="18"/>
                <w:rtl w:val="off"/>
              </w:rPr>
              <w:t xml:space="preserve">관련 표준 </w:t>
            </w:r>
            <w:r>
              <w:rPr>
                <w:rFonts w:ascii="맑은 고딕" w:eastAsia="맑은 고딕" w:hAnsi="맑은 고딕" w:cs="맑은 고딕"/>
                <w:b/>
                <w:bCs/>
                <w:color w:val="1F3864"/>
                <w:sz w:val="18"/>
                <w:szCs w:val="18"/>
              </w:rPr>
              <w:t>절[1]</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메시 무결성</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현재 3D 분석을 지지할 닫힘·방향·입력 조건</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6.6.11</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밀폐 공동</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닫힌 내부 껍질 검출, 분말·레진 프로필 제약</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7.4</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장비 수용</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0°/90° 배치의 부품 외곽 크기와 장비 크기</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6.6.8</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최소 벽두께</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FDM 0.4 mm 기본 하한과 얇은 후보 재확인</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6.6.10</w:t>
            </w:r>
          </w:p>
        </w:tc>
      </w:tr>
    </w:tbl>
    <w:p>
      <w:pPr>
        <w:spacing w:after="140"/>
      </w:pPr>
    </w:p>
    <w:p>
      <w:pPr>
        <w:spacing w:after="120" w:line="292"/>
      </w:pPr>
      <w:r>
        <w:rPr>
          <w:rFonts w:ascii="맑은 고딕" w:eastAsia="맑은 고딕" w:hAnsi="맑은 고딕" w:cs="맑은 고딕"/>
          <w:color w:val="1A1A1A"/>
          <w:sz w:val="20"/>
          <w:szCs w:val="20"/>
        </w:rPr>
        <w:t>게이트는 종합 점수의 산출 여부를 정하는 정책이다. 입력 부적합, 측정 근거 부족, 프로필 위반을 구분한다. 통과는 출력 성공을 보장하지 않으며, 배출 통로 검출도 실제 분말·레진 배출성 검증을 대신하지 않는다.</w:t>
      </w:r>
    </w:p>
    <w:p>
      <w:pPr>
        <w:pStyle w:val="Heading2"/>
        <w:keepNext/>
        <w:spacing w:after="95" w:before="200"/>
      </w:pPr>
      <w:r>
        <w:rPr>
          <w:rFonts w:ascii="맑은 고딕" w:eastAsia="맑은 고딕" w:hAnsi="맑은 고딕" w:cs="맑은 고딕"/>
          <w:b/>
          <w:bCs/>
          <w:color w:val="2E5496"/>
          <w:sz w:val="21"/>
          <w:szCs w:val="21"/>
        </w:rPr>
        <w:t>A.2 소프트 규칙</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300"/>
        <w:gridCol w:w="950"/>
        <w:gridCol w:w="4850"/>
        <w:gridCol w:w="1700"/>
      </w:tblGrid>
      <w:tr>
        <w:trPr>
          <w:cantSplit/>
          <w:tblHeader/>
        </w:trPr>
        <w:tc>
          <w:tcPr>
            <w:tcW w:w="2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규칙</w:t>
            </w:r>
          </w:p>
        </w:tc>
        <w:tc>
          <w:tcPr>
            <w:tcW w:w="9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가중치</w:t>
            </w:r>
          </w:p>
        </w:tc>
        <w:tc>
          <w:tcPr>
            <w:tcW w:w="48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계산량 / FDM 기본 기준</w:t>
            </w:r>
          </w:p>
        </w:tc>
        <w:tc>
          <w:tcPr>
            <w:tcW w:w="17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 xml:space="preserve">관련 </w:t>
            </w:r>
            <w:r>
              <w:rPr>
                <w:lang w:eastAsia="ko-KR"/>
                <w:rFonts w:ascii="맑은 고딕" w:eastAsia="맑은 고딕" w:hAnsi="맑은 고딕" w:cs="맑은 고딕"/>
                <w:b/>
                <w:bCs/>
                <w:color w:val="1F3864"/>
                <w:sz w:val="18"/>
                <w:szCs w:val="18"/>
                <w:rtl w:val="off"/>
              </w:rPr>
              <w:t xml:space="preserve">표준 </w:t>
            </w:r>
            <w:r>
              <w:rPr>
                <w:rFonts w:ascii="맑은 고딕" w:eastAsia="맑은 고딕" w:hAnsi="맑은 고딕" w:cs="맑은 고딕"/>
                <w:b/>
                <w:bCs/>
                <w:color w:val="1F3864"/>
                <w:sz w:val="18"/>
                <w:szCs w:val="18"/>
              </w:rPr>
              <w:t>절 [1]</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0.20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면적 가중 법선 관통거리 5백분위 / 1 mm</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6.6.10 · 7.3</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오버행 면적 비율</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0.20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하향 위험면의 비율 / 30%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6.6.9 · 7.2</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서포트 부피 비율</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0.15</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경험식 추정 부피 / 부품 부피 / 0.5</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7.2 · 6.8.3.1</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계단 효과</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0.10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평균 기하 계단 높이 / 층 높이 / 0.5</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6.6.3 · 7.5</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두께 변화</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0.08</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국소 관통거리 비 / 기본 비활성</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7.3</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종횡비</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0.08</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높이 / 최소 수평 폭 / 10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6.6.5</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형상 간격</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0.07</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바깥 법선 레이 교차거리 5백분위 / 0.5 mm</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6.6.6</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빌드 볼륨 여유</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0.04</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최대 축 점유율 / 80%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6.6.8</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최소 특징</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0.05</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복셀 오프닝 소실 부피 비율 / 기본 비활성</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6.6.4 · 7.9</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수평 구멍</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0.03</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현재 인식기 미구현 / N/A</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7.4 · 6.6.6</w:t>
            </w:r>
          </w:p>
        </w:tc>
      </w:tr>
    </w:tbl>
    <w:p>
      <w:pPr>
        <w:spacing w:after="140"/>
      </w:pPr>
    </w:p>
    <w:p>
      <w:pPr>
        <w:spacing w:after="120" w:line="292"/>
      </w:pPr>
      <w:r>
        <w:rPr>
          <w:rFonts w:ascii="맑은 고딕" w:eastAsia="맑은 고딕" w:hAnsi="맑은 고딕" w:cs="맑은 고딕"/>
          <w:color w:val="1A1A1A"/>
          <w:sz w:val="20"/>
          <w:szCs w:val="20"/>
        </w:rPr>
        <w:t>가중치와 등급 경계는 모두 개발 판단이다. 기본 FDM은 7개 규칙을 평가하며, N/A의 가중치는 나머지에 비례 재분배한다. 검사 범위가 다른 결과를 총점만으로 직접 비교하지 않는다.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B. 임계값을 정한 개발상의 이유</w:t>
      </w:r>
    </w:p>
    <w:p>
      <w:pPr>
        <w:pStyle w:val="Heading2"/>
        <w:keepNext/>
        <w:spacing w:after="95" w:before="200"/>
      </w:pPr>
      <w:r>
        <w:rPr>
          <w:rFonts w:ascii="맑은 고딕" w:eastAsia="맑은 고딕" w:hAnsi="맑은 고딕" w:cs="맑은 고딕"/>
          <w:b/>
          <w:bCs/>
          <w:color w:val="2E5496"/>
          <w:sz w:val="21"/>
          <w:szCs w:val="21"/>
        </w:rPr>
        <w:t>B.1 오버행 30%와 서포트 비율 50%</w:t>
      </w:r>
    </w:p>
    <w:p>
      <w:pPr>
        <w:spacing w:after="120" w:line="292"/>
      </w:pPr>
      <w:r>
        <w:rPr>
          <w:rFonts w:ascii="맑은 고딕" w:eastAsia="맑은 고딕" w:hAnsi="맑은 고딕" w:cs="맑은 고딕"/>
          <w:color w:val="1A1A1A"/>
          <w:sz w:val="20"/>
          <w:szCs w:val="20"/>
        </w:rPr>
        <w:t>오버행 비율은 하향 위험면의 비중을, 서포트 비율은 부품 대비 추가 재료 부담을 비교하기 위해 사용한다. 서로 크기가 다른 부품의 절대 면적·부피만 비교하지 않도록 비율로 표현한다. 현재 30%와 50%는 경고와 점수 변환의 초기 기준이며, 코드에도 제조 위험·비용의 허용선을 실측하지 않았다고 기록돼 있다.</w:t>
      </w:r>
      <w:r>
        <w:rPr>
          <w:lang w:eastAsia="ko-KR"/>
          <w:rFonts w:ascii="맑은 고딕" w:eastAsia="맑은 고딕" w:hAnsi="맑은 고딕" w:cs="맑은 고딕"/>
          <w:color w:val="1A1A1A"/>
          <w:sz w:val="20"/>
          <w:szCs w:val="20"/>
          <w:rtl w:val="off"/>
        </w:rPr>
        <w:t xml:space="preserve"> </w:t>
      </w:r>
    </w:p>
    <w:p>
      <w:pPr>
        <w:spacing w:after="120" w:line="292"/>
      </w:pPr>
      <w:r>
        <w:rPr>
          <w:rFonts w:ascii="맑은 고딕" w:eastAsia="맑은 고딕" w:hAnsi="맑은 고딕" w:cs="맑은 고딕"/>
          <w:color w:val="1A1A1A"/>
          <w:sz w:val="20"/>
          <w:szCs w:val="20"/>
        </w:rPr>
        <w:t>코드상 오버행 비율 15% 이하는 100점, 30%는 50점, 60% 이상은 0점이다. 서포트 비율은 25% 이하 100점, 50%에서 50점, 100% 이상 0점이다. 경계에서 점수가 연속적으로 변하도록 구성했지만, 이 곡선과 숫자가 실제 실패율·원가를 나타내도록 보정된 것은 아니다.</w:t>
      </w:r>
    </w:p>
    <w:p>
      <w:pPr>
        <w:pStyle w:val="Heading2"/>
        <w:keepNext/>
        <w:spacing w:after="95" w:before="200"/>
      </w:pPr>
      <w:r>
        <w:rPr>
          <w:rFonts w:ascii="맑은 고딕" w:eastAsia="맑은 고딕" w:hAnsi="맑은 고딕" w:cs="맑은 고딕"/>
          <w:b/>
          <w:bCs/>
          <w:color w:val="2E5496"/>
          <w:sz w:val="21"/>
          <w:szCs w:val="21"/>
        </w:rPr>
        <w:t>B.2 종횡비 10과 벽두께 0.4 mm</w:t>
      </w:r>
    </w:p>
    <w:p>
      <w:pPr>
        <w:spacing w:after="120" w:line="292"/>
      </w:pPr>
      <w:r>
        <w:rPr>
          <w:rFonts w:ascii="맑은 고딕" w:eastAsia="맑은 고딕" w:hAnsi="맑은 고딕" w:cs="맑은 고딕"/>
          <w:color w:val="1A1A1A"/>
          <w:sz w:val="20"/>
          <w:szCs w:val="20"/>
        </w:rPr>
        <w:t>종횡비는 길고 가는 형상의 휨·넘어짐 위험을 살피기 위한 대용 지표다. 최대 수평 폭을 쓰면 얇은 판이 낮은 위험으로 평가돼, 현재는 빌드 방향 높이를 최소 수평 폭으로 나눈다. 10은 초기 비교 기준이며 접착·브림·재료·하중을 반영한 전도 한계가 아니다. 점수는 3 이하 100점, 10에서 50점, 20 이상 0점이다.</w:t>
      </w:r>
    </w:p>
    <w:p>
      <w:pPr>
        <w:spacing w:after="120" w:line="292"/>
      </w:pPr>
      <w:r>
        <w:rPr>
          <w:rFonts w:ascii="맑은 고딕" w:eastAsia="맑은 고딕" w:hAnsi="맑은 고딕" w:cs="맑은 고딕"/>
          <w:color w:val="1A1A1A"/>
          <w:sz w:val="20"/>
          <w:szCs w:val="20"/>
        </w:rPr>
        <w:t>벽두께 하한 0.4 mm는 기본 노즐 직경을 참고한 보수적 프로필 값이다. 노즐 직경이 보편적 최소 출력 두께라는 뜻은 아니다. 권장 벽두께 1 mm는 압출선 2~3줄 확보라는 관행을 참고한 값이며, 구체적인 제조사 지침과 적용 조건은 추가 확인이 필요하다.</w:t>
      </w:r>
    </w:p>
    <w:p>
      <w:pPr>
        <w:pStyle w:val="Heading2"/>
        <w:keepNext/>
        <w:spacing w:after="95" w:before="200"/>
      </w:pPr>
      <w:r>
        <w:rPr>
          <w:rFonts w:ascii="맑은 고딕" w:eastAsia="맑은 고딕" w:hAnsi="맑은 고딕" w:cs="맑은 고딕"/>
          <w:b/>
          <w:bCs/>
          <w:color w:val="2E5496"/>
          <w:sz w:val="21"/>
          <w:szCs w:val="21"/>
        </w:rPr>
        <w:t>B.3 벽두께 후보를 3점에서 확인하는 이유</w:t>
      </w:r>
    </w:p>
    <w:p>
      <w:pPr>
        <w:spacing w:after="120" w:line="292"/>
      </w:pPr>
      <w:r>
        <w:rPr>
          <w:rFonts w:ascii="맑은 고딕" w:eastAsia="맑은 고딕" w:hAnsi="맑은 고딕" w:cs="맑은 고딕"/>
          <w:color w:val="1A1A1A"/>
          <w:sz w:val="20"/>
          <w:szCs w:val="20"/>
        </w:rPr>
        <w:t>최솟값 하나는 측정 이상치에 민감하고, 백분위수만 쓰면 면적이 작은 얇은 부분을 놓칠 수 있다. 또한 레이 두 개가 같은 모서리 오류를 공유할 수 있다. 따라서 의심된 후보 면의 내부 3점에서 반대편 비인접 면까지 거리를 재확인한다. 세 점 모두 하한 미만이며 공간적 범위를 가져야 얇은 영역으로 확증한다.</w:t>
      </w:r>
    </w:p>
    <w:p>
      <w:pPr>
        <w:spacing w:after="120" w:line="292"/>
      </w:pPr>
      <w:r>
        <w:rPr>
          <w:rFonts w:ascii="맑은 고딕" w:eastAsia="맑은 고딕" w:hAnsi="맑은 고딕" w:cs="맑은 고딕"/>
          <w:color w:val="1A1A1A"/>
          <w:sz w:val="20"/>
          <w:szCs w:val="20"/>
        </w:rPr>
        <w:t>대향 법선 코사인 0.85, 공간 범위 max(하한/4, 10×수치 오프셋), 후보 면 최대 128개는 기하 근거와 계산량을 관리하는 휴리스틱이다. 표준 지정값이 아니며, 확증 실패나 계산 한도에 걸린 의심은 통과로 바꾸지 않는다.</w:t>
      </w:r>
    </w:p>
    <w:p>
      <w:pPr>
        <w:pStyle w:val="Heading2"/>
        <w:keepNext/>
        <w:spacing w:after="95" w:before="200"/>
      </w:pPr>
      <w:r>
        <w:rPr>
          <w:rFonts w:ascii="맑은 고딕" w:eastAsia="맑은 고딕" w:hAnsi="맑은 고딕" w:cs="맑은 고딕"/>
          <w:b/>
          <w:bCs/>
          <w:color w:val="2E5496"/>
          <w:sz w:val="21"/>
          <w:szCs w:val="21"/>
        </w:rPr>
        <w:t>B.4 작은 후보의 표시 기준</w:t>
      </w:r>
    </w:p>
    <w:p>
      <w:pPr>
        <w:spacing w:after="120" w:line="292"/>
      </w:pPr>
      <w:r>
        <w:rPr>
          <w:rFonts w:ascii="맑은 고딕" w:eastAsia="맑은 고딕" w:hAnsi="맑은 고딕" w:cs="맑은 고딕"/>
          <w:color w:val="1A1A1A"/>
          <w:sz w:val="20"/>
          <w:szCs w:val="20"/>
        </w:rPr>
        <w:t>0.01×선폭²는 v2.4 검토에서 작은 오프셋 잔여가 경고를 과도하게 만드는 문제를 줄이려고 제안한 기준이다. 선폭 0.4 mm이면 0.0016 mm²다. 1%가 최적이라는 실험 근거는 없다. 후보량은 작은 세부로 보존하고, 재료 성분 전체의 소실·지지 부재 등은 크기와 무관하게 우선 검토에 남긴다.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B. 임계값을 정한 개발상의 이유 (계속)</w:t>
      </w:r>
    </w:p>
    <w:p>
      <w:pPr>
        <w:pStyle w:val="Heading2"/>
        <w:keepNext/>
        <w:spacing w:after="95" w:before="200"/>
      </w:pPr>
      <w:r>
        <w:rPr>
          <w:rFonts w:ascii="맑은 고딕" w:eastAsia="맑은 고딕" w:hAnsi="맑은 고딕" w:cs="맑은 고딕"/>
          <w:b/>
          <w:bCs/>
          <w:color w:val="2E5496"/>
          <w:sz w:val="21"/>
          <w:szCs w:val="21"/>
        </w:rPr>
        <w:t>B.5 관행·문헌값과 나머지 판단값</w:t>
      </w:r>
    </w:p>
    <w:p>
      <w:pPr>
        <w:spacing w:after="120" w:line="292"/>
      </w:pPr>
      <w:r>
        <w:rPr>
          <w:rFonts w:ascii="맑은 고딕" w:eastAsia="맑은 고딕" w:hAnsi="맑은 고딕" w:cs="맑은 고딕"/>
          <w:color w:val="1A1A1A"/>
          <w:sz w:val="20"/>
          <w:szCs w:val="20"/>
        </w:rPr>
        <w:t>오버행 45°는 통용 설정을 참고한 기본값이다. Jiang의 실측은 수평면 기준 40°이며, 45°를 쓰면 그 조건에서는 40~45°도 경고한다. 모든 장비에서 보수적이라는 뜻은 아니다. 같은 문헌의 브리지 2 mm는 Kossel Delta, PLA, 노즐 0.4 mm, 층 0.2 mm, 190°C, 20 mm/s, 팬 250 RPM, 충전 30%, 처짐 허용 0.15 mm 조건의 결과다.[5]</w:t>
      </w:r>
    </w:p>
    <w:p>
      <w:pPr>
        <w:spacing w:after="120" w:line="292"/>
      </w:pPr>
      <w:r>
        <w:rPr>
          <w:rFonts w:ascii="맑은 고딕" w:eastAsia="맑은 고딕" w:hAnsi="맑은 고딕" w:cs="맑은 고딕"/>
          <w:color w:val="1A1A1A"/>
          <w:sz w:val="20"/>
          <w:szCs w:val="20"/>
        </w:rPr>
        <w:t>층 높이와 선폭은 사용자 설정이다. 계단 높이는 기하식으로 계산하지만, 층 높이로 나눈 비율 0.5는 용도별 허용 품질이 정해지지 않은 판단값이다. 실제 표면 거칠기와 같지 않으며, 이 비율은 층 높이 자체의 감소 효과를 그대로 나타내지 않는다.</w:t>
      </w:r>
    </w:p>
    <w:p>
      <w:pPr>
        <w:spacing w:after="120" w:line="292"/>
      </w:pPr>
      <w:r>
        <w:rPr>
          <w:rFonts w:ascii="맑은 고딕" w:eastAsia="맑은 고딕" w:hAnsi="맑은 고딕" w:cs="맑은 고딕"/>
          <w:color w:val="1A1A1A"/>
          <w:sz w:val="20"/>
          <w:szCs w:val="20"/>
        </w:rPr>
        <w:t>빌드 점유율은 코드상 40% 이하 100점, 80%에서 50점, 100%에서 0점이다. 80% 선택의 실증 근거는 별도 확보되지 않았다. 최소 특징 크기 0.8 mm와 간격 0.5 mm는 노즐·선폭 관행을 참고했으며, 두께 변화 비 3 및 특징 소실률 1%도 실제 부품군으로 보정해야 한다. 두께 변화·최소 특징 검사는 기본 비활성이다.</w:t>
      </w:r>
    </w:p>
    <w:p>
      <w:pPr>
        <w:spacing w:after="120" w:line="292"/>
      </w:pPr>
      <w:r>
        <w:rPr>
          <w:rFonts w:ascii="맑은 고딕" w:eastAsia="맑은 고딕" w:hAnsi="맑은 고딕" w:cs="맑은 고딕"/>
          <w:color w:val="1A1A1A"/>
          <w:sz w:val="20"/>
          <w:szCs w:val="20"/>
        </w:rPr>
        <w:t>가중치는 초기 개발에서 벽두께·오버행 등 위험의 심각도를 반영하려고 배분했다. 정확히 0.20이어야 한다는 검증은 없으며 90/80/70/60의 등급 경계도 잠정값이다. AHP는 전문가 판단을 체계화하는 방법이고, 그 결과의 제조 타당성은 별도로 검증해야 한다.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부록 C. 서포트 모델과 검증 해석</w:t>
      </w:r>
    </w:p>
    <w:p>
      <w:pPr>
        <w:spacing w:after="120" w:line="292"/>
      </w:pPr>
      <w:r>
        <w:rPr>
          <w:rFonts w:ascii="맑은 고딕" w:eastAsia="맑은 고딕" w:hAnsi="맑은 고딕" w:cs="맑은 고딕"/>
          <w:color w:val="1A1A1A"/>
          <w:sz w:val="20"/>
          <w:szCs w:val="20"/>
        </w:rPr>
        <w:t>서포트는 연결된 오버행 영역별 수평 투영 면적 A, 투영 경계 둘레 P, 하부 표면까지의 대표 높이 h를 이용한 2항 경험식으로 추정한다. h는 레이 측정에 기반한 면적 가중 평균이다.</w:t>
      </w:r>
    </w:p>
    <w:p>
      <w:pPr>
        <w:jc w:val="center"/>
        <w:spacing w:after="140" w:before="110"/>
      </w:pPr>
      <w:r>
        <w:rPr>
          <w:rFonts w:ascii="Cambria Math" w:eastAsia="Cambria Math" w:hAnsi="Cambria Math" w:cs="Cambria Math"/>
          <w:i/>
          <w:iCs/>
          <w:sz w:val="23"/>
          <w:szCs w:val="23"/>
        </w:rPr>
        <w:t>V = a · Σ(A · h)  +  b · Σ(P · h)</w:t>
      </w:r>
    </w:p>
    <w:p>
      <w:pPr>
        <w:spacing w:after="120" w:line="292"/>
      </w:pPr>
      <w:r>
        <w:rPr>
          <w:rFonts w:ascii="맑은 고딕" w:eastAsia="맑은 고딕" w:hAnsi="맑은 고딕" w:cs="맑은 고딕"/>
          <w:color w:val="1A1A1A"/>
          <w:sz w:val="20"/>
          <w:szCs w:val="20"/>
        </w:rPr>
        <w:t>Cura 24건에 맞춘 계수는 a=0.165, b=0.2715 mm다. 초기 부피항만으로는 작은 지지 영역이 많은 NIST 방향의 재료량을 과소추정해 둘레항을 추가했다. 둘레항은 벽 등 추가 재료를 포괄하는 보정이며, 인터페이스 전체가 둘레에 비례한다는 물리 법칙은 아니다.</w:t>
      </w:r>
    </w:p>
    <w:p>
      <w:pPr>
        <w:spacing w:after="120" w:line="292"/>
      </w:pPr>
      <w:r>
        <w:rPr>
          <w:rFonts w:ascii="맑은 고딕" w:eastAsia="맑은 고딕" w:hAnsi="맑은 고딕" w:cs="맑은 고딕"/>
          <w:color w:val="1A1A1A"/>
          <w:sz w:val="20"/>
          <w:szCs w:val="20"/>
        </w:rPr>
        <w:t>같은 24건에서 부피항만의 R²는 약 0.715, 부피+둘레는 약 0.978이었다. 면적항을 더한 3항식의 음의 계수만으로 음의 전체 부피나 과적합을 단정할 수는 없다. 현재는 적합도 개선이 작고 해석이 복잡해지는 점을 고려한 2항식의 잠정 선택이며, 새 부품에서 비교가 필요하다.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24건은 네 형상의 여섯 방향이다. 서포트 ON/OFF 필라멘트 차분은 유용한 대용 측정이지만 경로·인터페이스 변화가 섞일 수 있다. R²는 동일 자료에 대한 적합도이며 실제 출력 또는 새 부품의 예측 성능을 뜻하지 않는다.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D. 복합 형상의 실제 구동 사례</w:t>
      </w:r>
    </w:p>
    <w:p>
      <w:pPr>
        <w:spacing w:after="120" w:line="292"/>
      </w:pPr>
      <w:r>
        <w:rPr>
          <w:rFonts w:ascii="맑은 고딕" w:eastAsia="맑은 고딕" w:hAnsi="맑은 고딕" w:cs="맑은 고딕"/>
          <w:color w:val="1A1A1A"/>
          <w:sz w:val="20"/>
          <w:szCs w:val="20"/>
        </w:rPr>
        <w:t>AM_DFM_demo.stl · v2.6 · 원본 메시 · 단위 mm · FDM · +Z 방향. 아래 두 화면은 같은 형상의 벽두께 검토 결과를 보여준다.</w:t>
      </w:r>
    </w:p>
    <w:p>
      <w:pPr>
        <w:keepNext/>
        <w:spacing w:after="60"/>
      </w:pPr>
      <w:r>
        <w:drawing>
          <wp:inline distT="0" distB="0" distL="180" distR="180">
            <wp:extent cx="6080760" cy="2712539"/>
            <wp:effectExtent l="0" t="0" r="0" b="0"/>
            <wp:docPr id="1025" name="Picture 1"/>
            <wp:cNvGraphicFramePr/>
            <a:graphic xmlns:a="http://schemas.openxmlformats.org/drawingml/2006/main">
              <a:graphicData uri="http://schemas.openxmlformats.org/drawingml/2006/picture">
                <pic:pic xmlns:pic="http://schemas.openxmlformats.org/drawingml/2006/picture">
                  <pic:nvPicPr>
                    <pic:cNvPr id="1025" name="Picture 1"/>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6080760" cy="2712539"/>
                    </a:xfrm>
                    <a:prstGeom prst="rect">
                      <a:avLst/>
                    </a:prstGeom>
                  </pic:spPr>
                </pic:pic>
              </a:graphicData>
            </a:graphic>
          </wp:inline>
        </w:drawing>
      </w:r>
    </w:p>
    <w:p>
      <w:pPr>
        <w:spacing w:after="140" w:line="292"/>
      </w:pPr>
      <w:r>
        <w:rPr>
          <w:rFonts w:ascii="맑은 고딕" w:eastAsia="맑은 고딕" w:hAnsi="맑은 고딕" w:cs="맑은 고딕"/>
          <w:color w:val="1A1A1A"/>
          <w:sz w:val="20"/>
          <w:szCs w:val="20"/>
        </w:rPr>
        <w:t>그림 D-1. 권장 벽두께 미만으로 측정된 표본 면의 위치 표시</w:t>
      </w:r>
    </w:p>
    <w:p>
      <w:pPr>
        <w:keepNext/>
        <w:spacing w:after="60"/>
      </w:pPr>
      <w:r>
        <w:drawing>
          <wp:inline distT="0" distB="0" distL="180" distR="180">
            <wp:extent cx="6080760" cy="1069681"/>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6080760" cy="1069681"/>
                    </a:xfrm>
                    <a:prstGeom prst="rect">
                      <a:avLst/>
                    </a:prstGeom>
                  </pic:spPr>
                </pic:pic>
              </a:graphicData>
            </a:graphic>
          </wp:inline>
        </w:drawing>
      </w:r>
    </w:p>
    <w:p>
      <w:pPr>
        <w:spacing w:after="140" w:line="292"/>
      </w:pPr>
      <w:r>
        <w:rPr>
          <w:rFonts w:ascii="맑은 고딕" w:eastAsia="맑은 고딕" w:hAnsi="맑은 고딕" w:cs="맑은 고딕"/>
          <w:color w:val="1A1A1A"/>
          <w:sz w:val="20"/>
          <w:szCs w:val="20"/>
        </w:rPr>
        <w:t>그림 D-2. 벽두께 대표값과 표본 최솟값을 함께 제공하는 상세 결과</w:t>
      </w:r>
    </w:p>
    <w:p>
      <w:pPr>
        <w:spacing w:after="120" w:line="292"/>
      </w:pPr>
      <w:r>
        <w:rPr>
          <w:rFonts w:ascii="맑은 고딕" w:eastAsia="맑은 고딕" w:hAnsi="맑은 고딕" w:cs="맑은 고딕"/>
          <w:color w:val="1A1A1A"/>
          <w:sz w:val="20"/>
          <w:szCs w:val="20"/>
        </w:rPr>
        <w:t>빨간색은 권장 기준 1.0mm 미만의 표본 면이다. 면적 가중 5퍼센타일은 1.20mm로 해당 규칙을 통과했지만 표본 최솟값은 약 0.58mm다. 따라서 대표값의 통과와 국소 검토 후보가 함께 나타날 수 있으며, 전체 형상의 최소 벽두께가 1.20mm라는 의미는 아니다.</w:t>
      </w:r>
    </w:p>
    <w:p>
      <w:pPr>
        <w:spacing w:after="120" w:line="292"/>
      </w:pPr>
      <w:r>
        <w:rPr>
          <w:rFonts w:ascii="맑은 고딕" w:eastAsia="맑은 고딕" w:hAnsi="맑은 고딕" w:cs="맑은 고딕"/>
          <w:color w:val="1A1A1A"/>
          <w:sz w:val="20"/>
          <w:szCs w:val="20"/>
        </w:rPr>
        <w:t>60점은 기준 충족 여부와 별도로 계산한 여유 수준이다. 현재 점수식은 권장 기준 1.0mm에서 50점, 그 두 배인 2.0mm에서 100점이므로 1.20mm는 60점이다. 이 기준과 점수식은 개발 정책이며, 화면의 관련 표준 조항이 1.0mm나 60점을 직접 규정한다는 뜻은 아니다.</w:t>
      </w:r>
      <w:r>
        <w:rPr>
          <w:lang w:eastAsia="ko-KR"/>
          <w:rFonts w:ascii="맑은 고딕" w:eastAsia="맑은 고딕" w:hAnsi="맑은 고딕" w:cs="맑은 고딕"/>
          <w:color w:val="1A1A1A"/>
          <w:sz w:val="20"/>
          <w:szCs w:val="20"/>
          <w:rtl w:val="off"/>
        </w:rPr>
        <w:t xml:space="preserve"> 규칙별 측정 값이 많아지면 여러 방향을 한눈에 비교하기 어려운 점을 고려하여 점수 기능을 도입한 것이다.</w:t>
      </w:r>
    </w:p>
    <w:p>
      <w:pPr>
        <w:spacing w:after="120" w:line="292"/>
      </w:pPr>
      <w:r>
        <w:rPr>
          <w:rFonts w:ascii="맑은 고딕" w:eastAsia="맑은 고딕" w:hAnsi="맑은 고딕" w:cs="맑은 고딕"/>
          <w:color w:val="1A1A1A"/>
          <w:sz w:val="20"/>
          <w:szCs w:val="20"/>
        </w:rPr>
        <w:t>표본 최솟값은 전 영역의 정확한 최소 두께가 아니다. 법선 방향·모서리 형상에 영향을 받으므로 빨간 면을 실제 결함이나 출력 실패로 단정하지 않고 추가 검토 위치로 해석한다.</w:t>
      </w:r>
    </w:p>
    <w:sectPr>
      <w:pgSz w:w="11906" w:h="16838"/>
      <w:pgMar w:top="1240" w:right="1040" w:bottom="1240" w:left="1040" w:header="708" w:footer="708" w:gutter="0"/>
      <w:cols/>
      <w:docGrid w:linePitch="360"/>
      <w:footerReference w:type="default" r:id="rI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Cambria Math">
    <w:panose1 w:val="02040503050406030204"/>
    <w:family w:val="Cambria Math"/>
    <w:charset w:val="00"/>
    <w:notTrueType w:val="false"/>
    <w:sig w:usb0="7FFFFFFF" w:usb1="420024FF" w:usb2="02000000" w:usb3="00000001" w:csb0="2000019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808080"/>
        <w:sz w:val="17"/>
        <w:szCs w:val="17"/>
      </w:rPr>
      <w:fldChar w:fldCharType="begin"/>
    </w:r>
    <w:r>
      <w:rPr>
        <w:rFonts w:ascii="맑은 고딕" w:eastAsia="맑은 고딕" w:hAnsi="맑은 고딕" w:cs="맑은 고딕"/>
        <w:color w:val="808080"/>
        <w:sz w:val="17"/>
        <w:szCs w:val="17"/>
      </w:rPr>
      <w:instrText>PAGE</w:instrText>
    </w:r>
    <w:r>
      <w:rPr>
        <w:rFonts w:ascii="맑은 고딕" w:eastAsia="맑은 고딕" w:hAnsi="맑은 고딕" w:cs="맑은 고딕"/>
        <w:color w:val="808080"/>
        <w:sz w:val="17"/>
        <w:szCs w:val="17"/>
      </w:rPr>
      <w:fldChar w:fldCharType="separate"/>
    </w:r>
    <w:r>
      <w:rPr>
        <w:rFonts w:ascii="맑은 고딕" w:eastAsia="맑은 고딕" w:hAnsi="맑은 고딕" w:cs="맑은 고딕"/>
        <w:color w:val="808080"/>
        <w:sz w:val="17"/>
        <w:szCs w:val="17"/>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적층제조(AM) 제조성 검토 소프트웨어 - 1차 미팅 보고서</dc:title>
  <dc:subject/>
  <dc:creator>윤성진</dc:creator>
  <cp:keywords/>
  <dc:description/>
  <cp:lastModifiedBy>JIN</cp:lastModifiedBy>
  <cp:revision>1</cp:revision>
  <dcterms:created xsi:type="dcterms:W3CDTF">2026-09-11T09:15:37Z</dcterms:created>
  <dcterms:modified xsi:type="dcterms:W3CDTF">2026-09-12T07:43:18Z</dcterms:modified>
  <cp:version>1300.0100.01</cp:version>
</cp:coreProperties>
</file>