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rPr>
        <w:t xml:space="preserve"/>
      </w:r>
    </w:p>
    <w:p>
      <w:pPr>
        <w:spacing w:after="60" w:line="360"/>
        <w:jc w:val="center"/>
      </w:pPr>
      <w:r>
        <w:rPr>
          <w:rFonts w:ascii="Times New Roman" w:cs="Times New Roman" w:eastAsia="Times New Roman" w:hAnsi="Times New Roman"/>
          <w:b/>
          <w:bCs/>
          <w:sz w:val="36"/>
          <w:szCs w:val="36"/>
        </w:rPr>
        <w:t xml:space="preserve">NEXUS PORTFOLIO INTELLIGENCE</w:t>
      </w:r>
    </w:p>
    <w:p>
      <w:pPr>
        <w:spacing w:after="120" w:line="360"/>
        <w:jc w:val="center"/>
      </w:pPr>
      <w:r>
        <w:rPr>
          <w:rFonts w:ascii="Times New Roman" w:cs="Times New Roman" w:eastAsia="Times New Roman" w:hAnsi="Times New Roman"/>
          <w:b/>
          <w:bCs/>
          <w:sz w:val="26"/>
          <w:szCs w:val="26"/>
        </w:rPr>
        <w:t xml:space="preserve">Mutual Fund Overlap, Risk and Retirement Analytics with Machine-Learned and Quantitative Models</w:t>
      </w:r>
    </w:p>
    <w:p>
      <w:pPr>
        <w:spacing w:after="0" w:line="276"/>
        <w:jc w:val="center"/>
      </w:pPr>
      <w:r>
        <w:rPr>
          <w:rFonts w:ascii="Times New Roman" w:cs="Times New Roman" w:eastAsia="Times New Roman" w:hAnsi="Times New Roman"/>
        </w:rPr>
        <w:t xml:space="preserve">submitted in partial fulfillment of the requirement</w:t>
      </w:r>
    </w:p>
    <w:p>
      <w:pPr>
        <w:spacing w:after="0" w:line="276"/>
        <w:jc w:val="center"/>
      </w:pPr>
      <w:r>
        <w:rPr>
          <w:rFonts w:ascii="Times New Roman" w:cs="Times New Roman" w:eastAsia="Times New Roman" w:hAnsi="Times New Roman"/>
        </w:rPr>
        <w:t xml:space="preserve">for the award of the Degree of</w:t>
      </w:r>
    </w:p>
    <w:p>
      <w:r>
        <w:rPr>
          <w:rFonts w:ascii="Times New Roman" w:cs="Times New Roman" w:eastAsia="Times New Roman" w:hAnsi="Times New Roman"/>
        </w:rPr>
        <w:t xml:space="preserve"/>
      </w:r>
    </w:p>
    <w:p>
      <w:pPr>
        <w:spacing w:after="0" w:line="276"/>
        <w:jc w:val="center"/>
      </w:pPr>
      <w:r>
        <w:rPr>
          <w:rFonts w:ascii="Times New Roman" w:cs="Times New Roman" w:eastAsia="Times New Roman" w:hAnsi="Times New Roman"/>
          <w:b/>
          <w:bCs/>
          <w:sz w:val="28"/>
          <w:szCs w:val="28"/>
        </w:rPr>
        <w:t xml:space="preserve">Bachelor of Technology</w:t>
      </w:r>
    </w:p>
    <w:p>
      <w:pPr>
        <w:spacing w:after="0" w:line="276"/>
        <w:jc w:val="center"/>
      </w:pPr>
      <w:r>
        <w:rPr>
          <w:rFonts w:ascii="Times New Roman" w:cs="Times New Roman" w:eastAsia="Times New Roman" w:hAnsi="Times New Roman"/>
        </w:rPr>
        <w:t xml:space="preserve">in</w:t>
      </w:r>
    </w:p>
    <w:p>
      <w:pPr>
        <w:spacing w:after="0" w:line="276"/>
        <w:jc w:val="center"/>
      </w:pPr>
      <w:r>
        <w:rPr>
          <w:rFonts w:ascii="Times New Roman" w:cs="Times New Roman" w:eastAsia="Times New Roman" w:hAnsi="Times New Roman"/>
          <w:b/>
          <w:bCs/>
          <w:sz w:val="28"/>
          <w:szCs w:val="28"/>
        </w:rPr>
        <w:t xml:space="preserve">Computer Engineering</w:t>
      </w:r>
    </w:p>
    <w:p>
      <w:pPr>
        <w:spacing w:after="0" w:line="276"/>
        <w:jc w:val="center"/>
      </w:pPr>
      <w:r>
        <w:rPr>
          <w:rFonts w:ascii="Times New Roman" w:cs="Times New Roman" w:eastAsia="Times New Roman" w:hAnsi="Times New Roman"/>
        </w:rPr>
        <w:t xml:space="preserve">T.E. Mini Project, Semester </w:t>
      </w:r>
      <w:r>
        <w:rPr>
          <w:rFonts w:ascii="Times New Roman" w:cs="Times New Roman" w:eastAsia="Times New Roman" w:hAnsi="Times New Roman"/>
          <w:b/>
          <w:bCs/>
        </w:rPr>
        <w:t xml:space="preserve">[V / VI]</w:t>
      </w:r>
    </w:p>
    <w:p>
      <w:r>
        <w:rPr>
          <w:rFonts w:ascii="Times New Roman" w:cs="Times New Roman" w:eastAsia="Times New Roman" w:hAnsi="Times New Roman"/>
        </w:rPr>
        <w:t xml:space="preserve"/>
      </w:r>
    </w:p>
    <w:p>
      <w:pPr>
        <w:spacing w:after="0" w:line="276"/>
        <w:jc w:val="center"/>
      </w:pPr>
      <w:r>
        <w:rPr>
          <w:rFonts w:ascii="Times New Roman" w:cs="Times New Roman" w:eastAsia="Times New Roman" w:hAnsi="Times New Roman"/>
        </w:rPr>
        <w:t xml:space="preserve">by</w:t>
      </w:r>
    </w:p>
    <w:p>
      <w:pPr>
        <w:spacing w:after="0" w:line="276"/>
        <w:jc w:val="center"/>
      </w:pPr>
      <w:r>
        <w:rPr>
          <w:rFonts w:ascii="Times New Roman" w:cs="Times New Roman" w:eastAsia="Times New Roman" w:hAnsi="Times New Roman"/>
          <w:b/>
          <w:bCs/>
        </w:rPr>
        <w:t xml:space="preserve">Jinay Shah</w:t>
      </w:r>
      <w:r>
        <w:rPr>
          <w:rFonts w:ascii="Times New Roman" w:cs="Times New Roman" w:eastAsia="Times New Roman" w:hAnsi="Times New Roman"/>
        </w:rPr>
        <w:t xml:space="preserve">   (UID: </w:t>
      </w:r>
      <w:r>
        <w:rPr>
          <w:rFonts w:ascii="Times New Roman" w:cs="Times New Roman" w:eastAsia="Times New Roman" w:hAnsi="Times New Roman"/>
          <w:b/>
          <w:bCs/>
        </w:rPr>
        <w:t xml:space="preserve">[UID]</w:t>
      </w:r>
      <w:r>
        <w:rPr>
          <w:rFonts w:ascii="Times New Roman" w:cs="Times New Roman" w:eastAsia="Times New Roman" w:hAnsi="Times New Roman"/>
        </w:rPr>
        <w:t xml:space="preserve">)</w:t>
      </w:r>
    </w:p>
    <w:p>
      <w:pPr>
        <w:spacing w:after="0" w:line="276"/>
        <w:jc w:val="center"/>
      </w:pPr>
      <w:r>
        <w:rPr>
          <w:rFonts w:ascii="Times New Roman" w:cs="Times New Roman" w:eastAsia="Times New Roman" w:hAnsi="Times New Roman"/>
          <w:b/>
          <w:bCs/>
        </w:rPr>
        <w:t xml:space="preserve">[Student 2 Name and Surname]</w:t>
      </w:r>
      <w:r>
        <w:rPr>
          <w:rFonts w:ascii="Times New Roman" w:cs="Times New Roman" w:eastAsia="Times New Roman" w:hAnsi="Times New Roman"/>
        </w:rPr>
        <w:t xml:space="preserve">   (UID: </w:t>
      </w:r>
      <w:r>
        <w:rPr>
          <w:rFonts w:ascii="Times New Roman" w:cs="Times New Roman" w:eastAsia="Times New Roman" w:hAnsi="Times New Roman"/>
          <w:b/>
          <w:bCs/>
        </w:rPr>
        <w:t xml:space="preserve">[UID]</w:t>
      </w:r>
      <w:r>
        <w:rPr>
          <w:rFonts w:ascii="Times New Roman" w:cs="Times New Roman" w:eastAsia="Times New Roman" w:hAnsi="Times New Roman"/>
        </w:rPr>
        <w:t xml:space="preserve">)</w:t>
      </w:r>
    </w:p>
    <w:p>
      <w:pPr>
        <w:spacing w:after="0" w:line="276"/>
        <w:jc w:val="center"/>
      </w:pPr>
      <w:r>
        <w:rPr>
          <w:rFonts w:ascii="Times New Roman" w:cs="Times New Roman" w:eastAsia="Times New Roman" w:hAnsi="Times New Roman"/>
          <w:b/>
          <w:bCs/>
        </w:rPr>
        <w:t xml:space="preserve">[Student 3 Name and Surname]</w:t>
      </w:r>
      <w:r>
        <w:rPr>
          <w:rFonts w:ascii="Times New Roman" w:cs="Times New Roman" w:eastAsia="Times New Roman" w:hAnsi="Times New Roman"/>
        </w:rPr>
        <w:t xml:space="preserve">   (UID: </w:t>
      </w:r>
      <w:r>
        <w:rPr>
          <w:rFonts w:ascii="Times New Roman" w:cs="Times New Roman" w:eastAsia="Times New Roman" w:hAnsi="Times New Roman"/>
          <w:b/>
          <w:bCs/>
        </w:rPr>
        <w:t xml:space="preserve">[UID]</w:t>
      </w:r>
      <w:r>
        <w:rPr>
          <w:rFonts w:ascii="Times New Roman" w:cs="Times New Roman" w:eastAsia="Times New Roman" w:hAnsi="Times New Roman"/>
        </w:rPr>
        <w:t xml:space="preserve">)</w:t>
      </w:r>
    </w:p>
    <w:p>
      <w:r>
        <w:rPr>
          <w:rFonts w:ascii="Times New Roman" w:cs="Times New Roman" w:eastAsia="Times New Roman" w:hAnsi="Times New Roman"/>
        </w:rPr>
        <w:t xml:space="preserve"/>
      </w:r>
    </w:p>
    <w:p>
      <w:pPr>
        <w:spacing w:after="0" w:line="276"/>
        <w:jc w:val="center"/>
      </w:pPr>
      <w:r>
        <w:rPr>
          <w:rFonts w:ascii="Times New Roman" w:cs="Times New Roman" w:eastAsia="Times New Roman" w:hAnsi="Times New Roman"/>
        </w:rPr>
        <w:t xml:space="preserve">under the guidance of</w:t>
      </w:r>
    </w:p>
    <w:p>
      <w:pPr>
        <w:spacing w:after="0" w:line="276"/>
        <w:jc w:val="center"/>
      </w:pPr>
      <w:r>
        <w:rPr>
          <w:rFonts w:ascii="Times New Roman" w:cs="Times New Roman" w:eastAsia="Times New Roman" w:hAnsi="Times New Roman"/>
          <w:b/>
          <w:bCs/>
        </w:rPr>
        <w:t xml:space="preserve">[Guide Name]</w:t>
      </w:r>
    </w:p>
    <w:p>
      <w:pPr>
        <w:spacing w:after="0" w:line="276"/>
        <w:jc w:val="center"/>
      </w:pPr>
      <w:r>
        <w:rPr>
          <w:rFonts w:ascii="Times New Roman" w:cs="Times New Roman" w:eastAsia="Times New Roman" w:hAnsi="Times New Roman"/>
          <w:b/>
          <w:bCs/>
        </w:rPr>
        <w:t xml:space="preserve">[Co-Guide Name, if any]</w:t>
      </w:r>
    </w:p>
    <w:p>
      <w:pPr>
        <w:spacing w:after="160" w:before="160"/>
        <w:jc w:val="center"/>
      </w:pPr>
      <w:r>
        <w:drawing>
          <wp:inline distT="0" distB="0" distL="0" distR="0">
            <wp:extent cx="1047750" cy="1047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after="0" w:line="276"/>
        <w:jc w:val="center"/>
      </w:pPr>
      <w:r>
        <w:rPr>
          <w:rFonts w:ascii="Times New Roman" w:cs="Times New Roman" w:eastAsia="Times New Roman" w:hAnsi="Times New Roman"/>
          <w:b/>
          <w:bCs/>
        </w:rPr>
        <w:t xml:space="preserve">Department of Computer Engineering</w:t>
      </w:r>
    </w:p>
    <w:p>
      <w:pPr>
        <w:spacing w:after="0" w:line="276"/>
        <w:jc w:val="center"/>
      </w:pPr>
      <w:r>
        <w:rPr>
          <w:rFonts w:ascii="Times New Roman" w:cs="Times New Roman" w:eastAsia="Times New Roman" w:hAnsi="Times New Roman"/>
        </w:rPr>
        <w:t xml:space="preserve">Bharatiya Vidya Bhavan’s</w:t>
      </w:r>
    </w:p>
    <w:p>
      <w:pPr>
        <w:spacing w:after="0" w:line="276"/>
        <w:jc w:val="center"/>
      </w:pPr>
      <w:r>
        <w:rPr>
          <w:rFonts w:ascii="Times New Roman" w:cs="Times New Roman" w:eastAsia="Times New Roman" w:hAnsi="Times New Roman"/>
        </w:rPr>
        <w:t xml:space="preserve">Sardar Patel Institute of Technology</w:t>
      </w:r>
    </w:p>
    <w:p>
      <w:pPr>
        <w:spacing w:after="0" w:line="276"/>
        <w:jc w:val="center"/>
      </w:pPr>
      <w:r>
        <w:rPr>
          <w:rFonts w:ascii="Times New Roman" w:cs="Times New Roman" w:eastAsia="Times New Roman" w:hAnsi="Times New Roman"/>
        </w:rPr>
        <w:t xml:space="preserve">(Autonomous Institute Affiliated to University of Mumbai)</w:t>
      </w:r>
    </w:p>
    <w:p>
      <w:pPr>
        <w:spacing w:after="0" w:line="276"/>
        <w:jc w:val="center"/>
      </w:pPr>
      <w:r>
        <w:rPr>
          <w:rFonts w:ascii="Times New Roman" w:cs="Times New Roman" w:eastAsia="Times New Roman" w:hAnsi="Times New Roman"/>
        </w:rPr>
        <w:t xml:space="preserve">Munshi Nagar, Andheri (W), Mumbai-400058</w:t>
      </w:r>
    </w:p>
    <w:p>
      <w:pPr>
        <w:spacing w:after="0" w:line="276"/>
        <w:jc w:val="center"/>
      </w:pPr>
      <w:r>
        <w:rPr>
          <w:rFonts w:ascii="Times New Roman" w:cs="Times New Roman" w:eastAsia="Times New Roman" w:hAnsi="Times New Roman"/>
        </w:rPr>
        <w:t xml:space="preserve">University of Mumbai</w:t>
      </w:r>
    </w:p>
    <w:p>
      <w:pPr>
        <w:spacing w:after="0" w:line="276"/>
        <w:jc w:val="center"/>
        <w:sectPr>
          <w:footerReference w:type="default" r:id="rId6"/>
          <w:pgSz w:w="11906" w:h="16838" w:orient="portrait"/>
          <w:pgMar w:top="1440" w:right="1440" w:bottom="1440" w:left="2160" w:header="708" w:footer="708" w:gutter="0"/>
          <w:pgBorders>
            <w:top w:val="single" w:color="000000" w:sz="6" w:space="24"/>
            <w:left w:val="single" w:color="000000" w:sz="6" w:space="24"/>
            <w:bottom w:val="single" w:color="000000" w:sz="6" w:space="24"/>
            <w:right w:val="single" w:color="000000" w:sz="6" w:space="24"/>
          </w:pgBorders>
          <w:pgNumType/>
          <w:docGrid w:linePitch="360"/>
        </w:sectPr>
      </w:pPr>
      <w:r>
        <w:rPr>
          <w:rFonts w:ascii="Times New Roman" w:cs="Times New Roman" w:eastAsia="Times New Roman" w:hAnsi="Times New Roman"/>
          <w:b/>
          <w:bCs/>
        </w:rPr>
        <w:t xml:space="preserve">2026–2027</w:t>
      </w:r>
    </w:p>
    <w:p>
      <w:pPr>
        <w:pStyle w:val="Heading1"/>
        <w:pageBreakBefore/>
        <w:jc w:val="center"/>
      </w:pPr>
      <w:bookmarkStart w:name="_Toc1" w:id="1"/>
      <w:r>
        <w:rPr>
          <w:rFonts w:ascii="Times New Roman" w:cs="Times New Roman" w:eastAsia="Times New Roman" w:hAnsi="Times New Roman"/>
        </w:rPr>
        <w:t xml:space="preserve">CERTIFICATE</w:t>
      </w:r>
      <w:bookmarkEnd w:id="1"/>
    </w:p>
    <w:p>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rPr>
        <w:t xml:space="preserve">This is to certify that the project entitled </w:t>
      </w:r>
      <w:r>
        <w:rPr>
          <w:rFonts w:ascii="Times New Roman" w:cs="Times New Roman" w:eastAsia="Times New Roman" w:hAnsi="Times New Roman"/>
          <w:b/>
          <w:bCs/>
        </w:rPr>
        <w:t xml:space="preserve">“Nexus Portfolio Intelligence: Mutual Fund Overlap, Risk and Retirement Analytics with Machine-Learned and Quantitative Models”</w:t>
      </w:r>
      <w:r>
        <w:rPr>
          <w:rFonts w:ascii="Times New Roman" w:cs="Times New Roman" w:eastAsia="Times New Roman" w:hAnsi="Times New Roman"/>
        </w:rPr>
        <w:t xml:space="preserve"> by </w:t>
      </w:r>
      <w:r>
        <w:rPr>
          <w:rFonts w:ascii="Times New Roman" w:cs="Times New Roman" w:eastAsia="Times New Roman" w:hAnsi="Times New Roman"/>
          <w:b/>
          <w:bCs/>
        </w:rPr>
        <w:t xml:space="preserve">Jinay Shah</w:t>
      </w:r>
      <w:r>
        <w:rPr>
          <w:rFonts w:ascii="Times New Roman" w:cs="Times New Roman" w:eastAsia="Times New Roman" w:hAnsi="Times New Roman"/>
        </w:rPr>
        <w:t xml:space="preserve">, </w:t>
      </w:r>
      <w:r>
        <w:rPr>
          <w:rFonts w:ascii="Times New Roman" w:cs="Times New Roman" w:eastAsia="Times New Roman" w:hAnsi="Times New Roman"/>
          <w:b/>
          <w:bCs/>
        </w:rPr>
        <w:t xml:space="preserve">[Student 2]</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[Student 3]</w:t>
      </w:r>
      <w:r>
        <w:rPr>
          <w:rFonts w:ascii="Times New Roman" w:cs="Times New Roman" w:eastAsia="Times New Roman" w:hAnsi="Times New Roman"/>
        </w:rPr>
        <w:t xml:space="preserve"> is approved for the partial fulfillment of the Mini Project of the Third Year (T.E.) under the guidance of </w:t>
      </w:r>
      <w:r>
        <w:rPr>
          <w:rFonts w:ascii="Times New Roman" w:cs="Times New Roman" w:eastAsia="Times New Roman" w:hAnsi="Times New Roman"/>
          <w:b/>
          <w:bCs/>
        </w:rPr>
        <w:t xml:space="preserve">[Guide Name]</w:t>
      </w:r>
      <w:r>
        <w:rPr>
          <w:rFonts w:ascii="Times New Roman" w:cs="Times New Roman" w:eastAsia="Times New Roman" w:hAnsi="Times New Roman"/>
        </w:rPr>
        <w:t xml:space="preserve"> for the award of the Degree of Bachelor of Technology in Computer Engineering from University of Mumbai.</w:t>
      </w:r>
    </w:p>
    <w:p>
      <w:r>
        <w:rPr>
          <w:rFonts w:ascii="Times New Roman" w:cs="Times New Roman" w:eastAsia="Times New Roman" w:hAnsi="Times New Roman"/>
        </w:rPr>
        <w:t xml:space="preserve"/>
      </w:r>
    </w:p>
    <w:p>
      <w:pPr>
        <w:spacing w:after="120" w:line="360"/>
        <w:jc w:val="center"/>
      </w:pPr>
      <w:r>
        <w:rPr>
          <w:rFonts w:ascii="Times New Roman" w:cs="Times New Roman" w:eastAsia="Times New Roman" w:hAnsi="Times New Roman"/>
          <w:b/>
          <w:bCs/>
        </w:rPr>
        <w:t xml:space="preserve">Certified by</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306"/>
        <w:tblBorders>
          <w:top w:val="none"/>
          <w:left w:val="none"/>
          <w:bottom w:val="none"/>
          <w:right w:val="none"/>
          <w:insideH w:val="none"/>
          <w:insideV w:val="none"/>
        </w:tblBorders>
      </w:tblPr>
      <w:tblGrid>
        <w:gridCol w:w="4153"/>
        <w:gridCol w:w="4153"/>
      </w:tblGrid>
      <w:tr>
        <w:tc>
          <w:tcPr>
            <w:tcW w:type="dxa" w:w="4153"/>
            <w:tcBorders>
              <w:top w:val="none"/>
              <w:left w:val="none"/>
              <w:bottom w:val="none"/>
              <w:right w:val="none"/>
            </w:tcBorders>
          </w:tcPr>
          <w:p>
            <w:pPr>
              <w:spacing w:after="40" w:line="276"/>
              <w:jc w:val="left"/>
            </w:pPr>
            <w:r>
              <w:rPr>
                <w:rFonts w:ascii="Times New Roman" w:cs="Times New Roman" w:eastAsia="Times New Roman" w:hAnsi="Times New Roman"/>
                <w:b/>
                <w:bCs/>
              </w:rPr>
              <w:t xml:space="preserve">[Guide Name]</w:t>
            </w:r>
          </w:p>
          <w:p>
            <w:pPr>
              <w:spacing w:after="40" w:line="276"/>
              <w:jc w:val="left"/>
            </w:pPr>
            <w:r>
              <w:rPr>
                <w:rFonts w:ascii="Times New Roman" w:cs="Times New Roman" w:eastAsia="Times New Roman" w:hAnsi="Times New Roman"/>
                <w:b/>
                <w:bCs/>
              </w:rPr>
              <w:t xml:space="preserve">Project Guide</w:t>
            </w:r>
          </w:p>
        </w:tc>
        <w:tc>
          <w:tcPr>
            <w:tcW w:type="dxa" w:w="4153"/>
            <w:tcBorders>
              <w:top w:val="none"/>
              <w:left w:val="none"/>
              <w:bottom w:val="none"/>
              <w:right w:val="none"/>
            </w:tcBorders>
          </w:tcPr>
          <w:p>
            <w:pPr>
              <w:spacing w:after="40" w:line="276"/>
              <w:jc w:val="right"/>
            </w:pPr>
            <w:r>
              <w:rPr>
                <w:rFonts w:ascii="Times New Roman" w:cs="Times New Roman" w:eastAsia="Times New Roman" w:hAnsi="Times New Roman"/>
                <w:b/>
                <w:bCs/>
              </w:rPr>
              <w:t xml:space="preserve">[HOD Name]</w:t>
            </w:r>
          </w:p>
          <w:p>
            <w:pPr>
              <w:spacing w:after="40" w:line="276"/>
              <w:jc w:val="right"/>
            </w:pPr>
            <w:r>
              <w:rPr>
                <w:rFonts w:ascii="Times New Roman" w:cs="Times New Roman" w:eastAsia="Times New Roman" w:hAnsi="Times New Roman"/>
                <w:b/>
                <w:bCs/>
              </w:rPr>
              <w:t xml:space="preserve">Head of Department</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line="276"/>
        <w:jc w:val="center"/>
      </w:pPr>
      <w:r>
        <w:rPr>
          <w:rFonts w:ascii="Times New Roman" w:cs="Times New Roman" w:eastAsia="Times New Roman" w:hAnsi="Times New Roman"/>
          <w:b/>
          <w:bCs/>
        </w:rPr>
        <w:t xml:space="preserve">Dr. B. N. Chaudhari</w:t>
      </w:r>
    </w:p>
    <w:p>
      <w:pPr>
        <w:spacing w:after="0" w:line="276"/>
        <w:jc w:val="center"/>
      </w:pPr>
      <w:r>
        <w:rPr>
          <w:rFonts w:ascii="Times New Roman" w:cs="Times New Roman" w:eastAsia="Times New Roman" w:hAnsi="Times New Roman"/>
          <w:b/>
          <w:bCs/>
        </w:rPr>
        <w:t xml:space="preserve">Principal</w:t>
      </w:r>
    </w:p>
    <w:p>
      <w:pPr>
        <w:spacing w:after="160" w:before="160"/>
        <w:jc w:val="center"/>
      </w:pPr>
      <w:r>
        <w:drawing>
          <wp:inline distT="0" distB="0" distL="0" distR="0">
            <wp:extent cx="857250" cy="857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p>
      <w:pPr>
        <w:spacing w:after="0" w:line="276"/>
        <w:jc w:val="center"/>
      </w:pPr>
      <w:r>
        <w:rPr>
          <w:rFonts w:ascii="Times New Roman" w:cs="Times New Roman" w:eastAsia="Times New Roman" w:hAnsi="Times New Roman"/>
          <w:b/>
          <w:bCs/>
        </w:rPr>
        <w:t xml:space="preserve">Department of Computer Engineering</w:t>
      </w:r>
    </w:p>
    <w:p>
      <w:pPr>
        <w:spacing w:after="0" w:line="276"/>
        <w:jc w:val="center"/>
      </w:pPr>
      <w:r>
        <w:rPr>
          <w:rFonts w:ascii="Times New Roman" w:cs="Times New Roman" w:eastAsia="Times New Roman" w:hAnsi="Times New Roman"/>
        </w:rPr>
        <w:t xml:space="preserve">Bharatiya Vidya Bhavan’s</w:t>
      </w:r>
    </w:p>
    <w:p>
      <w:pPr>
        <w:spacing w:after="0" w:line="276"/>
        <w:jc w:val="center"/>
      </w:pPr>
      <w:r>
        <w:rPr>
          <w:rFonts w:ascii="Times New Roman" w:cs="Times New Roman" w:eastAsia="Times New Roman" w:hAnsi="Times New Roman"/>
        </w:rPr>
        <w:t xml:space="preserve">Sardar Patel Institute of Technology</w:t>
      </w:r>
    </w:p>
    <w:p>
      <w:pPr>
        <w:spacing w:after="0" w:line="276"/>
        <w:jc w:val="center"/>
      </w:pPr>
      <w:r>
        <w:rPr>
          <w:rFonts w:ascii="Times New Roman" w:cs="Times New Roman" w:eastAsia="Times New Roman" w:hAnsi="Times New Roman"/>
        </w:rPr>
        <w:t xml:space="preserve">(Autonomous Institute Affiliated to University of Mumbai)</w:t>
      </w:r>
    </w:p>
    <w:p>
      <w:pPr>
        <w:spacing w:after="0" w:line="276"/>
        <w:jc w:val="center"/>
      </w:pPr>
      <w:r>
        <w:rPr>
          <w:rFonts w:ascii="Times New Roman" w:cs="Times New Roman" w:eastAsia="Times New Roman" w:hAnsi="Times New Roman"/>
        </w:rPr>
        <w:t xml:space="preserve">Munshi Nagar, Andheri (W), Mumbai-400058</w:t>
      </w:r>
    </w:p>
    <w:p>
      <w:pPr>
        <w:spacing w:after="0" w:line="276"/>
        <w:jc w:val="center"/>
      </w:pPr>
      <w:r>
        <w:rPr>
          <w:rFonts w:ascii="Times New Roman" w:cs="Times New Roman" w:eastAsia="Times New Roman" w:hAnsi="Times New Roman"/>
        </w:rPr>
        <w:t xml:space="preserve">University of Mumbai</w:t>
      </w:r>
    </w:p>
    <w:p>
      <w:pPr>
        <w:spacing w:after="0" w:line="276"/>
        <w:jc w:val="center"/>
      </w:pPr>
      <w:r>
        <w:rPr>
          <w:rFonts w:ascii="Times New Roman" w:cs="Times New Roman" w:eastAsia="Times New Roman" w:hAnsi="Times New Roman"/>
          <w:b/>
          <w:bCs/>
        </w:rPr>
        <w:t xml:space="preserve">2026–2027</w:t>
      </w:r>
    </w:p>
    <w:p>
      <w:pPr>
        <w:pStyle w:val="Heading1"/>
        <w:pageBreakBefore/>
        <w:jc w:val="center"/>
      </w:pPr>
      <w:bookmarkStart w:name="_Toc2" w:id="2"/>
      <w:r>
        <w:rPr>
          <w:rFonts w:ascii="Times New Roman" w:cs="Times New Roman" w:eastAsia="Times New Roman" w:hAnsi="Times New Roman"/>
        </w:rPr>
        <w:t xml:space="preserve">APPROVAL CERTIFICATE</w:t>
      </w:r>
      <w:bookmarkEnd w:id="2"/>
    </w:p>
    <w:p>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rPr>
        <w:t xml:space="preserve">This is to certify that the project entitled </w:t>
      </w:r>
      <w:r>
        <w:rPr>
          <w:rFonts w:ascii="Times New Roman" w:cs="Times New Roman" w:eastAsia="Times New Roman" w:hAnsi="Times New Roman"/>
          <w:b/>
          <w:bCs/>
        </w:rPr>
        <w:t xml:space="preserve">“Nexus Portfolio Intelligence: Mutual Fund Overlap, Risk and Retirement Analytics with Machine-Learned and Quantitative Models”</w:t>
      </w:r>
      <w:r>
        <w:rPr>
          <w:rFonts w:ascii="Times New Roman" w:cs="Times New Roman" w:eastAsia="Times New Roman" w:hAnsi="Times New Roman"/>
        </w:rPr>
        <w:t xml:space="preserve"> by </w:t>
      </w:r>
      <w:r>
        <w:rPr>
          <w:rFonts w:ascii="Times New Roman" w:cs="Times New Roman" w:eastAsia="Times New Roman" w:hAnsi="Times New Roman"/>
          <w:b/>
          <w:bCs/>
        </w:rPr>
        <w:t xml:space="preserve">Jinay Shah</w:t>
      </w:r>
      <w:r>
        <w:rPr>
          <w:rFonts w:ascii="Times New Roman" w:cs="Times New Roman" w:eastAsia="Times New Roman" w:hAnsi="Times New Roman"/>
        </w:rPr>
        <w:t xml:space="preserve">, </w:t>
      </w:r>
      <w:r>
        <w:rPr>
          <w:rFonts w:ascii="Times New Roman" w:cs="Times New Roman" w:eastAsia="Times New Roman" w:hAnsi="Times New Roman"/>
          <w:b/>
          <w:bCs/>
        </w:rPr>
        <w:t xml:space="preserve">[Student 2]</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[Student 3]</w:t>
      </w:r>
      <w:r>
        <w:rPr>
          <w:rFonts w:ascii="Times New Roman" w:cs="Times New Roman" w:eastAsia="Times New Roman" w:hAnsi="Times New Roman"/>
        </w:rPr>
        <w:t xml:space="preserve"> is approved for the partial fulfillment of the Mini Project of the Third Year (T.E.) towards obtaining the Degree of Bachelor of Technology in Computer Engineering from University of Mumbai.</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306"/>
        <w:tblBorders>
          <w:top w:val="none"/>
          <w:left w:val="none"/>
          <w:bottom w:val="none"/>
          <w:right w:val="none"/>
          <w:insideH w:val="none"/>
          <w:insideV w:val="none"/>
        </w:tblBorders>
      </w:tblPr>
      <w:tblGrid>
        <w:gridCol w:w="4153"/>
        <w:gridCol w:w="4153"/>
      </w:tblGrid>
      <w:tr>
        <w:tc>
          <w:tcPr>
            <w:tcW w:type="dxa" w:w="4153"/>
            <w:tcBorders>
              <w:top w:val="none"/>
              <w:left w:val="none"/>
              <w:bottom w:val="none"/>
              <w:right w:val="none"/>
            </w:tcBorders>
          </w:tcPr>
          <w:p>
            <w:pPr>
              <w:spacing w:after="40" w:line="276"/>
              <w:jc w:val="left"/>
            </w:pPr>
            <w:r>
              <w:rPr>
                <w:rFonts w:ascii="Times New Roman" w:cs="Times New Roman" w:eastAsia="Times New Roman" w:hAnsi="Times New Roman"/>
                <w:b/>
                <w:bCs/>
              </w:rPr>
              <w:t xml:space="preserve">Project Guide</w:t>
            </w:r>
          </w:p>
          <w:p>
            <w:pPr>
              <w:spacing w:after="40" w:line="276"/>
              <w:jc w:val="left"/>
            </w:pPr>
            <w:r>
              <w:rPr>
                <w:rFonts w:ascii="Times New Roman" w:cs="Times New Roman" w:eastAsia="Times New Roman" w:hAnsi="Times New Roman"/>
              </w:rPr>
              <w:t xml:space="preserve"/>
            </w:r>
          </w:p>
          <w:p>
            <w:pPr>
              <w:spacing w:after="40" w:line="276"/>
              <w:jc w:val="left"/>
            </w:pPr>
            <w:r>
              <w:rPr>
                <w:rFonts w:ascii="Times New Roman" w:cs="Times New Roman" w:eastAsia="Times New Roman" w:hAnsi="Times New Roman"/>
              </w:rPr>
              <w:t xml:space="preserve"/>
            </w:r>
          </w:p>
          <w:p>
            <w:pPr>
              <w:spacing w:after="40" w:line="276"/>
              <w:jc w:val="left"/>
            </w:pPr>
            <w:r>
              <w:rPr>
                <w:rFonts w:ascii="Times New Roman" w:cs="Times New Roman" w:eastAsia="Times New Roman" w:hAnsi="Times New Roman"/>
              </w:rPr>
              <w:t xml:space="preserve">(signature)</w:t>
            </w:r>
          </w:p>
          <w:p>
            <w:pPr>
              <w:spacing w:after="40" w:line="276"/>
              <w:jc w:val="left"/>
            </w:pPr>
            <w:r>
              <w:rPr>
                <w:rFonts w:ascii="Times New Roman" w:cs="Times New Roman" w:eastAsia="Times New Roman" w:hAnsi="Times New Roman"/>
              </w:rPr>
              <w:t xml:space="preserve">Name:</w:t>
            </w:r>
          </w:p>
          <w:p>
            <w:pPr>
              <w:spacing w:after="40" w:line="276"/>
              <w:jc w:val="left"/>
            </w:pPr>
            <w:r>
              <w:rPr>
                <w:rFonts w:ascii="Times New Roman" w:cs="Times New Roman" w:eastAsia="Times New Roman" w:hAnsi="Times New Roman"/>
              </w:rPr>
              <w:t xml:space="preserve">Date:</w:t>
            </w:r>
          </w:p>
        </w:tc>
        <w:tc>
          <w:tcPr>
            <w:tcW w:type="dxa" w:w="4153"/>
            <w:tcBorders>
              <w:top w:val="none"/>
              <w:left w:val="none"/>
              <w:bottom w:val="none"/>
              <w:right w:val="none"/>
            </w:tcBorders>
          </w:tcPr>
          <w:p>
            <w:pPr>
              <w:spacing w:after="40" w:line="276"/>
              <w:jc w:val="right"/>
            </w:pPr>
            <w:r>
              <w:rPr>
                <w:rFonts w:ascii="Times New Roman" w:cs="Times New Roman" w:eastAsia="Times New Roman" w:hAnsi="Times New Roman"/>
                <w:b/>
                <w:bCs/>
              </w:rPr>
              <w:t xml:space="preserve">External Examiner</w:t>
            </w:r>
          </w:p>
          <w:p>
            <w:pPr>
              <w:spacing w:after="40" w:line="276"/>
              <w:jc w:val="right"/>
            </w:pPr>
            <w:r>
              <w:rPr>
                <w:rFonts w:ascii="Times New Roman" w:cs="Times New Roman" w:eastAsia="Times New Roman" w:hAnsi="Times New Roman"/>
              </w:rPr>
              <w:t xml:space="preserve"/>
            </w:r>
          </w:p>
          <w:p>
            <w:pPr>
              <w:spacing w:after="40" w:line="276"/>
              <w:jc w:val="right"/>
            </w:pPr>
            <w:r>
              <w:rPr>
                <w:rFonts w:ascii="Times New Roman" w:cs="Times New Roman" w:eastAsia="Times New Roman" w:hAnsi="Times New Roman"/>
              </w:rPr>
              <w:t xml:space="preserve"/>
            </w:r>
          </w:p>
          <w:p>
            <w:pPr>
              <w:spacing w:after="40" w:line="276"/>
              <w:jc w:val="right"/>
            </w:pPr>
            <w:r>
              <w:rPr>
                <w:rFonts w:ascii="Times New Roman" w:cs="Times New Roman" w:eastAsia="Times New Roman" w:hAnsi="Times New Roman"/>
              </w:rPr>
              <w:t xml:space="preserve">(signature)</w:t>
            </w:r>
          </w:p>
          <w:p>
            <w:pPr>
              <w:spacing w:after="40" w:line="276"/>
              <w:jc w:val="right"/>
            </w:pPr>
            <w:r>
              <w:rPr>
                <w:rFonts w:ascii="Times New Roman" w:cs="Times New Roman" w:eastAsia="Times New Roman" w:hAnsi="Times New Roman"/>
              </w:rPr>
              <w:t xml:space="preserve">Name:</w:t>
            </w:r>
          </w:p>
          <w:p>
            <w:pPr>
              <w:spacing w:after="40" w:line="276"/>
              <w:jc w:val="right"/>
            </w:pPr>
            <w:r>
              <w:rPr>
                <w:rFonts w:ascii="Times New Roman" w:cs="Times New Roman" w:eastAsia="Times New Roman" w:hAnsi="Times New Roman"/>
              </w:rPr>
              <w:t xml:space="preserve">Date:</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306"/>
        <w:tblBorders>
          <w:top w:val="none"/>
          <w:left w:val="none"/>
          <w:bottom w:val="none"/>
          <w:right w:val="none"/>
          <w:insideH w:val="none"/>
          <w:insideV w:val="none"/>
        </w:tblBorders>
      </w:tblPr>
      <w:tblGrid>
        <w:gridCol w:w="4153"/>
        <w:gridCol w:w="4153"/>
      </w:tblGrid>
      <w:tr>
        <w:tc>
          <w:tcPr>
            <w:tcW w:type="dxa" w:w="4153"/>
            <w:tcBorders>
              <w:top w:val="none"/>
              <w:left w:val="none"/>
              <w:bottom w:val="none"/>
              <w:right w:val="none"/>
            </w:tcBorders>
          </w:tcPr>
          <w:p>
            <w:pPr>
              <w:spacing w:after="40" w:line="276"/>
              <w:jc w:val="left"/>
            </w:pPr>
            <w:r>
              <w:rPr>
                <w:rFonts w:ascii="Times New Roman" w:cs="Times New Roman" w:eastAsia="Times New Roman" w:hAnsi="Times New Roman"/>
                <w:b/>
                <w:bCs/>
              </w:rPr>
              <w:t xml:space="preserve">Head of Department</w:t>
            </w:r>
          </w:p>
        </w:tc>
        <w:tc>
          <w:tcPr>
            <w:tcW w:type="dxa" w:w="4153"/>
            <w:tcBorders>
              <w:top w:val="none"/>
              <w:left w:val="none"/>
              <w:bottom w:val="none"/>
              <w:right w:val="none"/>
            </w:tcBorders>
          </w:tcPr>
          <w:p>
            <w:pPr>
              <w:spacing w:after="40" w:line="276"/>
              <w:jc w:val="right"/>
            </w:pPr>
            <w:r>
              <w:rPr>
                <w:rFonts w:ascii="Times New Roman" w:cs="Times New Roman" w:eastAsia="Times New Roman" w:hAnsi="Times New Roman"/>
                <w:b/>
                <w:bCs/>
              </w:rPr>
              <w:t xml:space="preserve">Principal</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line="360"/>
        <w:jc w:val="center"/>
      </w:pPr>
      <w:r>
        <w:rPr>
          <w:rFonts w:ascii="Times New Roman" w:cs="Times New Roman" w:eastAsia="Times New Roman" w:hAnsi="Times New Roman"/>
          <w:b/>
          <w:bCs/>
        </w:rPr>
        <w:t xml:space="preserve">Seal of the Institute</w:t>
      </w:r>
    </w:p>
    <w:p>
      <w:pPr>
        <w:pStyle w:val="Heading1"/>
        <w:pageBreakBefore/>
        <w:jc w:val="center"/>
      </w:pPr>
      <w:bookmarkStart w:name="_Toc3" w:id="3"/>
      <w:r>
        <w:rPr>
          <w:rFonts w:ascii="Times New Roman" w:cs="Times New Roman" w:eastAsia="Times New Roman" w:hAnsi="Times New Roman"/>
        </w:rPr>
        <w:t xml:space="preserve">DECLARATION</w:t>
      </w:r>
      <w:bookmarkEnd w:id="3"/>
    </w:p>
    <w:p>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rPr>
        <w:t xml:space="preserve">We wish to state that the work embodied in this report titled </w:t>
      </w:r>
      <w:r>
        <w:rPr>
          <w:rFonts w:ascii="Times New Roman" w:cs="Times New Roman" w:eastAsia="Times New Roman" w:hAnsi="Times New Roman"/>
          <w:b/>
          <w:bCs/>
        </w:rPr>
        <w:t xml:space="preserve">“Nexus Portfolio Intelligence: Mutual Fund Overlap, Risk and Retirement Analytics with Machine-Learned and Quantitative Models”</w:t>
      </w:r>
      <w:r>
        <w:rPr>
          <w:rFonts w:ascii="Times New Roman" w:cs="Times New Roman" w:eastAsia="Times New Roman" w:hAnsi="Times New Roman"/>
        </w:rPr>
        <w:t xml:space="preserve"> forms our own contribution to the work carried out under the guidance of </w:t>
      </w:r>
      <w:r>
        <w:rPr>
          <w:rFonts w:ascii="Times New Roman" w:cs="Times New Roman" w:eastAsia="Times New Roman" w:hAnsi="Times New Roman"/>
          <w:b/>
          <w:bCs/>
        </w:rPr>
        <w:t xml:space="preserve">[Guide Name]</w:t>
      </w:r>
      <w:r>
        <w:rPr>
          <w:rFonts w:ascii="Times New Roman" w:cs="Times New Roman" w:eastAsia="Times New Roman" w:hAnsi="Times New Roman"/>
        </w:rPr>
        <w:t xml:space="preserve"> at the Sardar Patel Institute of Technology. 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w:t>
      </w:r>
    </w:p>
    <w:p>
      <w:pPr>
        <w:spacing w:after="120" w:line="360"/>
        <w:jc w:val="both"/>
      </w:pPr>
      <w:r>
        <w:rPr>
          <w:rFonts w:ascii="Times New Roman" w:cs="Times New Roman" w:eastAsia="Times New Roman" w:hAnsi="Times New Roman"/>
        </w:rPr>
        <w:t xml:space="preserve">We further declare that the implementation and results reported here are truthful: every feature described as implemented exists in the project repository, every result reported as measured was obtained by the procedure described in this report, and features that were not implemented or not tested are identified as such.</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306"/>
        <w:tblBorders>
          <w:top w:val="none"/>
          <w:left w:val="none"/>
          <w:bottom w:val="none"/>
          <w:right w:val="none"/>
          <w:insideH w:val="none"/>
          <w:insideV w:val="none"/>
        </w:tblBorders>
      </w:tblPr>
      <w:tblGrid>
        <w:gridCol w:w="2769"/>
        <w:gridCol w:w="2769"/>
        <w:gridCol w:w="2768"/>
      </w:tblGrid>
      <w:tr>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b/>
                <w:bCs/>
              </w:rPr>
              <w:t xml:space="preserve">Jinay Shah</w:t>
            </w:r>
          </w:p>
        </w:tc>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b/>
                <w:bCs/>
              </w:rPr>
              <w:t xml:space="preserve">[Student 2 Name]</w:t>
            </w:r>
          </w:p>
        </w:tc>
        <w:tc>
          <w:tcPr>
            <w:tcW w:type="dxa" w:w="2768"/>
            <w:tcBorders>
              <w:top w:val="none"/>
              <w:left w:val="none"/>
              <w:bottom w:val="none"/>
              <w:right w:val="none"/>
            </w:tcBorders>
          </w:tcPr>
          <w:p>
            <w:pPr>
              <w:spacing w:after="40" w:line="276"/>
              <w:jc w:val="center"/>
            </w:pPr>
            <w:r>
              <w:rPr>
                <w:rFonts w:ascii="Times New Roman" w:cs="Times New Roman" w:eastAsia="Times New Roman" w:hAnsi="Times New Roman"/>
                <w:b/>
                <w:bCs/>
              </w:rPr>
              <w:t xml:space="preserve">[Student 3 Name]</w:t>
            </w:r>
          </w:p>
        </w:tc>
      </w:tr>
      <w:tr>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rPr>
              <w:t xml:space="preserve">UID: </w:t>
            </w:r>
            <w:r>
              <w:rPr>
                <w:rFonts w:ascii="Times New Roman" w:cs="Times New Roman" w:eastAsia="Times New Roman" w:hAnsi="Times New Roman"/>
                <w:b/>
                <w:bCs/>
              </w:rPr>
              <w:t xml:space="preserve">[UID]</w:t>
            </w:r>
          </w:p>
        </w:tc>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rPr>
              <w:t xml:space="preserve">UID: </w:t>
            </w:r>
            <w:r>
              <w:rPr>
                <w:rFonts w:ascii="Times New Roman" w:cs="Times New Roman" w:eastAsia="Times New Roman" w:hAnsi="Times New Roman"/>
                <w:b/>
                <w:bCs/>
              </w:rPr>
              <w:t xml:space="preserve">[UID]</w:t>
            </w:r>
          </w:p>
        </w:tc>
        <w:tc>
          <w:tcPr>
            <w:tcW w:type="dxa" w:w="2768"/>
            <w:tcBorders>
              <w:top w:val="none"/>
              <w:left w:val="none"/>
              <w:bottom w:val="none"/>
              <w:right w:val="none"/>
            </w:tcBorders>
          </w:tcPr>
          <w:p>
            <w:pPr>
              <w:spacing w:after="40" w:line="276"/>
              <w:jc w:val="center"/>
            </w:pPr>
            <w:r>
              <w:rPr>
                <w:rFonts w:ascii="Times New Roman" w:cs="Times New Roman" w:eastAsia="Times New Roman" w:hAnsi="Times New Roman"/>
              </w:rPr>
              <w:t xml:space="preserve">UID: </w:t>
            </w:r>
            <w:r>
              <w:rPr>
                <w:rFonts w:ascii="Times New Roman" w:cs="Times New Roman" w:eastAsia="Times New Roman" w:hAnsi="Times New Roman"/>
                <w:b/>
                <w:bCs/>
              </w:rPr>
              <w:t xml:space="preserve">[UID]</w:t>
            </w:r>
          </w:p>
        </w:tc>
      </w:tr>
      <w:tr>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rPr>
              <w:t xml:space="preserve"/>
            </w:r>
          </w:p>
        </w:tc>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rPr>
              <w:t xml:space="preserve"/>
            </w:r>
          </w:p>
        </w:tc>
        <w:tc>
          <w:tcPr>
            <w:tcW w:type="dxa" w:w="2768"/>
            <w:tcBorders>
              <w:top w:val="none"/>
              <w:left w:val="none"/>
              <w:bottom w:val="none"/>
              <w:right w:val="none"/>
            </w:tcBorders>
          </w:tcPr>
          <w:p>
            <w:pPr>
              <w:spacing w:after="40" w:line="276"/>
              <w:jc w:val="center"/>
            </w:pPr>
            <w:r>
              <w:rPr>
                <w:rFonts w:ascii="Times New Roman" w:cs="Times New Roman" w:eastAsia="Times New Roman" w:hAnsi="Times New Roman"/>
              </w:rPr>
              <w:t xml:space="preserve"/>
            </w:r>
          </w:p>
        </w:tc>
      </w:tr>
      <w:tr>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rPr>
              <w:t xml:space="preserve">(signature)</w:t>
            </w:r>
          </w:p>
        </w:tc>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rPr>
              <w:t xml:space="preserve">(signature)</w:t>
            </w:r>
          </w:p>
        </w:tc>
        <w:tc>
          <w:tcPr>
            <w:tcW w:type="dxa" w:w="2768"/>
            <w:tcBorders>
              <w:top w:val="none"/>
              <w:left w:val="none"/>
              <w:bottom w:val="none"/>
              <w:right w:val="none"/>
            </w:tcBorders>
          </w:tcPr>
          <w:p>
            <w:pPr>
              <w:spacing w:after="40" w:line="276"/>
              <w:jc w:val="center"/>
            </w:pPr>
            <w:r>
              <w:rPr>
                <w:rFonts w:ascii="Times New Roman" w:cs="Times New Roman" w:eastAsia="Times New Roman" w:hAnsi="Times New Roman"/>
              </w:rPr>
              <w:t xml:space="preserve">(signature)</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line="360"/>
        <w:jc w:val="left"/>
      </w:pPr>
      <w:r>
        <w:rPr>
          <w:rFonts w:ascii="Times New Roman" w:cs="Times New Roman" w:eastAsia="Times New Roman" w:hAnsi="Times New Roman"/>
        </w:rPr>
        <w:t xml:space="preserve">Date: </w:t>
      </w:r>
      <w:r>
        <w:rPr>
          <w:rFonts w:ascii="Times New Roman" w:cs="Times New Roman" w:eastAsia="Times New Roman" w:hAnsi="Times New Roman"/>
          <w:b/>
          <w:bCs/>
        </w:rPr>
        <w:t xml:space="preserve">[DD / MM / YYYY]</w:t>
      </w:r>
    </w:p>
    <w:p>
      <w:pPr>
        <w:pStyle w:val="Heading1"/>
        <w:pageBreakBefore/>
        <w:jc w:val="center"/>
      </w:pPr>
      <w:bookmarkStart w:name="_Toc4" w:id="4"/>
      <w:r>
        <w:rPr>
          <w:rFonts w:ascii="Times New Roman" w:cs="Times New Roman" w:eastAsia="Times New Roman" w:hAnsi="Times New Roman"/>
        </w:rPr>
        <w:t xml:space="preserve">ACKNOWLEDGEMENT</w:t>
      </w:r>
      <w:bookmarkEnd w:id="4"/>
    </w:p>
    <w:p>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rPr>
        <w:t xml:space="preserve">We express our sincere gratitude to our project guide, </w:t>
      </w:r>
      <w:r>
        <w:rPr>
          <w:rFonts w:ascii="Times New Roman" w:cs="Times New Roman" w:eastAsia="Times New Roman" w:hAnsi="Times New Roman"/>
          <w:b/>
          <w:bCs/>
        </w:rPr>
        <w:t xml:space="preserve">[Guide Name]</w:t>
      </w:r>
      <w:r>
        <w:rPr>
          <w:rFonts w:ascii="Times New Roman" w:cs="Times New Roman" w:eastAsia="Times New Roman" w:hAnsi="Times New Roman"/>
        </w:rPr>
        <w:t xml:space="preserve">, for valuable guidance, constant encouragement and constructive feedback at every phase of this project. We are thankful to </w:t>
      </w:r>
      <w:r>
        <w:rPr>
          <w:rFonts w:ascii="Times New Roman" w:cs="Times New Roman" w:eastAsia="Times New Roman" w:hAnsi="Times New Roman"/>
          <w:b/>
          <w:bCs/>
        </w:rPr>
        <w:t xml:space="preserve">[HOD Name]</w:t>
      </w:r>
      <w:r>
        <w:rPr>
          <w:rFonts w:ascii="Times New Roman" w:cs="Times New Roman" w:eastAsia="Times New Roman" w:hAnsi="Times New Roman"/>
        </w:rPr>
        <w:t xml:space="preserve">, Head of the Department of Computer Engineering, and to the Principal, </w:t>
      </w:r>
      <w:r>
        <w:rPr>
          <w:rFonts w:ascii="Times New Roman" w:cs="Times New Roman" w:eastAsia="Times New Roman" w:hAnsi="Times New Roman"/>
          <w:b/>
          <w:bCs/>
        </w:rPr>
        <w:t xml:space="preserve">Dr. B. N. Chaudhari</w:t>
      </w:r>
      <w:r>
        <w:rPr>
          <w:rFonts w:ascii="Times New Roman" w:cs="Times New Roman" w:eastAsia="Times New Roman" w:hAnsi="Times New Roman"/>
        </w:rPr>
        <w:t xml:space="preserve">, for providing the facilities and the environment that made this work possible.</w:t>
      </w:r>
    </w:p>
    <w:p>
      <w:pPr>
        <w:spacing w:after="120" w:line="360"/>
        <w:jc w:val="both"/>
      </w:pPr>
      <w:r>
        <w:rPr>
          <w:rFonts w:ascii="Times New Roman" w:cs="Times New Roman" w:eastAsia="Times New Roman" w:hAnsi="Times New Roman"/>
        </w:rPr>
        <w:t xml:space="preserve">We thank the faculty and staff of the Department of Computer Engineering for their support during the Phase I to Phase IV evaluations. We also acknowledge the maintainers of the open-source software on which the system is built — FastAPI, PostgreSQL, TimescaleDB, Redis, Celery, NumPy, SciPy, pandas, scikit-learn, Next.js, React and three.js — and the public data published by the Association of Mutual Funds in India (AMFI), NSE Indices Ltd. and Nippon India Mutual Fund.</w:t>
      </w:r>
    </w:p>
    <w:p>
      <w:pPr>
        <w:spacing w:after="120" w:line="360"/>
        <w:jc w:val="both"/>
      </w:pPr>
      <w:r>
        <w:rPr>
          <w:rFonts w:ascii="Times New Roman" w:cs="Times New Roman" w:eastAsia="Times New Roman" w:hAnsi="Times New Roman"/>
        </w:rPr>
        <w:t xml:space="preserve">AI-based assistants were used during development and drafting for code suggestions, diagram generation and language editing. All design decisions, code, measurements and text were reviewed by the authors, and every result in this report was produced by running the project’s own code.</w:t>
      </w:r>
    </w:p>
    <w:p>
      <w:pPr>
        <w:spacing w:after="120" w:line="360"/>
        <w:jc w:val="both"/>
      </w:pPr>
      <w:r>
        <w:rPr>
          <w:rFonts w:ascii="Times New Roman" w:cs="Times New Roman" w:eastAsia="Times New Roman" w:hAnsi="Times New Roman"/>
        </w:rPr>
        <w:t xml:space="preserve">Finally, we thank our families and friends for their patience and encouragement.</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8306"/>
        <w:tblBorders>
          <w:top w:val="none"/>
          <w:left w:val="none"/>
          <w:bottom w:val="none"/>
          <w:right w:val="none"/>
          <w:insideH w:val="none"/>
          <w:insideV w:val="none"/>
        </w:tblBorders>
      </w:tblPr>
      <w:tblGrid>
        <w:gridCol w:w="2769"/>
        <w:gridCol w:w="2769"/>
        <w:gridCol w:w="2768"/>
      </w:tblGrid>
      <w:tr>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b/>
                <w:bCs/>
              </w:rPr>
              <w:t xml:space="preserve">Jinay Shah</w:t>
            </w:r>
          </w:p>
        </w:tc>
        <w:tc>
          <w:tcPr>
            <w:tcW w:type="dxa" w:w="2769"/>
            <w:tcBorders>
              <w:top w:val="none"/>
              <w:left w:val="none"/>
              <w:bottom w:val="none"/>
              <w:right w:val="none"/>
            </w:tcBorders>
          </w:tcPr>
          <w:p>
            <w:pPr>
              <w:spacing w:after="40" w:line="276"/>
              <w:jc w:val="center"/>
            </w:pPr>
            <w:r>
              <w:rPr>
                <w:rFonts w:ascii="Times New Roman" w:cs="Times New Roman" w:eastAsia="Times New Roman" w:hAnsi="Times New Roman"/>
                <w:b/>
                <w:bCs/>
              </w:rPr>
              <w:t xml:space="preserve">[Student 2 Name]</w:t>
            </w:r>
          </w:p>
        </w:tc>
        <w:tc>
          <w:tcPr>
            <w:tcW w:type="dxa" w:w="2768"/>
            <w:tcBorders>
              <w:top w:val="none"/>
              <w:left w:val="none"/>
              <w:bottom w:val="none"/>
              <w:right w:val="none"/>
            </w:tcBorders>
          </w:tcPr>
          <w:p>
            <w:pPr>
              <w:spacing w:after="40" w:line="276"/>
              <w:jc w:val="center"/>
            </w:pPr>
            <w:r>
              <w:rPr>
                <w:rFonts w:ascii="Times New Roman" w:cs="Times New Roman" w:eastAsia="Times New Roman" w:hAnsi="Times New Roman"/>
                <w:b/>
                <w:bCs/>
              </w:rPr>
              <w:t xml:space="preserve">[Student 3 Name]</w:t>
            </w:r>
          </w:p>
        </w:tc>
      </w:tr>
    </w:tbl>
    <w:p>
      <w:pPr>
        <w:pStyle w:val="Heading1"/>
        <w:pageBreakBefore/>
        <w:jc w:val="center"/>
      </w:pPr>
      <w:bookmarkStart w:name="_Toc5" w:id="5"/>
      <w:r>
        <w:rPr>
          <w:rFonts w:ascii="Times New Roman" w:cs="Times New Roman" w:eastAsia="Times New Roman" w:hAnsi="Times New Roman"/>
        </w:rPr>
        <w:t xml:space="preserve">ABSTRACT</w:t>
      </w:r>
      <w:bookmarkEnd w:id="5"/>
    </w:p>
    <w:p>
      <w:pPr>
        <w:spacing w:after="120" w:line="360"/>
        <w:jc w:val="both"/>
      </w:pPr>
      <w:r>
        <w:rPr>
          <w:rFonts w:ascii="Times New Roman" w:cs="Times New Roman" w:eastAsia="Times New Roman" w:hAnsi="Times New Roman"/>
          <w:b/>
          <w:bCs/>
        </w:rPr>
        <w:t xml:space="preserve">Problem and motivation.</w:t>
      </w:r>
      <w:r>
        <w:rPr>
          <w:rFonts w:ascii="Times New Roman" w:cs="Times New Roman" w:eastAsia="Times New Roman" w:hAnsi="Times New Roman"/>
        </w:rPr>
        <w:t xml:space="preserve"> Indian retail investors commonly hold several mutual funds believing that more schemes mean more diversification, but schemes of one fund house often hold the same companies: in Nippon India’s 20 equity schemes, four banks each appear in 11 schemes, and two schemes sharing only 15 holdings can have 41% of their money in the same stocks. Existing tools count shared names, show static risk and give single-number retirement projections, and none reports how accurate its estimates are.</w:t>
      </w:r>
    </w:p>
    <w:p>
      <w:pPr>
        <w:spacing w:after="120" w:line="360"/>
        <w:jc w:val="both"/>
      </w:pPr>
      <w:r>
        <w:rPr>
          <w:rFonts w:ascii="Times New Roman" w:cs="Times New Roman" w:eastAsia="Times New Roman" w:hAnsi="Times New Roman"/>
          <w:b/>
          <w:bCs/>
        </w:rPr>
        <w:t xml:space="preserve">Objectives and proposed solution.</w:t>
      </w:r>
      <w:r>
        <w:rPr>
          <w:rFonts w:ascii="Times New Roman" w:cs="Times New Roman" w:eastAsia="Times New Roman" w:hAnsi="Times New Roman"/>
        </w:rPr>
        <w:t xml:space="preserve"> Nexus Portfolio Intelligence is a full-stack platform that measures overlap by names and by money, predicts how strongly funds will move together, reports current-regime risk and projects retirement as a calibrated probability range, for all 35 Nippon India schemes, with every model validated out of sample and its evidence shown to the investor.</w:t>
      </w:r>
    </w:p>
    <w:p>
      <w:pPr>
        <w:spacing w:after="120" w:line="360"/>
        <w:jc w:val="both"/>
      </w:pPr>
      <w:r>
        <w:rPr>
          <w:rFonts w:ascii="Times New Roman" w:cs="Times New Roman" w:eastAsia="Times New Roman" w:hAnsi="Times New Roman"/>
          <w:b/>
          <w:bCs/>
        </w:rPr>
        <w:t xml:space="preserve">Technologies and engineering concepts.</w:t>
      </w:r>
      <w:r>
        <w:rPr>
          <w:rFonts w:ascii="Times New Roman" w:cs="Times New Roman" w:eastAsia="Times New Roman" w:hAnsi="Times New Roman"/>
        </w:rPr>
        <w:t xml:space="preserve"> A Next.js 15 client calls a FastAPI backend (47 REST endpoints) backed by PostgreSQL 16 with TimescaleDB, Redis and Celery, deployed with Docker Compose. The work applies layered software design, client–server networking with REST and WebSocket, relational design with indexing and time partitioning, OS-level processes, thread pools and atomic synchronisation, hash-based and queue-based data structures, and algorithm analysis.</w:t>
      </w:r>
    </w:p>
    <w:p>
      <w:pPr>
        <w:spacing w:after="120" w:line="360"/>
        <w:jc w:val="both"/>
      </w:pPr>
      <w:r>
        <w:rPr>
          <w:rFonts w:ascii="Times New Roman" w:cs="Times New Roman" w:eastAsia="Times New Roman" w:hAnsi="Times New Roman"/>
          <w:b/>
          <w:bCs/>
        </w:rPr>
        <w:t xml:space="preserve">Key features.</w:t>
      </w:r>
      <w:r>
        <w:rPr>
          <w:rFonts w:ascii="Times New Roman" w:cs="Times New Roman" w:eastAsia="Times New Roman" w:hAnsi="Times New Roman"/>
        </w:rPr>
        <w:t xml:space="preserve"> Five engines: an eligibility filter, holdings overlap, PLOS (a learned co-movement model with exact Shapley explanations), a Risk engine (GARCH blended with an India-VIX HAR-X model, filtered historical simulation and an extreme-value tail) and ARISE (a Monte Carlo retirement engine with estimation risk). A five-tier data fallback labels every result with its source; AMFI codes are verified against factsheet NAVs.</w:t>
      </w:r>
    </w:p>
    <w:p>
      <w:pPr>
        <w:spacing w:after="120" w:line="360"/>
        <w:jc w:val="both"/>
      </w:pPr>
      <w:r>
        <w:rPr>
          <w:rFonts w:ascii="Times New Roman" w:cs="Times New Roman" w:eastAsia="Times New Roman" w:hAnsi="Times New Roman"/>
          <w:b/>
          <w:bCs/>
        </w:rPr>
        <w:t xml:space="preserve">Testing and results.</w:t>
      </w:r>
      <w:r>
        <w:rPr>
          <w:rFonts w:ascii="Times New Roman" w:cs="Times New Roman" w:eastAsia="Times New Roman" w:hAnsi="Times New Roman"/>
        </w:rPr>
        <w:t xml:space="preserve"> 449 automated tests pass. Out of sample, PLOS accuracy rose from R² 0.570 to 0.626, volatility forecast error fell by 20% (Diebold–Mariano p &lt; 0.00001), VaR/ES passes Kupiec tests for 13 of 13 funds over 21,450 fund-days, and ARISE’s 80% ranges contain 82.8% of real outcomes (previously 67.4%). In load tests on a 4-CPU container, interactive endpoints answered within 36 ms (95th percentile) at 10 concurrent users and over 500 requests per second, with no server errors up to 50 users.</w:t>
      </w:r>
    </w:p>
    <w:p>
      <w:pPr>
        <w:spacing w:after="120" w:line="360"/>
        <w:jc w:val="both"/>
      </w:pPr>
      <w:r>
        <w:rPr>
          <w:rFonts w:ascii="Times New Roman" w:cs="Times New Roman" w:eastAsia="Times New Roman" w:hAnsi="Times New Roman"/>
          <w:b/>
          <w:bCs/>
        </w:rPr>
        <w:t xml:space="preserve">Applicability and limitations.</w:t>
      </w:r>
      <w:r>
        <w:rPr>
          <w:rFonts w:ascii="Times New Roman" w:cs="Times New Roman" w:eastAsia="Times New Roman" w:hAnsi="Times New Roman"/>
        </w:rPr>
        <w:t xml:space="preserve"> The system suits individual investors, advisors and investor education. It covers one fund house, relies on about two decades of Indian data, and its Risk and ARISE engines are CPU-bound beyond about five simultaneous users; it has not been deployed to a public cloud.</w:t>
      </w:r>
    </w:p>
    <w:p>
      <w:pPr>
        <w:spacing w:after="120" w:line="360"/>
        <w:jc w:val="both"/>
      </w:pPr>
      <w:r>
        <w:rPr>
          <w:rFonts w:ascii="Times New Roman" w:cs="Times New Roman" w:eastAsia="Times New Roman" w:hAnsi="Times New Roman"/>
          <w:b/>
          <w:bCs/>
        </w:rPr>
        <w:t xml:space="preserve">Keywords: </w:t>
      </w:r>
      <w:r>
        <w:rPr>
          <w:rFonts w:ascii="Times New Roman" w:cs="Times New Roman" w:eastAsia="Times New Roman" w:hAnsi="Times New Roman"/>
          <w:i/>
          <w:iCs/>
        </w:rPr>
        <w:t xml:space="preserve">mutual fund overlap, diversification, value at risk, volatility forecasting, Monte Carlo simulation, retirement planning, machine learning, FastAPI, performance testing.</w:t>
      </w:r>
    </w:p>
    <w:p>
      <w:pPr>
        <w:pStyle w:val="Heading1"/>
        <w:pageBreakBefore/>
        <w:jc w:val="center"/>
      </w:pPr>
      <w:bookmarkStart w:name="_Toc6" w:id="6"/>
      <w:r>
        <w:rPr>
          <w:rFonts w:ascii="Times New Roman" w:cs="Times New Roman" w:eastAsia="Times New Roman" w:hAnsi="Times New Roman"/>
        </w:rPr>
        <w:t xml:space="preserve">TABLE OF CONTENTS</w:t>
      </w:r>
      <w:bookmarkEnd w:id="6"/>
    </w:p>
    <w:sdt>
      <w:sdtPr>
        <w:alias w:val="Table of Contents"/>
      </w:sdtPr>
      <w:sdtContent>
        <w:p>
          <w:pPr>
            <w:pStyle w:val="TOC1"/>
            <w:tabs>
              <w:tab w:val="right" w:pos="8306" w:leader="dot"/>
            </w:tabs>
          </w:pPr>
          <w:r>
            <w:fldChar w:fldCharType="begin" w:dirty="true"/>
            <w:instrText xml:space="preserve">TOC \h \o "1-2"</w:instrText>
            <w:fldChar w:fldCharType="separate"/>
          </w:r>
          <w:hyperlink w:history="1" w:anchor="_Toc1">
            <w:r>
              <w:t xml:space="preserve">CERTIFICATE</w:t>
            </w:r>
            <w:r>
              <w:tab/>
            </w:r>
            <w:r>
              <w:fldChar w:fldCharType="begin" w:dirty="true"/>
              <w:instrText xml:space="preserve">PAGEREF _Toc1 \h</w:instrText>
              <w:fldChar w:fldCharType="separate"/>
              <w:fldChar w:fldCharType="end"/>
            </w:r>
          </w:hyperlink>
        </w:p>
        <w:p>
          <w:pPr>
            <w:pStyle w:val="TOC1"/>
            <w:tabs>
              <w:tab w:val="right" w:pos="8306" w:leader="dot"/>
            </w:tabs>
          </w:pPr>
          <w:hyperlink w:history="1" w:anchor="_Toc2">
            <w:r>
              <w:t xml:space="preserve">APPROVAL CERTIFICATE</w:t>
            </w:r>
            <w:r>
              <w:tab/>
            </w:r>
            <w:r>
              <w:fldChar w:fldCharType="begin" w:dirty="true"/>
              <w:instrText xml:space="preserve">PAGEREF _Toc2 \h</w:instrText>
              <w:fldChar w:fldCharType="separate"/>
              <w:fldChar w:fldCharType="end"/>
            </w:r>
          </w:hyperlink>
        </w:p>
        <w:p>
          <w:pPr>
            <w:pStyle w:val="TOC1"/>
            <w:tabs>
              <w:tab w:val="right" w:pos="8306" w:leader="dot"/>
            </w:tabs>
          </w:pPr>
          <w:hyperlink w:history="1" w:anchor="_Toc3">
            <w:r>
              <w:t xml:space="preserve">DECLARATION</w:t>
            </w:r>
            <w:r>
              <w:tab/>
            </w:r>
            <w:r>
              <w:fldChar w:fldCharType="begin" w:dirty="true"/>
              <w:instrText xml:space="preserve">PAGEREF _Toc3 \h</w:instrText>
              <w:fldChar w:fldCharType="separate"/>
              <w:fldChar w:fldCharType="end"/>
            </w:r>
          </w:hyperlink>
        </w:p>
        <w:p>
          <w:pPr>
            <w:pStyle w:val="TOC1"/>
            <w:tabs>
              <w:tab w:val="right" w:pos="8306" w:leader="dot"/>
            </w:tabs>
          </w:pPr>
          <w:hyperlink w:history="1" w:anchor="_Toc4">
            <w:r>
              <w:t xml:space="preserve">ACKNOWLEDGEMENT</w:t>
            </w:r>
            <w:r>
              <w:tab/>
            </w:r>
            <w:r>
              <w:fldChar w:fldCharType="begin" w:dirty="true"/>
              <w:instrText xml:space="preserve">PAGEREF _Toc4 \h</w:instrText>
              <w:fldChar w:fldCharType="separate"/>
              <w:fldChar w:fldCharType="end"/>
            </w:r>
          </w:hyperlink>
        </w:p>
        <w:p>
          <w:pPr>
            <w:pStyle w:val="TOC1"/>
            <w:tabs>
              <w:tab w:val="right" w:pos="8306" w:leader="dot"/>
            </w:tabs>
          </w:pPr>
          <w:hyperlink w:history="1" w:anchor="_Toc5">
            <w:r>
              <w:t xml:space="preserve">ABSTRACT</w:t>
            </w:r>
            <w:r>
              <w:tab/>
            </w:r>
            <w:r>
              <w:fldChar w:fldCharType="begin" w:dirty="true"/>
              <w:instrText xml:space="preserve">PAGEREF _Toc5 \h</w:instrText>
              <w:fldChar w:fldCharType="separate"/>
              <w:fldChar w:fldCharType="end"/>
            </w:r>
          </w:hyperlink>
        </w:p>
        <w:p>
          <w:pPr>
            <w:pStyle w:val="TOC1"/>
            <w:tabs>
              <w:tab w:val="right" w:pos="8306" w:leader="dot"/>
            </w:tabs>
          </w:pPr>
          <w:hyperlink w:history="1" w:anchor="_Toc6">
            <w:r>
              <w:t xml:space="preserve">TABLE OF CONTENTS</w:t>
            </w:r>
            <w:r>
              <w:tab/>
            </w:r>
            <w:r>
              <w:fldChar w:fldCharType="begin" w:dirty="true"/>
              <w:instrText xml:space="preserve">PAGEREF _Toc6 \h</w:instrText>
              <w:fldChar w:fldCharType="separate"/>
              <w:fldChar w:fldCharType="end"/>
            </w:r>
          </w:hyperlink>
        </w:p>
        <w:p>
          <w:pPr>
            <w:pStyle w:val="TOC1"/>
            <w:tabs>
              <w:tab w:val="right" w:pos="8306" w:leader="dot"/>
            </w:tabs>
          </w:pPr>
          <w:hyperlink w:history="1" w:anchor="_Toc7">
            <w:r>
              <w:t xml:space="preserve">LIST OF FIGURES</w:t>
            </w:r>
            <w:r>
              <w:tab/>
            </w:r>
            <w:r>
              <w:fldChar w:fldCharType="begin" w:dirty="true"/>
              <w:instrText xml:space="preserve">PAGEREF _Toc7 \h</w:instrText>
              <w:fldChar w:fldCharType="separate"/>
              <w:fldChar w:fldCharType="end"/>
            </w:r>
          </w:hyperlink>
        </w:p>
        <w:p>
          <w:pPr>
            <w:pStyle w:val="TOC1"/>
            <w:tabs>
              <w:tab w:val="right" w:pos="8306" w:leader="dot"/>
            </w:tabs>
          </w:pPr>
          <w:hyperlink w:history="1" w:anchor="_Toc8">
            <w:r>
              <w:t xml:space="preserve">LIST OF TABLES</w:t>
            </w:r>
            <w:r>
              <w:tab/>
            </w:r>
            <w:r>
              <w:fldChar w:fldCharType="begin" w:dirty="true"/>
              <w:instrText xml:space="preserve">PAGEREF _Toc8 \h</w:instrText>
              <w:fldChar w:fldCharType="separate"/>
              <w:fldChar w:fldCharType="end"/>
            </w:r>
          </w:hyperlink>
        </w:p>
        <w:p>
          <w:pPr>
            <w:pStyle w:val="TOC1"/>
            <w:tabs>
              <w:tab w:val="right" w:pos="8306" w:leader="dot"/>
            </w:tabs>
          </w:pPr>
          <w:hyperlink w:history="1" w:anchor="_Toc9">
            <w:r>
              <w:t xml:space="preserve">LIST OF ABBREVIATIONS AND SYMBOLS</w:t>
            </w:r>
            <w:r>
              <w:tab/>
            </w:r>
            <w:r>
              <w:fldChar w:fldCharType="begin" w:dirty="true"/>
              <w:instrText xml:space="preserve">PAGEREF _Toc9 \h</w:instrText>
              <w:fldChar w:fldCharType="separate"/>
              <w:fldChar w:fldCharType="end"/>
            </w:r>
          </w:hyperlink>
        </w:p>
        <w:p>
          <w:pPr>
            <w:pStyle w:val="TOC1"/>
            <w:tabs>
              <w:tab w:val="right" w:pos="8306" w:leader="dot"/>
            </w:tabs>
          </w:pPr>
          <w:hyperlink w:history="1" w:anchor="_Toc10">
            <w:r>
              <w:t xml:space="preserve">INTRODUCTION AND PROBLEM DEFINITION</w:t>
            </w:r>
            <w:r>
              <w:tab/>
            </w:r>
            <w:r>
              <w:fldChar w:fldCharType="begin" w:dirty="true"/>
              <w:instrText xml:space="preserve">PAGEREF _Toc10 \h</w:instrText>
              <w:fldChar w:fldCharType="separate"/>
              <w:fldChar w:fldCharType="end"/>
            </w:r>
          </w:hyperlink>
        </w:p>
        <w:p>
          <w:pPr>
            <w:pStyle w:val="TOC2"/>
            <w:tabs>
              <w:tab w:val="right" w:pos="8306" w:leader="dot"/>
            </w:tabs>
          </w:pPr>
          <w:hyperlink w:history="1" w:anchor="_Toc11">
            <w:r>
              <w:t xml:space="preserve">1.1 Project Background</w:t>
            </w:r>
            <w:r>
              <w:tab/>
            </w:r>
            <w:r>
              <w:fldChar w:fldCharType="begin" w:dirty="true"/>
              <w:instrText xml:space="preserve">PAGEREF _Toc11 \h</w:instrText>
              <w:fldChar w:fldCharType="separate"/>
              <w:fldChar w:fldCharType="end"/>
            </w:r>
          </w:hyperlink>
        </w:p>
        <w:p>
          <w:pPr>
            <w:pStyle w:val="TOC2"/>
            <w:tabs>
              <w:tab w:val="right" w:pos="8306" w:leader="dot"/>
            </w:tabs>
          </w:pPr>
          <w:hyperlink w:history="1" w:anchor="_Toc12">
            <w:r>
              <w:t xml:space="preserve">1.2 Problem Statement</w:t>
            </w:r>
            <w:r>
              <w:tab/>
            </w:r>
            <w:r>
              <w:fldChar w:fldCharType="begin" w:dirty="true"/>
              <w:instrText xml:space="preserve">PAGEREF _Toc12 \h</w:instrText>
              <w:fldChar w:fldCharType="separate"/>
              <w:fldChar w:fldCharType="end"/>
            </w:r>
          </w:hyperlink>
        </w:p>
        <w:p>
          <w:pPr>
            <w:pStyle w:val="TOC2"/>
            <w:tabs>
              <w:tab w:val="right" w:pos="8306" w:leader="dot"/>
            </w:tabs>
          </w:pPr>
          <w:hyperlink w:history="1" w:anchor="_Toc13">
            <w:r>
              <w:t xml:space="preserve">1.3 Motivation</w:t>
            </w:r>
            <w:r>
              <w:tab/>
            </w:r>
            <w:r>
              <w:fldChar w:fldCharType="begin" w:dirty="true"/>
              <w:instrText xml:space="preserve">PAGEREF _Toc13 \h</w:instrText>
              <w:fldChar w:fldCharType="separate"/>
              <w:fldChar w:fldCharType="end"/>
            </w:r>
          </w:hyperlink>
        </w:p>
        <w:p>
          <w:pPr>
            <w:pStyle w:val="TOC2"/>
            <w:tabs>
              <w:tab w:val="right" w:pos="8306" w:leader="dot"/>
            </w:tabs>
          </w:pPr>
          <w:hyperlink w:history="1" w:anchor="_Toc14">
            <w:r>
              <w:t xml:space="preserve">1.4 Objectives</w:t>
            </w:r>
            <w:r>
              <w:tab/>
            </w:r>
            <w:r>
              <w:fldChar w:fldCharType="begin" w:dirty="true"/>
              <w:instrText xml:space="preserve">PAGEREF _Toc14 \h</w:instrText>
              <w:fldChar w:fldCharType="separate"/>
              <w:fldChar w:fldCharType="end"/>
            </w:r>
          </w:hyperlink>
        </w:p>
        <w:p>
          <w:pPr>
            <w:pStyle w:val="TOC2"/>
            <w:tabs>
              <w:tab w:val="right" w:pos="8306" w:leader="dot"/>
            </w:tabs>
          </w:pPr>
          <w:hyperlink w:history="1" w:anchor="_Toc15">
            <w:r>
              <w:t xml:space="preserve">1.5 Scope of the Project</w:t>
            </w:r>
            <w:r>
              <w:tab/>
            </w:r>
            <w:r>
              <w:fldChar w:fldCharType="begin" w:dirty="true"/>
              <w:instrText xml:space="preserve">PAGEREF _Toc15 \h</w:instrText>
              <w:fldChar w:fldCharType="separate"/>
              <w:fldChar w:fldCharType="end"/>
            </w:r>
          </w:hyperlink>
        </w:p>
        <w:p>
          <w:pPr>
            <w:pStyle w:val="TOC2"/>
            <w:tabs>
              <w:tab w:val="right" w:pos="8306" w:leader="dot"/>
            </w:tabs>
          </w:pPr>
          <w:hyperlink w:history="1" w:anchor="_Toc16">
            <w:r>
              <w:t xml:space="preserve">1.6 Proposed Solution</w:t>
            </w:r>
            <w:r>
              <w:tab/>
            </w:r>
            <w:r>
              <w:fldChar w:fldCharType="begin" w:dirty="true"/>
              <w:instrText xml:space="preserve">PAGEREF _Toc16 \h</w:instrText>
              <w:fldChar w:fldCharType="separate"/>
              <w:fldChar w:fldCharType="end"/>
            </w:r>
          </w:hyperlink>
        </w:p>
        <w:p>
          <w:pPr>
            <w:pStyle w:val="TOC2"/>
            <w:tabs>
              <w:tab w:val="right" w:pos="8306" w:leader="dot"/>
            </w:tabs>
          </w:pPr>
          <w:hyperlink w:history="1" w:anchor="_Toc17">
            <w:r>
              <w:t xml:space="preserve">1.7 Novelty and Originality</w:t>
            </w:r>
            <w:r>
              <w:tab/>
            </w:r>
            <w:r>
              <w:fldChar w:fldCharType="begin" w:dirty="true"/>
              <w:instrText xml:space="preserve">PAGEREF _Toc17 \h</w:instrText>
              <w:fldChar w:fldCharType="separate"/>
              <w:fldChar w:fldCharType="end"/>
            </w:r>
          </w:hyperlink>
        </w:p>
        <w:p>
          <w:pPr>
            <w:pStyle w:val="TOC2"/>
            <w:tabs>
              <w:tab w:val="right" w:pos="8306" w:leader="dot"/>
            </w:tabs>
          </w:pPr>
          <w:hyperlink w:history="1" w:anchor="_Toc18">
            <w:r>
              <w:t xml:space="preserve">1.8 Feasibility Analysis</w:t>
            </w:r>
            <w:r>
              <w:tab/>
            </w:r>
            <w:r>
              <w:fldChar w:fldCharType="begin" w:dirty="true"/>
              <w:instrText xml:space="preserve">PAGEREF _Toc18 \h</w:instrText>
              <w:fldChar w:fldCharType="separate"/>
              <w:fldChar w:fldCharType="end"/>
            </w:r>
          </w:hyperlink>
        </w:p>
        <w:p>
          <w:pPr>
            <w:pStyle w:val="TOC2"/>
            <w:tabs>
              <w:tab w:val="right" w:pos="8306" w:leader="dot"/>
            </w:tabs>
          </w:pPr>
          <w:hyperlink w:history="1" w:anchor="_Toc19">
            <w:r>
              <w:t xml:space="preserve">1.9 Social Relevance and Practical Applications</w:t>
            </w:r>
            <w:r>
              <w:tab/>
            </w:r>
            <w:r>
              <w:fldChar w:fldCharType="begin" w:dirty="true"/>
              <w:instrText xml:space="preserve">PAGEREF _Toc19 \h</w:instrText>
              <w:fldChar w:fldCharType="separate"/>
              <w:fldChar w:fldCharType="end"/>
            </w:r>
          </w:hyperlink>
        </w:p>
        <w:p>
          <w:pPr>
            <w:pStyle w:val="TOC2"/>
            <w:tabs>
              <w:tab w:val="right" w:pos="8306" w:leader="dot"/>
            </w:tabs>
          </w:pPr>
          <w:hyperlink w:history="1" w:anchor="_Toc20">
            <w:r>
              <w:t xml:space="preserve">1.10 Success Criteria and Key Performance Indicators</w:t>
            </w:r>
            <w:r>
              <w:tab/>
            </w:r>
            <w:r>
              <w:fldChar w:fldCharType="begin" w:dirty="true"/>
              <w:instrText xml:space="preserve">PAGEREF _Toc20 \h</w:instrText>
              <w:fldChar w:fldCharType="separate"/>
              <w:fldChar w:fldCharType="end"/>
            </w:r>
          </w:hyperlink>
        </w:p>
        <w:p>
          <w:pPr>
            <w:pStyle w:val="TOC1"/>
            <w:tabs>
              <w:tab w:val="right" w:pos="8306" w:leader="dot"/>
            </w:tabs>
          </w:pPr>
          <w:hyperlink w:history="1" w:anchor="_Toc21">
            <w:r>
              <w:t xml:space="preserve">LITERATURE REVIEW AND STUDY OF EXISTING SYSTEMS</w:t>
            </w:r>
            <w:r>
              <w:tab/>
            </w:r>
            <w:r>
              <w:fldChar w:fldCharType="begin" w:dirty="true"/>
              <w:instrText xml:space="preserve">PAGEREF _Toc21 \h</w:instrText>
              <w:fldChar w:fldCharType="separate"/>
              <w:fldChar w:fldCharType="end"/>
            </w:r>
          </w:hyperlink>
        </w:p>
        <w:p>
          <w:pPr>
            <w:pStyle w:val="TOC2"/>
            <w:tabs>
              <w:tab w:val="right" w:pos="8306" w:leader="dot"/>
            </w:tabs>
          </w:pPr>
          <w:hyperlink w:history="1" w:anchor="_Toc22">
            <w:r>
              <w:t xml:space="preserve">2.1 Study of Existing Systems</w:t>
            </w:r>
            <w:r>
              <w:tab/>
            </w:r>
            <w:r>
              <w:fldChar w:fldCharType="begin" w:dirty="true"/>
              <w:instrText xml:space="preserve">PAGEREF _Toc22 \h</w:instrText>
              <w:fldChar w:fldCharType="separate"/>
              <w:fldChar w:fldCharType="end"/>
            </w:r>
          </w:hyperlink>
        </w:p>
        <w:p>
          <w:pPr>
            <w:pStyle w:val="TOC2"/>
            <w:tabs>
              <w:tab w:val="right" w:pos="8306" w:leader="dot"/>
            </w:tabs>
          </w:pPr>
          <w:hyperlink w:history="1" w:anchor="_Toc23">
            <w:r>
              <w:t xml:space="preserve">2.2 Review of Research Papers and Technical Resources</w:t>
            </w:r>
            <w:r>
              <w:tab/>
            </w:r>
            <w:r>
              <w:fldChar w:fldCharType="begin" w:dirty="true"/>
              <w:instrText xml:space="preserve">PAGEREF _Toc23 \h</w:instrText>
              <w:fldChar w:fldCharType="separate"/>
              <w:fldChar w:fldCharType="end"/>
            </w:r>
          </w:hyperlink>
        </w:p>
        <w:p>
          <w:pPr>
            <w:pStyle w:val="TOC2"/>
            <w:tabs>
              <w:tab w:val="right" w:pos="8306" w:leader="dot"/>
            </w:tabs>
          </w:pPr>
          <w:hyperlink w:history="1" w:anchor="_Toc24">
            <w:r>
              <w:t xml:space="preserve">2.3 Comparative Analysis</w:t>
            </w:r>
            <w:r>
              <w:tab/>
            </w:r>
            <w:r>
              <w:fldChar w:fldCharType="begin" w:dirty="true"/>
              <w:instrText xml:space="preserve">PAGEREF _Toc24 \h</w:instrText>
              <w:fldChar w:fldCharType="separate"/>
              <w:fldChar w:fldCharType="end"/>
            </w:r>
          </w:hyperlink>
        </w:p>
        <w:p>
          <w:pPr>
            <w:pStyle w:val="TOC2"/>
            <w:tabs>
              <w:tab w:val="right" w:pos="8306" w:leader="dot"/>
            </w:tabs>
          </w:pPr>
          <w:hyperlink w:history="1" w:anchor="_Toc25">
            <w:r>
              <w:t xml:space="preserve">2.4 Limitations of Existing Systems</w:t>
            </w:r>
            <w:r>
              <w:tab/>
            </w:r>
            <w:r>
              <w:fldChar w:fldCharType="begin" w:dirty="true"/>
              <w:instrText xml:space="preserve">PAGEREF _Toc25 \h</w:instrText>
              <w:fldChar w:fldCharType="separate"/>
              <w:fldChar w:fldCharType="end"/>
            </w:r>
          </w:hyperlink>
        </w:p>
        <w:p>
          <w:pPr>
            <w:pStyle w:val="TOC2"/>
            <w:tabs>
              <w:tab w:val="right" w:pos="8306" w:leader="dot"/>
            </w:tabs>
          </w:pPr>
          <w:hyperlink w:history="1" w:anchor="_Toc26">
            <w:r>
              <w:t xml:space="preserve">2.5 Identified Research and Engineering Gap</w:t>
            </w:r>
            <w:r>
              <w:tab/>
            </w:r>
            <w:r>
              <w:fldChar w:fldCharType="begin" w:dirty="true"/>
              <w:instrText xml:space="preserve">PAGEREF _Toc26 \h</w:instrText>
              <w:fldChar w:fldCharType="separate"/>
              <w:fldChar w:fldCharType="end"/>
            </w:r>
          </w:hyperlink>
        </w:p>
        <w:p>
          <w:pPr>
            <w:pStyle w:val="TOC2"/>
            <w:tabs>
              <w:tab w:val="right" w:pos="8306" w:leader="dot"/>
            </w:tabs>
          </w:pPr>
          <w:hyperlink w:history="1" w:anchor="_Toc27">
            <w:r>
              <w:t xml:space="preserve">2.6 Proposed Improvements</w:t>
            </w:r>
            <w:r>
              <w:tab/>
            </w:r>
            <w:r>
              <w:fldChar w:fldCharType="begin" w:dirty="true"/>
              <w:instrText xml:space="preserve">PAGEREF _Toc27 \h</w:instrText>
              <w:fldChar w:fldCharType="separate"/>
              <w:fldChar w:fldCharType="end"/>
            </w:r>
          </w:hyperlink>
        </w:p>
        <w:p>
          <w:pPr>
            <w:pStyle w:val="TOC1"/>
            <w:tabs>
              <w:tab w:val="right" w:pos="8306" w:leader="dot"/>
            </w:tabs>
          </w:pPr>
          <w:hyperlink w:history="1" w:anchor="_Toc28">
            <w:r>
              <w:t xml:space="preserve">SOFTWARE REQUIREMENTS SPECIFICATION</w:t>
            </w:r>
            <w:r>
              <w:tab/>
            </w:r>
            <w:r>
              <w:fldChar w:fldCharType="begin" w:dirty="true"/>
              <w:instrText xml:space="preserve">PAGEREF _Toc28 \h</w:instrText>
              <w:fldChar w:fldCharType="separate"/>
              <w:fldChar w:fldCharType="end"/>
            </w:r>
          </w:hyperlink>
        </w:p>
        <w:p>
          <w:pPr>
            <w:pStyle w:val="TOC2"/>
            <w:tabs>
              <w:tab w:val="right" w:pos="8306" w:leader="dot"/>
            </w:tabs>
          </w:pPr>
          <w:hyperlink w:history="1" w:anchor="_Toc29">
            <w:r>
              <w:t xml:space="preserve">3.1 Purpose and Scope of the SRS</w:t>
            </w:r>
            <w:r>
              <w:tab/>
            </w:r>
            <w:r>
              <w:fldChar w:fldCharType="begin" w:dirty="true"/>
              <w:instrText xml:space="preserve">PAGEREF _Toc29 \h</w:instrText>
              <w:fldChar w:fldCharType="separate"/>
              <w:fldChar w:fldCharType="end"/>
            </w:r>
          </w:hyperlink>
        </w:p>
        <w:p>
          <w:pPr>
            <w:pStyle w:val="TOC2"/>
            <w:tabs>
              <w:tab w:val="right" w:pos="8306" w:leader="dot"/>
            </w:tabs>
          </w:pPr>
          <w:hyperlink w:history="1" w:anchor="_Toc30">
            <w:r>
              <w:t xml:space="preserve">3.2 Intended Users and Stakeholders</w:t>
            </w:r>
            <w:r>
              <w:tab/>
            </w:r>
            <w:r>
              <w:fldChar w:fldCharType="begin" w:dirty="true"/>
              <w:instrText xml:space="preserve">PAGEREF _Toc30 \h</w:instrText>
              <w:fldChar w:fldCharType="separate"/>
              <w:fldChar w:fldCharType="end"/>
            </w:r>
          </w:hyperlink>
        </w:p>
        <w:p>
          <w:pPr>
            <w:pStyle w:val="TOC2"/>
            <w:tabs>
              <w:tab w:val="right" w:pos="8306" w:leader="dot"/>
            </w:tabs>
          </w:pPr>
          <w:hyperlink w:history="1" w:anchor="_Toc31">
            <w:r>
              <w:t xml:space="preserve">3.3 Overall Product Description</w:t>
            </w:r>
            <w:r>
              <w:tab/>
            </w:r>
            <w:r>
              <w:fldChar w:fldCharType="begin" w:dirty="true"/>
              <w:instrText xml:space="preserve">PAGEREF _Toc31 \h</w:instrText>
              <w:fldChar w:fldCharType="separate"/>
              <w:fldChar w:fldCharType="end"/>
            </w:r>
          </w:hyperlink>
        </w:p>
        <w:p>
          <w:pPr>
            <w:pStyle w:val="TOC2"/>
            <w:tabs>
              <w:tab w:val="right" w:pos="8306" w:leader="dot"/>
            </w:tabs>
          </w:pPr>
          <w:hyperlink w:history="1" w:anchor="_Toc32">
            <w:r>
              <w:t xml:space="preserve">3.4 Functional Requirements</w:t>
            </w:r>
            <w:r>
              <w:tab/>
            </w:r>
            <w:r>
              <w:fldChar w:fldCharType="begin" w:dirty="true"/>
              <w:instrText xml:space="preserve">PAGEREF _Toc32 \h</w:instrText>
              <w:fldChar w:fldCharType="separate"/>
              <w:fldChar w:fldCharType="end"/>
            </w:r>
          </w:hyperlink>
        </w:p>
        <w:p>
          <w:pPr>
            <w:pStyle w:val="TOC2"/>
            <w:tabs>
              <w:tab w:val="right" w:pos="8306" w:leader="dot"/>
            </w:tabs>
          </w:pPr>
          <w:hyperlink w:history="1" w:anchor="_Toc33">
            <w:r>
              <w:t xml:space="preserve">3.5 Non-Functional Requirements</w:t>
            </w:r>
            <w:r>
              <w:tab/>
            </w:r>
            <w:r>
              <w:fldChar w:fldCharType="begin" w:dirty="true"/>
              <w:instrText xml:space="preserve">PAGEREF _Toc33 \h</w:instrText>
              <w:fldChar w:fldCharType="separate"/>
              <w:fldChar w:fldCharType="end"/>
            </w:r>
          </w:hyperlink>
        </w:p>
        <w:p>
          <w:pPr>
            <w:pStyle w:val="TOC2"/>
            <w:tabs>
              <w:tab w:val="right" w:pos="8306" w:leader="dot"/>
            </w:tabs>
          </w:pPr>
          <w:hyperlink w:history="1" w:anchor="_Toc34">
            <w:r>
              <w:t xml:space="preserve">3.6 Hardware and Software Requirements</w:t>
            </w:r>
            <w:r>
              <w:tab/>
            </w:r>
            <w:r>
              <w:fldChar w:fldCharType="begin" w:dirty="true"/>
              <w:instrText xml:space="preserve">PAGEREF _Toc34 \h</w:instrText>
              <w:fldChar w:fldCharType="separate"/>
              <w:fldChar w:fldCharType="end"/>
            </w:r>
          </w:hyperlink>
        </w:p>
        <w:p>
          <w:pPr>
            <w:pStyle w:val="TOC2"/>
            <w:tabs>
              <w:tab w:val="right" w:pos="8306" w:leader="dot"/>
            </w:tabs>
          </w:pPr>
          <w:hyperlink w:history="1" w:anchor="_Toc35">
            <w:r>
              <w:t xml:space="preserve">3.7 Constraints and Assumptions</w:t>
            </w:r>
            <w:r>
              <w:tab/>
            </w:r>
            <w:r>
              <w:fldChar w:fldCharType="begin" w:dirty="true"/>
              <w:instrText xml:space="preserve">PAGEREF _Toc35 \h</w:instrText>
              <w:fldChar w:fldCharType="separate"/>
              <w:fldChar w:fldCharType="end"/>
            </w:r>
          </w:hyperlink>
        </w:p>
        <w:p>
          <w:pPr>
            <w:pStyle w:val="TOC2"/>
            <w:tabs>
              <w:tab w:val="right" w:pos="8306" w:leader="dot"/>
            </w:tabs>
          </w:pPr>
          <w:hyperlink w:history="1" w:anchor="_Toc36">
            <w:r>
              <w:t xml:space="preserve">3.8 Use Cases and User Stories</w:t>
            </w:r>
            <w:r>
              <w:tab/>
            </w:r>
            <w:r>
              <w:fldChar w:fldCharType="begin" w:dirty="true"/>
              <w:instrText xml:space="preserve">PAGEREF _Toc36 \h</w:instrText>
              <w:fldChar w:fldCharType="separate"/>
              <w:fldChar w:fldCharType="end"/>
            </w:r>
          </w:hyperlink>
        </w:p>
        <w:p>
          <w:pPr>
            <w:pStyle w:val="TOC1"/>
            <w:tabs>
              <w:tab w:val="right" w:pos="8306" w:leader="dot"/>
            </w:tabs>
          </w:pPr>
          <w:hyperlink w:history="1" w:anchor="_Toc37">
            <w:r>
              <w:t xml:space="preserve">SYSTEM ARCHITECTURE AND DESIGN</w:t>
            </w:r>
            <w:r>
              <w:tab/>
            </w:r>
            <w:r>
              <w:fldChar w:fldCharType="begin" w:dirty="true"/>
              <w:instrText xml:space="preserve">PAGEREF _Toc37 \h</w:instrText>
              <w:fldChar w:fldCharType="separate"/>
              <w:fldChar w:fldCharType="end"/>
            </w:r>
          </w:hyperlink>
        </w:p>
        <w:p>
          <w:pPr>
            <w:pStyle w:val="TOC2"/>
            <w:tabs>
              <w:tab w:val="right" w:pos="8306" w:leader="dot"/>
            </w:tabs>
          </w:pPr>
          <w:hyperlink w:history="1" w:anchor="_Toc38">
            <w:r>
              <w:t xml:space="preserve">4.1 Overall System Architecture</w:t>
            </w:r>
            <w:r>
              <w:tab/>
            </w:r>
            <w:r>
              <w:fldChar w:fldCharType="begin" w:dirty="true"/>
              <w:instrText xml:space="preserve">PAGEREF _Toc38 \h</w:instrText>
              <w:fldChar w:fldCharType="separate"/>
              <w:fldChar w:fldCharType="end"/>
            </w:r>
          </w:hyperlink>
        </w:p>
        <w:p>
          <w:pPr>
            <w:pStyle w:val="TOC2"/>
            <w:tabs>
              <w:tab w:val="right" w:pos="8306" w:leader="dot"/>
            </w:tabs>
          </w:pPr>
          <w:hyperlink w:history="1" w:anchor="_Toc39">
            <w:r>
              <w:t xml:space="preserve">4.2 Component and Module Description</w:t>
            </w:r>
            <w:r>
              <w:tab/>
            </w:r>
            <w:r>
              <w:fldChar w:fldCharType="begin" w:dirty="true"/>
              <w:instrText xml:space="preserve">PAGEREF _Toc39 \h</w:instrText>
              <w:fldChar w:fldCharType="separate"/>
              <w:fldChar w:fldCharType="end"/>
            </w:r>
          </w:hyperlink>
        </w:p>
        <w:p>
          <w:pPr>
            <w:pStyle w:val="TOC2"/>
            <w:tabs>
              <w:tab w:val="right" w:pos="8306" w:leader="dot"/>
            </w:tabs>
          </w:pPr>
          <w:hyperlink w:history="1" w:anchor="_Toc40">
            <w:r>
              <w:t xml:space="preserve">4.3 Architecture Selection and Justification</w:t>
            </w:r>
            <w:r>
              <w:tab/>
            </w:r>
            <w:r>
              <w:fldChar w:fldCharType="begin" w:dirty="true"/>
              <w:instrText xml:space="preserve">PAGEREF _Toc40 \h</w:instrText>
              <w:fldChar w:fldCharType="separate"/>
              <w:fldChar w:fldCharType="end"/>
            </w:r>
          </w:hyperlink>
        </w:p>
        <w:p>
          <w:pPr>
            <w:pStyle w:val="TOC2"/>
            <w:tabs>
              <w:tab w:val="right" w:pos="8306" w:leader="dot"/>
            </w:tabs>
          </w:pPr>
          <w:hyperlink w:history="1" w:anchor="_Toc41">
            <w:r>
              <w:t xml:space="preserve">4.4 Data Flow Diagrams</w:t>
            </w:r>
            <w:r>
              <w:tab/>
            </w:r>
            <w:r>
              <w:fldChar w:fldCharType="begin" w:dirty="true"/>
              <w:instrText xml:space="preserve">PAGEREF _Toc41 \h</w:instrText>
              <w:fldChar w:fldCharType="separate"/>
              <w:fldChar w:fldCharType="end"/>
            </w:r>
          </w:hyperlink>
        </w:p>
        <w:p>
          <w:pPr>
            <w:pStyle w:val="TOC2"/>
            <w:tabs>
              <w:tab w:val="right" w:pos="8306" w:leader="dot"/>
            </w:tabs>
          </w:pPr>
          <w:hyperlink w:history="1" w:anchor="_Toc42">
            <w:r>
              <w:t xml:space="preserve">4.5 UML Diagrams</w:t>
            </w:r>
            <w:r>
              <w:tab/>
            </w:r>
            <w:r>
              <w:fldChar w:fldCharType="begin" w:dirty="true"/>
              <w:instrText xml:space="preserve">PAGEREF _Toc42 \h</w:instrText>
              <w:fldChar w:fldCharType="separate"/>
              <w:fldChar w:fldCharType="end"/>
            </w:r>
          </w:hyperlink>
        </w:p>
        <w:p>
          <w:pPr>
            <w:pStyle w:val="TOC2"/>
            <w:tabs>
              <w:tab w:val="right" w:pos="8306" w:leader="dot"/>
            </w:tabs>
          </w:pPr>
          <w:hyperlink w:history="1" w:anchor="_Toc43">
            <w:r>
              <w:t xml:space="preserve">4.6 Database Design</w:t>
            </w:r>
            <w:r>
              <w:tab/>
            </w:r>
            <w:r>
              <w:fldChar w:fldCharType="begin" w:dirty="true"/>
              <w:instrText xml:space="preserve">PAGEREF _Toc43 \h</w:instrText>
              <w:fldChar w:fldCharType="separate"/>
              <w:fldChar w:fldCharType="end"/>
            </w:r>
          </w:hyperlink>
        </w:p>
        <w:p>
          <w:pPr>
            <w:pStyle w:val="TOC2"/>
            <w:tabs>
              <w:tab w:val="right" w:pos="8306" w:leader="dot"/>
            </w:tabs>
          </w:pPr>
          <w:hyperlink w:history="1" w:anchor="_Toc44">
            <w:r>
              <w:t xml:space="preserve">4.7 Security and Error Handling Design</w:t>
            </w:r>
            <w:r>
              <w:tab/>
            </w:r>
            <w:r>
              <w:fldChar w:fldCharType="begin" w:dirty="true"/>
              <w:instrText xml:space="preserve">PAGEREF _Toc44 \h</w:instrText>
              <w:fldChar w:fldCharType="separate"/>
              <w:fldChar w:fldCharType="end"/>
            </w:r>
          </w:hyperlink>
        </w:p>
        <w:p>
          <w:pPr>
            <w:pStyle w:val="TOC1"/>
            <w:tabs>
              <w:tab w:val="right" w:pos="8306" w:leader="dot"/>
            </w:tabs>
          </w:pPr>
          <w:hyperlink w:history="1" w:anchor="_Toc45">
            <w:r>
              <w:t xml:space="preserve">ALGORITHM DESIGN AND DATA STRUCTURES</w:t>
            </w:r>
            <w:r>
              <w:tab/>
            </w:r>
            <w:r>
              <w:fldChar w:fldCharType="begin" w:dirty="true"/>
              <w:instrText xml:space="preserve">PAGEREF _Toc45 \h</w:instrText>
              <w:fldChar w:fldCharType="separate"/>
              <w:fldChar w:fldCharType="end"/>
            </w:r>
          </w:hyperlink>
        </w:p>
        <w:p>
          <w:pPr>
            <w:pStyle w:val="TOC2"/>
            <w:tabs>
              <w:tab w:val="right" w:pos="8306" w:leader="dot"/>
            </w:tabs>
          </w:pPr>
          <w:hyperlink w:history="1" w:anchor="_Toc46">
            <w:r>
              <w:t xml:space="preserve">5.1 Identification of Critical Operations</w:t>
            </w:r>
            <w:r>
              <w:tab/>
            </w:r>
            <w:r>
              <w:fldChar w:fldCharType="begin" w:dirty="true"/>
              <w:instrText xml:space="preserve">PAGEREF _Toc46 \h</w:instrText>
              <w:fldChar w:fldCharType="separate"/>
              <w:fldChar w:fldCharType="end"/>
            </w:r>
          </w:hyperlink>
        </w:p>
        <w:p>
          <w:pPr>
            <w:pStyle w:val="TOC2"/>
            <w:tabs>
              <w:tab w:val="right" w:pos="8306" w:leader="dot"/>
            </w:tabs>
          </w:pPr>
          <w:hyperlink w:history="1" w:anchor="_Toc47">
            <w:r>
              <w:t xml:space="preserve">5.2 Algorithm Design</w:t>
            </w:r>
            <w:r>
              <w:tab/>
            </w:r>
            <w:r>
              <w:fldChar w:fldCharType="begin" w:dirty="true"/>
              <w:instrText xml:space="preserve">PAGEREF _Toc47 \h</w:instrText>
              <w:fldChar w:fldCharType="separate"/>
              <w:fldChar w:fldCharType="end"/>
            </w:r>
          </w:hyperlink>
        </w:p>
        <w:p>
          <w:pPr>
            <w:pStyle w:val="TOC2"/>
            <w:tabs>
              <w:tab w:val="right" w:pos="8306" w:leader="dot"/>
            </w:tabs>
          </w:pPr>
          <w:hyperlink w:history="1" w:anchor="_Toc48">
            <w:r>
              <w:t xml:space="preserve">5.3 Flowcharts</w:t>
            </w:r>
            <w:r>
              <w:tab/>
            </w:r>
            <w:r>
              <w:fldChar w:fldCharType="begin" w:dirty="true"/>
              <w:instrText xml:space="preserve">PAGEREF _Toc48 \h</w:instrText>
              <w:fldChar w:fldCharType="separate"/>
              <w:fldChar w:fldCharType="end"/>
            </w:r>
          </w:hyperlink>
        </w:p>
        <w:p>
          <w:pPr>
            <w:pStyle w:val="TOC2"/>
            <w:tabs>
              <w:tab w:val="right" w:pos="8306" w:leader="dot"/>
            </w:tabs>
          </w:pPr>
          <w:hyperlink w:history="1" w:anchor="_Toc49">
            <w:r>
              <w:t xml:space="preserve">5.4 Data Structure Selection</w:t>
            </w:r>
            <w:r>
              <w:tab/>
            </w:r>
            <w:r>
              <w:fldChar w:fldCharType="begin" w:dirty="true"/>
              <w:instrText xml:space="preserve">PAGEREF _Toc49 \h</w:instrText>
              <w:fldChar w:fldCharType="separate"/>
              <w:fldChar w:fldCharType="end"/>
            </w:r>
          </w:hyperlink>
        </w:p>
        <w:p>
          <w:pPr>
            <w:pStyle w:val="TOC2"/>
            <w:tabs>
              <w:tab w:val="right" w:pos="8306" w:leader="dot"/>
            </w:tabs>
          </w:pPr>
          <w:hyperlink w:history="1" w:anchor="_Toc50">
            <w:r>
              <w:t xml:space="preserve">5.5 Algorithm Selection and Justification</w:t>
            </w:r>
            <w:r>
              <w:tab/>
            </w:r>
            <w:r>
              <w:fldChar w:fldCharType="begin" w:dirty="true"/>
              <w:instrText xml:space="preserve">PAGEREF _Toc50 \h</w:instrText>
              <w:fldChar w:fldCharType="separate"/>
              <w:fldChar w:fldCharType="end"/>
            </w:r>
          </w:hyperlink>
        </w:p>
        <w:p>
          <w:pPr>
            <w:pStyle w:val="TOC2"/>
            <w:tabs>
              <w:tab w:val="right" w:pos="8306" w:leader="dot"/>
            </w:tabs>
          </w:pPr>
          <w:hyperlink w:history="1" w:anchor="_Toc51">
            <w:r>
              <w:t xml:space="preserve">5.6 Time Complexity Analysis</w:t>
            </w:r>
            <w:r>
              <w:tab/>
            </w:r>
            <w:r>
              <w:fldChar w:fldCharType="begin" w:dirty="true"/>
              <w:instrText xml:space="preserve">PAGEREF _Toc51 \h</w:instrText>
              <w:fldChar w:fldCharType="separate"/>
              <w:fldChar w:fldCharType="end"/>
            </w:r>
          </w:hyperlink>
        </w:p>
        <w:p>
          <w:pPr>
            <w:pStyle w:val="TOC2"/>
            <w:tabs>
              <w:tab w:val="right" w:pos="8306" w:leader="dot"/>
            </w:tabs>
          </w:pPr>
          <w:hyperlink w:history="1" w:anchor="_Toc52">
            <w:r>
              <w:t xml:space="preserve">5.7 Space Complexity Analysis</w:t>
            </w:r>
            <w:r>
              <w:tab/>
            </w:r>
            <w:r>
              <w:fldChar w:fldCharType="begin" w:dirty="true"/>
              <w:instrText xml:space="preserve">PAGEREF _Toc52 \h</w:instrText>
              <w:fldChar w:fldCharType="separate"/>
              <w:fldChar w:fldCharType="end"/>
            </w:r>
          </w:hyperlink>
        </w:p>
        <w:p>
          <w:pPr>
            <w:pStyle w:val="TOC2"/>
            <w:tabs>
              <w:tab w:val="right" w:pos="8306" w:leader="dot"/>
            </w:tabs>
          </w:pPr>
          <w:hyperlink w:history="1" w:anchor="_Toc53">
            <w:r>
              <w:t xml:space="preserve">5.8 Optimisation Opportunities</w:t>
            </w:r>
            <w:r>
              <w:tab/>
            </w:r>
            <w:r>
              <w:fldChar w:fldCharType="begin" w:dirty="true"/>
              <w:instrText xml:space="preserve">PAGEREF _Toc53 \h</w:instrText>
              <w:fldChar w:fldCharType="separate"/>
              <w:fldChar w:fldCharType="end"/>
            </w:r>
          </w:hyperlink>
        </w:p>
        <w:p>
          <w:pPr>
            <w:pStyle w:val="TOC1"/>
            <w:tabs>
              <w:tab w:val="right" w:pos="8306" w:leader="dot"/>
            </w:tabs>
          </w:pPr>
          <w:hyperlink w:history="1" w:anchor="_Toc54">
            <w:r>
              <w:t xml:space="preserve">SUBJECT-WISE ENGINEERING CONCEPTS AND APNI LEAP ALIGNMENT</w:t>
            </w:r>
            <w:r>
              <w:tab/>
            </w:r>
            <w:r>
              <w:fldChar w:fldCharType="begin" w:dirty="true"/>
              <w:instrText xml:space="preserve">PAGEREF _Toc54 \h</w:instrText>
              <w:fldChar w:fldCharType="separate"/>
              <w:fldChar w:fldCharType="end"/>
            </w:r>
          </w:hyperlink>
        </w:p>
        <w:p>
          <w:pPr>
            <w:pStyle w:val="TOC2"/>
            <w:tabs>
              <w:tab w:val="right" w:pos="8306" w:leader="dot"/>
            </w:tabs>
          </w:pPr>
          <w:hyperlink w:history="1" w:anchor="_Toc55">
            <w:r>
              <w:t xml:space="preserve">6.1 Software Engineering</w:t>
            </w:r>
            <w:r>
              <w:tab/>
            </w:r>
            <w:r>
              <w:fldChar w:fldCharType="begin" w:dirty="true"/>
              <w:instrText xml:space="preserve">PAGEREF _Toc55 \h</w:instrText>
              <w:fldChar w:fldCharType="separate"/>
              <w:fldChar w:fldCharType="end"/>
            </w:r>
          </w:hyperlink>
        </w:p>
        <w:p>
          <w:pPr>
            <w:pStyle w:val="TOC2"/>
            <w:tabs>
              <w:tab w:val="right" w:pos="8306" w:leader="dot"/>
            </w:tabs>
          </w:pPr>
          <w:hyperlink w:history="1" w:anchor="_Toc56">
            <w:r>
              <w:t xml:space="preserve">6.2 Computer Networks</w:t>
            </w:r>
            <w:r>
              <w:tab/>
            </w:r>
            <w:r>
              <w:fldChar w:fldCharType="begin" w:dirty="true"/>
              <w:instrText xml:space="preserve">PAGEREF _Toc56 \h</w:instrText>
              <w:fldChar w:fldCharType="separate"/>
              <w:fldChar w:fldCharType="end"/>
            </w:r>
          </w:hyperlink>
        </w:p>
        <w:p>
          <w:pPr>
            <w:pStyle w:val="TOC2"/>
            <w:tabs>
              <w:tab w:val="right" w:pos="8306" w:leader="dot"/>
            </w:tabs>
          </w:pPr>
          <w:hyperlink w:history="1" w:anchor="_Toc57">
            <w:r>
              <w:t xml:space="preserve">6.3 Database Management Systems</w:t>
            </w:r>
            <w:r>
              <w:tab/>
            </w:r>
            <w:r>
              <w:fldChar w:fldCharType="begin" w:dirty="true"/>
              <w:instrText xml:space="preserve">PAGEREF _Toc57 \h</w:instrText>
              <w:fldChar w:fldCharType="separate"/>
              <w:fldChar w:fldCharType="end"/>
            </w:r>
          </w:hyperlink>
        </w:p>
        <w:p>
          <w:pPr>
            <w:pStyle w:val="TOC2"/>
            <w:tabs>
              <w:tab w:val="right" w:pos="8306" w:leader="dot"/>
            </w:tabs>
          </w:pPr>
          <w:hyperlink w:history="1" w:anchor="_Toc58">
            <w:r>
              <w:t xml:space="preserve">6.4 Operating Systems</w:t>
            </w:r>
            <w:r>
              <w:tab/>
            </w:r>
            <w:r>
              <w:fldChar w:fldCharType="begin" w:dirty="true"/>
              <w:instrText xml:space="preserve">PAGEREF _Toc58 \h</w:instrText>
              <w:fldChar w:fldCharType="separate"/>
              <w:fldChar w:fldCharType="end"/>
            </w:r>
          </w:hyperlink>
        </w:p>
        <w:p>
          <w:pPr>
            <w:pStyle w:val="TOC2"/>
            <w:tabs>
              <w:tab w:val="right" w:pos="8306" w:leader="dot"/>
            </w:tabs>
          </w:pPr>
          <w:hyperlink w:history="1" w:anchor="_Toc59">
            <w:r>
              <w:t xml:space="preserve">6.5 Data Structures</w:t>
            </w:r>
            <w:r>
              <w:tab/>
            </w:r>
            <w:r>
              <w:fldChar w:fldCharType="begin" w:dirty="true"/>
              <w:instrText xml:space="preserve">PAGEREF _Toc59 \h</w:instrText>
              <w:fldChar w:fldCharType="separate"/>
              <w:fldChar w:fldCharType="end"/>
            </w:r>
          </w:hyperlink>
        </w:p>
        <w:p>
          <w:pPr>
            <w:pStyle w:val="TOC2"/>
            <w:tabs>
              <w:tab w:val="right" w:pos="8306" w:leader="dot"/>
            </w:tabs>
          </w:pPr>
          <w:hyperlink w:history="1" w:anchor="_Toc60">
            <w:r>
              <w:t xml:space="preserve">6.6 Design and Analysis of Algorithms</w:t>
            </w:r>
            <w:r>
              <w:tab/>
            </w:r>
            <w:r>
              <w:fldChar w:fldCharType="begin" w:dirty="true"/>
              <w:instrText xml:space="preserve">PAGEREF _Toc60 \h</w:instrText>
              <w:fldChar w:fldCharType="separate"/>
              <w:fldChar w:fldCharType="end"/>
            </w:r>
          </w:hyperlink>
        </w:p>
        <w:p>
          <w:pPr>
            <w:pStyle w:val="TOC2"/>
            <w:tabs>
              <w:tab w:val="right" w:pos="8306" w:leader="dot"/>
            </w:tabs>
          </w:pPr>
          <w:hyperlink w:history="1" w:anchor="_Toc61">
            <w:r>
              <w:t xml:space="preserve">6.7 Cloud Computing</w:t>
            </w:r>
            <w:r>
              <w:tab/>
            </w:r>
            <w:r>
              <w:fldChar w:fldCharType="begin" w:dirty="true"/>
              <w:instrText xml:space="preserve">PAGEREF _Toc61 \h</w:instrText>
              <w:fldChar w:fldCharType="separate"/>
              <w:fldChar w:fldCharType="end"/>
            </w:r>
          </w:hyperlink>
        </w:p>
        <w:p>
          <w:pPr>
            <w:pStyle w:val="TOC2"/>
            <w:tabs>
              <w:tab w:val="right" w:pos="8306" w:leader="dot"/>
            </w:tabs>
          </w:pPr>
          <w:hyperlink w:history="1" w:anchor="_Toc62">
            <w:r>
              <w:t xml:space="preserve">6.8 Engineering Mathematics (Probability and Statistics)</w:t>
            </w:r>
            <w:r>
              <w:tab/>
            </w:r>
            <w:r>
              <w:fldChar w:fldCharType="begin" w:dirty="true"/>
              <w:instrText xml:space="preserve">PAGEREF _Toc62 \h</w:instrText>
              <w:fldChar w:fldCharType="separate"/>
              <w:fldChar w:fldCharType="end"/>
            </w:r>
          </w:hyperlink>
        </w:p>
        <w:p>
          <w:pPr>
            <w:pStyle w:val="TOC2"/>
            <w:tabs>
              <w:tab w:val="right" w:pos="8306" w:leader="dot"/>
            </w:tabs>
          </w:pPr>
          <w:hyperlink w:history="1" w:anchor="_Toc63">
            <w:r>
              <w:t xml:space="preserve">6.9 Mapping of Subjects to Project Implementation</w:t>
            </w:r>
            <w:r>
              <w:tab/>
            </w:r>
            <w:r>
              <w:fldChar w:fldCharType="begin" w:dirty="true"/>
              <w:instrText xml:space="preserve">PAGEREF _Toc63 \h</w:instrText>
              <w:fldChar w:fldCharType="separate"/>
              <w:fldChar w:fldCharType="end"/>
            </w:r>
          </w:hyperlink>
        </w:p>
        <w:p>
          <w:pPr>
            <w:pStyle w:val="TOC1"/>
            <w:tabs>
              <w:tab w:val="right" w:pos="8306" w:leader="dot"/>
            </w:tabs>
          </w:pPr>
          <w:hyperlink w:history="1" w:anchor="_Toc64">
            <w:r>
              <w:t xml:space="preserve">IMPLEMENTATION AND MODULE-WISE CODING</w:t>
            </w:r>
            <w:r>
              <w:tab/>
            </w:r>
            <w:r>
              <w:fldChar w:fldCharType="begin" w:dirty="true"/>
              <w:instrText xml:space="preserve">PAGEREF _Toc64 \h</w:instrText>
              <w:fldChar w:fldCharType="separate"/>
              <w:fldChar w:fldCharType="end"/>
            </w:r>
          </w:hyperlink>
        </w:p>
        <w:p>
          <w:pPr>
            <w:pStyle w:val="TOC2"/>
            <w:tabs>
              <w:tab w:val="right" w:pos="8306" w:leader="dot"/>
            </w:tabs>
          </w:pPr>
          <w:hyperlink w:history="1" w:anchor="_Toc65">
            <w:r>
              <w:t xml:space="preserve">7.1 Development Environment</w:t>
            </w:r>
            <w:r>
              <w:tab/>
            </w:r>
            <w:r>
              <w:fldChar w:fldCharType="begin" w:dirty="true"/>
              <w:instrText xml:space="preserve">PAGEREF _Toc65 \h</w:instrText>
              <w:fldChar w:fldCharType="separate"/>
              <w:fldChar w:fldCharType="end"/>
            </w:r>
          </w:hyperlink>
        </w:p>
        <w:p>
          <w:pPr>
            <w:pStyle w:val="TOC2"/>
            <w:tabs>
              <w:tab w:val="right" w:pos="8306" w:leader="dot"/>
            </w:tabs>
          </w:pPr>
          <w:hyperlink w:history="1" w:anchor="_Toc66">
            <w:r>
              <w:t xml:space="preserve">7.2 Overall Implementation Strategy</w:t>
            </w:r>
            <w:r>
              <w:tab/>
            </w:r>
            <w:r>
              <w:fldChar w:fldCharType="begin" w:dirty="true"/>
              <w:instrText xml:space="preserve">PAGEREF _Toc66 \h</w:instrText>
              <w:fldChar w:fldCharType="separate"/>
              <w:fldChar w:fldCharType="end"/>
            </w:r>
          </w:hyperlink>
        </w:p>
        <w:p>
          <w:pPr>
            <w:pStyle w:val="TOC2"/>
            <w:tabs>
              <w:tab w:val="right" w:pos="8306" w:leader="dot"/>
            </w:tabs>
          </w:pPr>
          <w:hyperlink w:history="1" w:anchor="_Toc67">
            <w:r>
              <w:t xml:space="preserve">7.3 Module-Wise Implementation</w:t>
            </w:r>
            <w:r>
              <w:tab/>
            </w:r>
            <w:r>
              <w:fldChar w:fldCharType="begin" w:dirty="true"/>
              <w:instrText xml:space="preserve">PAGEREF _Toc67 \h</w:instrText>
              <w:fldChar w:fldCharType="separate"/>
              <w:fldChar w:fldCharType="end"/>
            </w:r>
          </w:hyperlink>
        </w:p>
        <w:p>
          <w:pPr>
            <w:pStyle w:val="TOC2"/>
            <w:tabs>
              <w:tab w:val="right" w:pos="8306" w:leader="dot"/>
            </w:tabs>
          </w:pPr>
          <w:hyperlink w:history="1" w:anchor="_Toc68">
            <w:r>
              <w:t xml:space="preserve">7.4 Front-End Implementation</w:t>
            </w:r>
            <w:r>
              <w:tab/>
            </w:r>
            <w:r>
              <w:fldChar w:fldCharType="begin" w:dirty="true"/>
              <w:instrText xml:space="preserve">PAGEREF _Toc68 \h</w:instrText>
              <w:fldChar w:fldCharType="separate"/>
              <w:fldChar w:fldCharType="end"/>
            </w:r>
          </w:hyperlink>
        </w:p>
        <w:p>
          <w:pPr>
            <w:pStyle w:val="TOC2"/>
            <w:tabs>
              <w:tab w:val="right" w:pos="8306" w:leader="dot"/>
            </w:tabs>
          </w:pPr>
          <w:hyperlink w:history="1" w:anchor="_Toc69">
            <w:r>
              <w:t xml:space="preserve">7.5 Back-End Implementation</w:t>
            </w:r>
            <w:r>
              <w:tab/>
            </w:r>
            <w:r>
              <w:fldChar w:fldCharType="begin" w:dirty="true"/>
              <w:instrText xml:space="preserve">PAGEREF _Toc69 \h</w:instrText>
              <w:fldChar w:fldCharType="separate"/>
              <w:fldChar w:fldCharType="end"/>
            </w:r>
          </w:hyperlink>
        </w:p>
        <w:p>
          <w:pPr>
            <w:pStyle w:val="TOC2"/>
            <w:tabs>
              <w:tab w:val="right" w:pos="8306" w:leader="dot"/>
            </w:tabs>
          </w:pPr>
          <w:hyperlink w:history="1" w:anchor="_Toc70">
            <w:r>
              <w:t xml:space="preserve">7.6 Database Implementation</w:t>
            </w:r>
            <w:r>
              <w:tab/>
            </w:r>
            <w:r>
              <w:fldChar w:fldCharType="begin" w:dirty="true"/>
              <w:instrText xml:space="preserve">PAGEREF _Toc70 \h</w:instrText>
              <w:fldChar w:fldCharType="separate"/>
              <w:fldChar w:fldCharType="end"/>
            </w:r>
          </w:hyperlink>
        </w:p>
        <w:p>
          <w:pPr>
            <w:pStyle w:val="TOC2"/>
            <w:tabs>
              <w:tab w:val="right" w:pos="8306" w:leader="dot"/>
            </w:tabs>
          </w:pPr>
          <w:hyperlink w:history="1" w:anchor="_Toc71">
            <w:r>
              <w:t xml:space="preserve">7.7 Communication and Concurrency Implementation</w:t>
            </w:r>
            <w:r>
              <w:tab/>
            </w:r>
            <w:r>
              <w:fldChar w:fldCharType="begin" w:dirty="true"/>
              <w:instrText xml:space="preserve">PAGEREF _Toc71 \h</w:instrText>
              <w:fldChar w:fldCharType="separate"/>
              <w:fldChar w:fldCharType="end"/>
            </w:r>
          </w:hyperlink>
        </w:p>
        <w:p>
          <w:pPr>
            <w:pStyle w:val="TOC2"/>
            <w:tabs>
              <w:tab w:val="right" w:pos="8306" w:leader="dot"/>
            </w:tabs>
          </w:pPr>
          <w:hyperlink w:history="1" w:anchor="_Toc72">
            <w:r>
              <w:t xml:space="preserve">7.8 Git Repository Setup</w:t>
            </w:r>
            <w:r>
              <w:tab/>
            </w:r>
            <w:r>
              <w:fldChar w:fldCharType="begin" w:dirty="true"/>
              <w:instrText xml:space="preserve">PAGEREF _Toc72 \h</w:instrText>
              <w:fldChar w:fldCharType="separate"/>
              <w:fldChar w:fldCharType="end"/>
            </w:r>
          </w:hyperlink>
        </w:p>
        <w:p>
          <w:pPr>
            <w:pStyle w:val="TOC2"/>
            <w:tabs>
              <w:tab w:val="right" w:pos="8306" w:leader="dot"/>
            </w:tabs>
          </w:pPr>
          <w:hyperlink w:history="1" w:anchor="_Toc73">
            <w:r>
              <w:t xml:space="preserve">7.9 Integration of Modules</w:t>
            </w:r>
            <w:r>
              <w:tab/>
            </w:r>
            <w:r>
              <w:fldChar w:fldCharType="begin" w:dirty="true"/>
              <w:instrText xml:space="preserve">PAGEREF _Toc73 \h</w:instrText>
              <w:fldChar w:fldCharType="separate"/>
              <w:fldChar w:fldCharType="end"/>
            </w:r>
          </w:hyperlink>
        </w:p>
        <w:p>
          <w:pPr>
            <w:pStyle w:val="TOC2"/>
            <w:tabs>
              <w:tab w:val="right" w:pos="8306" w:leader="dot"/>
            </w:tabs>
          </w:pPr>
          <w:hyperlink w:history="1" w:anchor="_Toc74">
            <w:r>
              <w:t xml:space="preserve">7.10 Implementation Challenges and Resolutions</w:t>
            </w:r>
            <w:r>
              <w:tab/>
            </w:r>
            <w:r>
              <w:fldChar w:fldCharType="begin" w:dirty="true"/>
              <w:instrText xml:space="preserve">PAGEREF _Toc74 \h</w:instrText>
              <w:fldChar w:fldCharType="separate"/>
              <w:fldChar w:fldCharType="end"/>
            </w:r>
          </w:hyperlink>
        </w:p>
        <w:p>
          <w:pPr>
            <w:pStyle w:val="TOC1"/>
            <w:tabs>
              <w:tab w:val="right" w:pos="8306" w:leader="dot"/>
            </w:tabs>
          </w:pPr>
          <w:hyperlink w:history="1" w:anchor="_Toc75">
            <w:r>
              <w:t xml:space="preserve">SCALABILITY, PERFORMANCE AND RESOURCE MANAGEMENT</w:t>
            </w:r>
            <w:r>
              <w:tab/>
            </w:r>
            <w:r>
              <w:fldChar w:fldCharType="begin" w:dirty="true"/>
              <w:instrText xml:space="preserve">PAGEREF _Toc75 \h</w:instrText>
              <w:fldChar w:fldCharType="separate"/>
              <w:fldChar w:fldCharType="end"/>
            </w:r>
          </w:hyperlink>
        </w:p>
        <w:p>
          <w:pPr>
            <w:pStyle w:val="TOC2"/>
            <w:tabs>
              <w:tab w:val="right" w:pos="8306" w:leader="dot"/>
            </w:tabs>
          </w:pPr>
          <w:hyperlink w:history="1" w:anchor="_Toc76">
            <w:r>
              <w:t xml:space="preserve">8.1 Scalability Requirements</w:t>
            </w:r>
            <w:r>
              <w:tab/>
            </w:r>
            <w:r>
              <w:fldChar w:fldCharType="begin" w:dirty="true"/>
              <w:instrText xml:space="preserve">PAGEREF _Toc76 \h</w:instrText>
              <w:fldChar w:fldCharType="separate"/>
              <w:fldChar w:fldCharType="end"/>
            </w:r>
          </w:hyperlink>
        </w:p>
        <w:p>
          <w:pPr>
            <w:pStyle w:val="TOC2"/>
            <w:tabs>
              <w:tab w:val="right" w:pos="8306" w:leader="dot"/>
            </w:tabs>
          </w:pPr>
          <w:hyperlink w:history="1" w:anchor="_Toc77">
            <w:r>
              <w:t xml:space="preserve">8.2 Workload and Load Model</w:t>
            </w:r>
            <w:r>
              <w:tab/>
            </w:r>
            <w:r>
              <w:fldChar w:fldCharType="begin" w:dirty="true"/>
              <w:instrText xml:space="preserve">PAGEREF _Toc77 \h</w:instrText>
              <w:fldChar w:fldCharType="separate"/>
              <w:fldChar w:fldCharType="end"/>
            </w:r>
          </w:hyperlink>
        </w:p>
        <w:p>
          <w:pPr>
            <w:pStyle w:val="TOC2"/>
            <w:tabs>
              <w:tab w:val="right" w:pos="8306" w:leader="dot"/>
            </w:tabs>
          </w:pPr>
          <w:hyperlink w:history="1" w:anchor="_Toc78">
            <w:r>
              <w:t xml:space="preserve">8.3 Resource Utilisation</w:t>
            </w:r>
            <w:r>
              <w:tab/>
            </w:r>
            <w:r>
              <w:fldChar w:fldCharType="begin" w:dirty="true"/>
              <w:instrText xml:space="preserve">PAGEREF _Toc78 \h</w:instrText>
              <w:fldChar w:fldCharType="separate"/>
              <w:fldChar w:fldCharType="end"/>
            </w:r>
          </w:hyperlink>
        </w:p>
        <w:p>
          <w:pPr>
            <w:pStyle w:val="TOC2"/>
            <w:tabs>
              <w:tab w:val="right" w:pos="8306" w:leader="dot"/>
            </w:tabs>
          </w:pPr>
          <w:hyperlink w:history="1" w:anchor="_Toc79">
            <w:r>
              <w:t xml:space="preserve">8.4 Concurrent Processing</w:t>
            </w:r>
            <w:r>
              <w:tab/>
            </w:r>
            <w:r>
              <w:fldChar w:fldCharType="begin" w:dirty="true"/>
              <w:instrText xml:space="preserve">PAGEREF _Toc79 \h</w:instrText>
              <w:fldChar w:fldCharType="separate"/>
              <w:fldChar w:fldCharType="end"/>
            </w:r>
          </w:hyperlink>
        </w:p>
        <w:p>
          <w:pPr>
            <w:pStyle w:val="TOC2"/>
            <w:tabs>
              <w:tab w:val="right" w:pos="8306" w:leader="dot"/>
            </w:tabs>
          </w:pPr>
          <w:hyperlink w:history="1" w:anchor="_Toc80">
            <w:r>
              <w:t xml:space="preserve">8.5 Scheduling and Synchronisation Analysis</w:t>
            </w:r>
            <w:r>
              <w:tab/>
            </w:r>
            <w:r>
              <w:fldChar w:fldCharType="begin" w:dirty="true"/>
              <w:instrText xml:space="preserve">PAGEREF _Toc80 \h</w:instrText>
              <w:fldChar w:fldCharType="separate"/>
              <w:fldChar w:fldCharType="end"/>
            </w:r>
          </w:hyperlink>
        </w:p>
        <w:p>
          <w:pPr>
            <w:pStyle w:val="TOC2"/>
            <w:tabs>
              <w:tab w:val="right" w:pos="8306" w:leader="dot"/>
            </w:tabs>
          </w:pPr>
          <w:hyperlink w:history="1" w:anchor="_Toc81">
            <w:r>
              <w:t xml:space="preserve">8.6 Performance Measurement</w:t>
            </w:r>
            <w:r>
              <w:tab/>
            </w:r>
            <w:r>
              <w:fldChar w:fldCharType="begin" w:dirty="true"/>
              <w:instrText xml:space="preserve">PAGEREF _Toc81 \h</w:instrText>
              <w:fldChar w:fldCharType="separate"/>
              <w:fldChar w:fldCharType="end"/>
            </w:r>
          </w:hyperlink>
        </w:p>
        <w:p>
          <w:pPr>
            <w:pStyle w:val="TOC2"/>
            <w:tabs>
              <w:tab w:val="right" w:pos="8306" w:leader="dot"/>
            </w:tabs>
          </w:pPr>
          <w:hyperlink w:history="1" w:anchor="_Toc82">
            <w:r>
              <w:t xml:space="preserve">8.7 Performance Results</w:t>
            </w:r>
            <w:r>
              <w:tab/>
            </w:r>
            <w:r>
              <w:fldChar w:fldCharType="begin" w:dirty="true"/>
              <w:instrText xml:space="preserve">PAGEREF _Toc82 \h</w:instrText>
              <w:fldChar w:fldCharType="separate"/>
              <w:fldChar w:fldCharType="end"/>
            </w:r>
          </w:hyperlink>
        </w:p>
        <w:p>
          <w:pPr>
            <w:pStyle w:val="TOC2"/>
            <w:tabs>
              <w:tab w:val="right" w:pos="8306" w:leader="dot"/>
            </w:tabs>
          </w:pPr>
          <w:hyperlink w:history="1" w:anchor="_Toc83">
            <w:r>
              <w:t xml:space="preserve">8.8 Bottleneck Identification</w:t>
            </w:r>
            <w:r>
              <w:tab/>
            </w:r>
            <w:r>
              <w:fldChar w:fldCharType="begin" w:dirty="true"/>
              <w:instrText xml:space="preserve">PAGEREF _Toc83 \h</w:instrText>
              <w:fldChar w:fldCharType="separate"/>
              <w:fldChar w:fldCharType="end"/>
            </w:r>
          </w:hyperlink>
        </w:p>
        <w:p>
          <w:pPr>
            <w:pStyle w:val="TOC2"/>
            <w:tabs>
              <w:tab w:val="right" w:pos="8306" w:leader="dot"/>
            </w:tabs>
          </w:pPr>
          <w:hyperlink w:history="1" w:anchor="_Toc84">
            <w:r>
              <w:t xml:space="preserve">8.9 Optimisation and Improvement</w:t>
            </w:r>
            <w:r>
              <w:tab/>
            </w:r>
            <w:r>
              <w:fldChar w:fldCharType="begin" w:dirty="true"/>
              <w:instrText xml:space="preserve">PAGEREF _Toc84 \h</w:instrText>
              <w:fldChar w:fldCharType="separate"/>
              <w:fldChar w:fldCharType="end"/>
            </w:r>
          </w:hyperlink>
        </w:p>
        <w:p>
          <w:pPr>
            <w:pStyle w:val="TOC2"/>
            <w:tabs>
              <w:tab w:val="right" w:pos="8306" w:leader="dot"/>
            </w:tabs>
          </w:pPr>
          <w:hyperlink w:history="1" w:anchor="_Toc85">
            <w:r>
              <w:t xml:space="preserve">8.10 Cloud Deployment and Resource Utilisation</w:t>
            </w:r>
            <w:r>
              <w:tab/>
            </w:r>
            <w:r>
              <w:fldChar w:fldCharType="begin" w:dirty="true"/>
              <w:instrText xml:space="preserve">PAGEREF _Toc85 \h</w:instrText>
              <w:fldChar w:fldCharType="separate"/>
              <w:fldChar w:fldCharType="end"/>
            </w:r>
          </w:hyperlink>
        </w:p>
        <w:p>
          <w:pPr>
            <w:pStyle w:val="TOC2"/>
            <w:tabs>
              <w:tab w:val="right" w:pos="8306" w:leader="dot"/>
            </w:tabs>
          </w:pPr>
          <w:hyperlink w:history="1" w:anchor="_Toc86">
            <w:r>
              <w:t xml:space="preserve">8.11 Scalability Limitations</w:t>
            </w:r>
            <w:r>
              <w:tab/>
            </w:r>
            <w:r>
              <w:fldChar w:fldCharType="begin" w:dirty="true"/>
              <w:instrText xml:space="preserve">PAGEREF _Toc86 \h</w:instrText>
              <w:fldChar w:fldCharType="separate"/>
              <w:fldChar w:fldCharType="end"/>
            </w:r>
          </w:hyperlink>
        </w:p>
        <w:p>
          <w:pPr>
            <w:pStyle w:val="TOC1"/>
            <w:tabs>
              <w:tab w:val="right" w:pos="8306" w:leader="dot"/>
            </w:tabs>
          </w:pPr>
          <w:hyperlink w:history="1" w:anchor="_Toc87">
            <w:r>
              <w:t xml:space="preserve">TESTING AND VALIDATION</w:t>
            </w:r>
            <w:r>
              <w:tab/>
            </w:r>
            <w:r>
              <w:fldChar w:fldCharType="begin" w:dirty="true"/>
              <w:instrText xml:space="preserve">PAGEREF _Toc87 \h</w:instrText>
              <w:fldChar w:fldCharType="separate"/>
              <w:fldChar w:fldCharType="end"/>
            </w:r>
          </w:hyperlink>
        </w:p>
        <w:p>
          <w:pPr>
            <w:pStyle w:val="TOC2"/>
            <w:tabs>
              <w:tab w:val="right" w:pos="8306" w:leader="dot"/>
            </w:tabs>
          </w:pPr>
          <w:hyperlink w:history="1" w:anchor="_Toc88">
            <w:r>
              <w:t xml:space="preserve">9.1 Testing Strategy</w:t>
            </w:r>
            <w:r>
              <w:tab/>
            </w:r>
            <w:r>
              <w:fldChar w:fldCharType="begin" w:dirty="true"/>
              <w:instrText xml:space="preserve">PAGEREF _Toc88 \h</w:instrText>
              <w:fldChar w:fldCharType="separate"/>
              <w:fldChar w:fldCharType="end"/>
            </w:r>
          </w:hyperlink>
        </w:p>
        <w:p>
          <w:pPr>
            <w:pStyle w:val="TOC2"/>
            <w:tabs>
              <w:tab w:val="right" w:pos="8306" w:leader="dot"/>
            </w:tabs>
          </w:pPr>
          <w:hyperlink w:history="1" w:anchor="_Toc89">
            <w:r>
              <w:t xml:space="preserve">9.2 Unit Testing</w:t>
            </w:r>
            <w:r>
              <w:tab/>
            </w:r>
            <w:r>
              <w:fldChar w:fldCharType="begin" w:dirty="true"/>
              <w:instrText xml:space="preserve">PAGEREF _Toc89 \h</w:instrText>
              <w:fldChar w:fldCharType="separate"/>
              <w:fldChar w:fldCharType="end"/>
            </w:r>
          </w:hyperlink>
        </w:p>
        <w:p>
          <w:pPr>
            <w:pStyle w:val="TOC2"/>
            <w:tabs>
              <w:tab w:val="right" w:pos="8306" w:leader="dot"/>
            </w:tabs>
          </w:pPr>
          <w:hyperlink w:history="1" w:anchor="_Toc90">
            <w:r>
              <w:t xml:space="preserve">9.3 Integration Testing</w:t>
            </w:r>
            <w:r>
              <w:tab/>
            </w:r>
            <w:r>
              <w:fldChar w:fldCharType="begin" w:dirty="true"/>
              <w:instrText xml:space="preserve">PAGEREF _Toc90 \h</w:instrText>
              <w:fldChar w:fldCharType="separate"/>
              <w:fldChar w:fldCharType="end"/>
            </w:r>
          </w:hyperlink>
        </w:p>
        <w:p>
          <w:pPr>
            <w:pStyle w:val="TOC2"/>
            <w:tabs>
              <w:tab w:val="right" w:pos="8306" w:leader="dot"/>
            </w:tabs>
          </w:pPr>
          <w:hyperlink w:history="1" w:anchor="_Toc91">
            <w:r>
              <w:t xml:space="preserve">9.4 Functional Testing</w:t>
            </w:r>
            <w:r>
              <w:tab/>
            </w:r>
            <w:r>
              <w:fldChar w:fldCharType="begin" w:dirty="true"/>
              <w:instrText xml:space="preserve">PAGEREF _Toc91 \h</w:instrText>
              <w:fldChar w:fldCharType="separate"/>
              <w:fldChar w:fldCharType="end"/>
            </w:r>
          </w:hyperlink>
        </w:p>
        <w:p>
          <w:pPr>
            <w:pStyle w:val="TOC2"/>
            <w:tabs>
              <w:tab w:val="right" w:pos="8306" w:leader="dot"/>
            </w:tabs>
          </w:pPr>
          <w:hyperlink w:history="1" w:anchor="_Toc92">
            <w:r>
              <w:t xml:space="preserve">9.5 Non-Functional Testing</w:t>
            </w:r>
            <w:r>
              <w:tab/>
            </w:r>
            <w:r>
              <w:fldChar w:fldCharType="begin" w:dirty="true"/>
              <w:instrText xml:space="preserve">PAGEREF _Toc92 \h</w:instrText>
              <w:fldChar w:fldCharType="separate"/>
              <w:fldChar w:fldCharType="end"/>
            </w:r>
          </w:hyperlink>
        </w:p>
        <w:p>
          <w:pPr>
            <w:pStyle w:val="TOC2"/>
            <w:tabs>
              <w:tab w:val="right" w:pos="8306" w:leader="dot"/>
            </w:tabs>
          </w:pPr>
          <w:hyperlink w:history="1" w:anchor="_Toc93">
            <w:r>
              <w:t xml:space="preserve">9.6 Boundary and Invalid-Input Testing</w:t>
            </w:r>
            <w:r>
              <w:tab/>
            </w:r>
            <w:r>
              <w:fldChar w:fldCharType="begin" w:dirty="true"/>
              <w:instrText xml:space="preserve">PAGEREF _Toc93 \h</w:instrText>
              <w:fldChar w:fldCharType="separate"/>
              <w:fldChar w:fldCharType="end"/>
            </w:r>
          </w:hyperlink>
        </w:p>
        <w:p>
          <w:pPr>
            <w:pStyle w:val="TOC2"/>
            <w:tabs>
              <w:tab w:val="right" w:pos="8306" w:leader="dot"/>
            </w:tabs>
          </w:pPr>
          <w:hyperlink w:history="1" w:anchor="_Toc94">
            <w:r>
              <w:t xml:space="preserve">9.7 Concurrency and Stress Testing</w:t>
            </w:r>
            <w:r>
              <w:tab/>
            </w:r>
            <w:r>
              <w:fldChar w:fldCharType="begin" w:dirty="true"/>
              <w:instrText xml:space="preserve">PAGEREF _Toc94 \h</w:instrText>
              <w:fldChar w:fldCharType="separate"/>
              <w:fldChar w:fldCharType="end"/>
            </w:r>
          </w:hyperlink>
        </w:p>
        <w:p>
          <w:pPr>
            <w:pStyle w:val="TOC2"/>
            <w:tabs>
              <w:tab w:val="right" w:pos="8306" w:leader="dot"/>
            </w:tabs>
          </w:pPr>
          <w:hyperlink w:history="1" w:anchor="_Toc95">
            <w:r>
              <w:t xml:space="preserve">9.8 Test Case Specification</w:t>
            </w:r>
            <w:r>
              <w:tab/>
            </w:r>
            <w:r>
              <w:fldChar w:fldCharType="begin" w:dirty="true"/>
              <w:instrText xml:space="preserve">PAGEREF _Toc95 \h</w:instrText>
              <w:fldChar w:fldCharType="separate"/>
              <w:fldChar w:fldCharType="end"/>
            </w:r>
          </w:hyperlink>
        </w:p>
        <w:p>
          <w:pPr>
            <w:pStyle w:val="TOC2"/>
            <w:tabs>
              <w:tab w:val="right" w:pos="8306" w:leader="dot"/>
            </w:tabs>
          </w:pPr>
          <w:hyperlink w:history="1" w:anchor="_Toc96">
            <w:r>
              <w:t xml:space="preserve">9.9 Defect Identification and Resolution</w:t>
            </w:r>
            <w:r>
              <w:tab/>
            </w:r>
            <w:r>
              <w:fldChar w:fldCharType="begin" w:dirty="true"/>
              <w:instrText xml:space="preserve">PAGEREF _Toc96 \h</w:instrText>
              <w:fldChar w:fldCharType="separate"/>
              <w:fldChar w:fldCharType="end"/>
            </w:r>
          </w:hyperlink>
        </w:p>
        <w:p>
          <w:pPr>
            <w:pStyle w:val="TOC2"/>
            <w:tabs>
              <w:tab w:val="right" w:pos="8306" w:leader="dot"/>
            </w:tabs>
          </w:pPr>
          <w:hyperlink w:history="1" w:anchor="_Toc97">
            <w:r>
              <w:t xml:space="preserve">9.10 Validation Against KPIs</w:t>
            </w:r>
            <w:r>
              <w:tab/>
            </w:r>
            <w:r>
              <w:fldChar w:fldCharType="begin" w:dirty="true"/>
              <w:instrText xml:space="preserve">PAGEREF _Toc97 \h</w:instrText>
              <w:fldChar w:fldCharType="separate"/>
              <w:fldChar w:fldCharType="end"/>
            </w:r>
          </w:hyperlink>
        </w:p>
        <w:p>
          <w:pPr>
            <w:pStyle w:val="TOC2"/>
            <w:tabs>
              <w:tab w:val="right" w:pos="8306" w:leader="dot"/>
            </w:tabs>
          </w:pPr>
          <w:hyperlink w:history="1" w:anchor="_Toc98">
            <w:r>
              <w:t xml:space="preserve">9.11 Limitations and Untested Scenarios</w:t>
            </w:r>
            <w:r>
              <w:tab/>
            </w:r>
            <w:r>
              <w:fldChar w:fldCharType="begin" w:dirty="true"/>
              <w:instrText xml:space="preserve">PAGEREF _Toc98 \h</w:instrText>
              <w:fldChar w:fldCharType="separate"/>
              <w:fldChar w:fldCharType="end"/>
            </w:r>
          </w:hyperlink>
        </w:p>
        <w:p>
          <w:pPr>
            <w:pStyle w:val="TOC1"/>
            <w:tabs>
              <w:tab w:val="right" w:pos="8306" w:leader="dot"/>
            </w:tabs>
          </w:pPr>
          <w:hyperlink w:history="1" w:anchor="_Toc99">
            <w:r>
              <w:t xml:space="preserve">RESULTS, DEMONSTRATION AND DISCUSSION</w:t>
            </w:r>
            <w:r>
              <w:tab/>
            </w:r>
            <w:r>
              <w:fldChar w:fldCharType="begin" w:dirty="true"/>
              <w:instrText xml:space="preserve">PAGEREF _Toc99 \h</w:instrText>
              <w:fldChar w:fldCharType="separate"/>
              <w:fldChar w:fldCharType="end"/>
            </w:r>
          </w:hyperlink>
        </w:p>
        <w:p>
          <w:pPr>
            <w:pStyle w:val="TOC2"/>
            <w:tabs>
              <w:tab w:val="right" w:pos="8306" w:leader="dot"/>
            </w:tabs>
          </w:pPr>
          <w:hyperlink w:history="1" w:anchor="_Toc100">
            <w:r>
              <w:t xml:space="preserve">10.1 Implemented Features</w:t>
            </w:r>
            <w:r>
              <w:tab/>
            </w:r>
            <w:r>
              <w:fldChar w:fldCharType="begin" w:dirty="true"/>
              <w:instrText xml:space="preserve">PAGEREF _Toc100 \h</w:instrText>
              <w:fldChar w:fldCharType="separate"/>
              <w:fldChar w:fldCharType="end"/>
            </w:r>
          </w:hyperlink>
        </w:p>
        <w:p>
          <w:pPr>
            <w:pStyle w:val="TOC2"/>
            <w:tabs>
              <w:tab w:val="right" w:pos="8306" w:leader="dot"/>
            </w:tabs>
          </w:pPr>
          <w:hyperlink w:history="1" w:anchor="_Toc101">
            <w:r>
              <w:t xml:space="preserve">10.2 Screenshots and Demonstration Evidence</w:t>
            </w:r>
            <w:r>
              <w:tab/>
            </w:r>
            <w:r>
              <w:fldChar w:fldCharType="begin" w:dirty="true"/>
              <w:instrText xml:space="preserve">PAGEREF _Toc101 \h</w:instrText>
              <w:fldChar w:fldCharType="separate"/>
              <w:fldChar w:fldCharType="end"/>
            </w:r>
          </w:hyperlink>
        </w:p>
        <w:p>
          <w:pPr>
            <w:pStyle w:val="TOC2"/>
            <w:tabs>
              <w:tab w:val="right" w:pos="8306" w:leader="dot"/>
            </w:tabs>
          </w:pPr>
          <w:hyperlink w:history="1" w:anchor="_Toc102">
            <w:r>
              <w:t xml:space="preserve">10.3 Functional Results</w:t>
            </w:r>
            <w:r>
              <w:tab/>
            </w:r>
            <w:r>
              <w:fldChar w:fldCharType="begin" w:dirty="true"/>
              <w:instrText xml:space="preserve">PAGEREF _Toc102 \h</w:instrText>
              <w:fldChar w:fldCharType="separate"/>
              <w:fldChar w:fldCharType="end"/>
            </w:r>
          </w:hyperlink>
        </w:p>
        <w:p>
          <w:pPr>
            <w:pStyle w:val="TOC2"/>
            <w:tabs>
              <w:tab w:val="right" w:pos="8306" w:leader="dot"/>
            </w:tabs>
          </w:pPr>
          <w:hyperlink w:history="1" w:anchor="_Toc103">
            <w:r>
              <w:t xml:space="preserve">10.4 Performance Results</w:t>
            </w:r>
            <w:r>
              <w:tab/>
            </w:r>
            <w:r>
              <w:fldChar w:fldCharType="begin" w:dirty="true"/>
              <w:instrText xml:space="preserve">PAGEREF _Toc103 \h</w:instrText>
              <w:fldChar w:fldCharType="separate"/>
              <w:fldChar w:fldCharType="end"/>
            </w:r>
          </w:hyperlink>
        </w:p>
        <w:p>
          <w:pPr>
            <w:pStyle w:val="TOC2"/>
            <w:tabs>
              <w:tab w:val="right" w:pos="8306" w:leader="dot"/>
            </w:tabs>
          </w:pPr>
          <w:hyperlink w:history="1" w:anchor="_Toc104">
            <w:r>
              <w:t xml:space="preserve">10.5 Comparison with Existing Systems</w:t>
            </w:r>
            <w:r>
              <w:tab/>
            </w:r>
            <w:r>
              <w:fldChar w:fldCharType="begin" w:dirty="true"/>
              <w:instrText xml:space="preserve">PAGEREF _Toc104 \h</w:instrText>
              <w:fldChar w:fldCharType="separate"/>
              <w:fldChar w:fldCharType="end"/>
            </w:r>
          </w:hyperlink>
        </w:p>
        <w:p>
          <w:pPr>
            <w:pStyle w:val="TOC2"/>
            <w:tabs>
              <w:tab w:val="right" w:pos="8306" w:leader="dot"/>
            </w:tabs>
          </w:pPr>
          <w:hyperlink w:history="1" w:anchor="_Toc105">
            <w:r>
              <w:t xml:space="preserve">10.6 Achievement of Objectives</w:t>
            </w:r>
            <w:r>
              <w:tab/>
            </w:r>
            <w:r>
              <w:fldChar w:fldCharType="begin" w:dirty="true"/>
              <w:instrText xml:space="preserve">PAGEREF _Toc105 \h</w:instrText>
              <w:fldChar w:fldCharType="separate"/>
              <w:fldChar w:fldCharType="end"/>
            </w:r>
          </w:hyperlink>
        </w:p>
        <w:p>
          <w:pPr>
            <w:pStyle w:val="TOC2"/>
            <w:tabs>
              <w:tab w:val="right" w:pos="8306" w:leader="dot"/>
            </w:tabs>
          </w:pPr>
          <w:hyperlink w:history="1" w:anchor="_Toc106">
            <w:r>
              <w:t xml:space="preserve">10.7 Discussion of Findings</w:t>
            </w:r>
            <w:r>
              <w:tab/>
            </w:r>
            <w:r>
              <w:fldChar w:fldCharType="begin" w:dirty="true"/>
              <w:instrText xml:space="preserve">PAGEREF _Toc106 \h</w:instrText>
              <w:fldChar w:fldCharType="separate"/>
              <w:fldChar w:fldCharType="end"/>
            </w:r>
          </w:hyperlink>
        </w:p>
        <w:p>
          <w:pPr>
            <w:pStyle w:val="TOC2"/>
            <w:tabs>
              <w:tab w:val="right" w:pos="8306" w:leader="dot"/>
            </w:tabs>
          </w:pPr>
          <w:hyperlink w:history="1" w:anchor="_Toc107">
            <w:r>
              <w:t xml:space="preserve">10.8 Practical Applicability</w:t>
            </w:r>
            <w:r>
              <w:tab/>
            </w:r>
            <w:r>
              <w:fldChar w:fldCharType="begin" w:dirty="true"/>
              <w:instrText xml:space="preserve">PAGEREF _Toc107 \h</w:instrText>
              <w:fldChar w:fldCharType="separate"/>
              <w:fldChar w:fldCharType="end"/>
            </w:r>
          </w:hyperlink>
        </w:p>
        <w:p>
          <w:pPr>
            <w:pStyle w:val="TOC1"/>
            <w:tabs>
              <w:tab w:val="right" w:pos="8306" w:leader="dot"/>
            </w:tabs>
          </w:pPr>
          <w:hyperlink w:history="1" w:anchor="_Toc108">
            <w:r>
              <w:t xml:space="preserve">CONCLUSION AND FUTURE SCOPE</w:t>
            </w:r>
            <w:r>
              <w:tab/>
            </w:r>
            <w:r>
              <w:fldChar w:fldCharType="begin" w:dirty="true"/>
              <w:instrText xml:space="preserve">PAGEREF _Toc108 \h</w:instrText>
              <w:fldChar w:fldCharType="separate"/>
              <w:fldChar w:fldCharType="end"/>
            </w:r>
          </w:hyperlink>
        </w:p>
        <w:p>
          <w:pPr>
            <w:pStyle w:val="TOC2"/>
            <w:tabs>
              <w:tab w:val="right" w:pos="8306" w:leader="dot"/>
            </w:tabs>
          </w:pPr>
          <w:hyperlink w:history="1" w:anchor="_Toc109">
            <w:r>
              <w:t xml:space="preserve">11.1 Conclusion</w:t>
            </w:r>
            <w:r>
              <w:tab/>
            </w:r>
            <w:r>
              <w:fldChar w:fldCharType="begin" w:dirty="true"/>
              <w:instrText xml:space="preserve">PAGEREF _Toc109 \h</w:instrText>
              <w:fldChar w:fldCharType="separate"/>
              <w:fldChar w:fldCharType="end"/>
            </w:r>
          </w:hyperlink>
        </w:p>
        <w:p>
          <w:pPr>
            <w:pStyle w:val="TOC2"/>
            <w:tabs>
              <w:tab w:val="right" w:pos="8306" w:leader="dot"/>
            </w:tabs>
          </w:pPr>
          <w:hyperlink w:history="1" w:anchor="_Toc110">
            <w:r>
              <w:t xml:space="preserve">11.2 Achievement of Objectives</w:t>
            </w:r>
            <w:r>
              <w:tab/>
            </w:r>
            <w:r>
              <w:fldChar w:fldCharType="begin" w:dirty="true"/>
              <w:instrText xml:space="preserve">PAGEREF _Toc110 \h</w:instrText>
              <w:fldChar w:fldCharType="separate"/>
              <w:fldChar w:fldCharType="end"/>
            </w:r>
          </w:hyperlink>
        </w:p>
        <w:p>
          <w:pPr>
            <w:pStyle w:val="TOC2"/>
            <w:tabs>
              <w:tab w:val="right" w:pos="8306" w:leader="dot"/>
            </w:tabs>
          </w:pPr>
          <w:hyperlink w:history="1" w:anchor="_Toc111">
            <w:r>
              <w:t xml:space="preserve">11.3 Major Engineering Contributions</w:t>
            </w:r>
            <w:r>
              <w:tab/>
            </w:r>
            <w:r>
              <w:fldChar w:fldCharType="begin" w:dirty="true"/>
              <w:instrText xml:space="preserve">PAGEREF _Toc111 \h</w:instrText>
              <w:fldChar w:fldCharType="separate"/>
              <w:fldChar w:fldCharType="end"/>
            </w:r>
          </w:hyperlink>
        </w:p>
        <w:p>
          <w:pPr>
            <w:pStyle w:val="TOC2"/>
            <w:tabs>
              <w:tab w:val="right" w:pos="8306" w:leader="dot"/>
            </w:tabs>
          </w:pPr>
          <w:hyperlink w:history="1" w:anchor="_Toc112">
            <w:r>
              <w:t xml:space="preserve">11.4 Current Limitations</w:t>
            </w:r>
            <w:r>
              <w:tab/>
            </w:r>
            <w:r>
              <w:fldChar w:fldCharType="begin" w:dirty="true"/>
              <w:instrText xml:space="preserve">PAGEREF _Toc112 \h</w:instrText>
              <w:fldChar w:fldCharType="separate"/>
              <w:fldChar w:fldCharType="end"/>
            </w:r>
          </w:hyperlink>
        </w:p>
        <w:p>
          <w:pPr>
            <w:pStyle w:val="TOC2"/>
            <w:tabs>
              <w:tab w:val="right" w:pos="8306" w:leader="dot"/>
            </w:tabs>
          </w:pPr>
          <w:hyperlink w:history="1" w:anchor="_Toc113">
            <w:r>
              <w:t xml:space="preserve">11.5 Future Enhancements</w:t>
            </w:r>
            <w:r>
              <w:tab/>
            </w:r>
            <w:r>
              <w:fldChar w:fldCharType="begin" w:dirty="true"/>
              <w:instrText xml:space="preserve">PAGEREF _Toc113 \h</w:instrText>
              <w:fldChar w:fldCharType="separate"/>
              <w:fldChar w:fldCharType="end"/>
            </w:r>
          </w:hyperlink>
        </w:p>
        <w:p>
          <w:pPr>
            <w:pStyle w:val="TOC2"/>
            <w:tabs>
              <w:tab w:val="right" w:pos="8306" w:leader="dot"/>
            </w:tabs>
          </w:pPr>
          <w:hyperlink w:history="1" w:anchor="_Toc114">
            <w:r>
              <w:t xml:space="preserve">11.6 Lessons Learned</w:t>
            </w:r>
            <w:r>
              <w:tab/>
            </w:r>
            <w:r>
              <w:fldChar w:fldCharType="begin" w:dirty="true"/>
              <w:instrText xml:space="preserve">PAGEREF _Toc114 \h</w:instrText>
              <w:fldChar w:fldCharType="separate"/>
              <w:fldChar w:fldCharType="end"/>
            </w:r>
          </w:hyperlink>
        </w:p>
        <w:p>
          <w:pPr>
            <w:pStyle w:val="TOC1"/>
            <w:tabs>
              <w:tab w:val="right" w:pos="8306" w:leader="dot"/>
            </w:tabs>
          </w:pPr>
          <w:hyperlink w:history="1" w:anchor="_Toc115">
            <w:r>
              <w:t xml:space="preserve">REFERENCES</w:t>
            </w:r>
            <w:r>
              <w:tab/>
            </w:r>
            <w:r>
              <w:fldChar w:fldCharType="begin" w:dirty="true"/>
              <w:instrText xml:space="preserve">PAGEREF _Toc115 \h</w:instrText>
              <w:fldChar w:fldCharType="separate"/>
              <w:fldChar w:fldCharType="end"/>
            </w:r>
          </w:hyperlink>
        </w:p>
        <w:p>
          <w:pPr>
            <w:pStyle w:val="TOC1"/>
            <w:tabs>
              <w:tab w:val="right" w:pos="8306" w:leader="dot"/>
            </w:tabs>
          </w:pPr>
          <w:hyperlink w:history="1" w:anchor="_Toc116">
            <w:r>
              <w:t xml:space="preserve">APPENDIX A: API ENDPOINTS</w:t>
            </w:r>
            <w:r>
              <w:tab/>
            </w:r>
            <w:r>
              <w:fldChar w:fldCharType="begin" w:dirty="true"/>
              <w:instrText xml:space="preserve">PAGEREF _Toc116 \h</w:instrText>
              <w:fldChar w:fldCharType="separate"/>
              <w:fldChar w:fldCharType="end"/>
            </w:r>
          </w:hyperlink>
        </w:p>
        <w:p>
          <w:pPr>
            <w:pStyle w:val="TOC1"/>
            <w:tabs>
              <w:tab w:val="right" w:pos="8306" w:leader="dot"/>
            </w:tabs>
          </w:pPr>
          <w:hyperlink w:history="1" w:anchor="_Toc117">
            <w:r>
              <w:t xml:space="preserve">APPENDIX B: INSTALLATION AND USAGE</w:t>
            </w:r>
            <w:r>
              <w:tab/>
            </w:r>
            <w:r>
              <w:fldChar w:fldCharType="begin" w:dirty="true"/>
              <w:instrText xml:space="preserve">PAGEREF _Toc117 \h</w:instrText>
              <w:fldChar w:fldCharType="separate"/>
              <w:fldChar w:fldCharType="end"/>
            </w:r>
          </w:hyperlink>
        </w:p>
        <w:p>
          <w:pPr>
            <w:pStyle w:val="TOC1"/>
            <w:tabs>
              <w:tab w:val="right" w:pos="8306" w:leader="dot"/>
            </w:tabs>
          </w:pPr>
          <w:hyperlink w:history="1" w:anchor="_Toc118">
            <w:r>
              <w:t xml:space="preserve">APPENDIX C: PLAGIARISM REPORT</w:t>
            </w:r>
            <w:r>
              <w:tab/>
            </w:r>
            <w:r>
              <w:fldChar w:fldCharType="begin" w:dirty="true"/>
              <w:instrText xml:space="preserve">PAGEREF _Toc118 \h</w:instrText>
              <w:fldChar w:fldCharType="separate"/>
              <w:fldChar w:fldCharType="end"/>
            </w:r>
          </w:hyperlink>
        </w:p>
        <w:p>
          <w:pPr>
            <w:pStyle w:val="TOC1"/>
            <w:tabs>
              <w:tab w:val="right" w:pos="8306" w:leader="dot"/>
            </w:tabs>
          </w:pPr>
          <w:hyperlink w:history="1" w:anchor="_Toc119">
            <w:r>
              <w:t xml:space="preserve">APPENDIX D: AI CONTENT DETECTION REPORT</w:t>
            </w:r>
            <w:r>
              <w:tab/>
            </w:r>
            <w:r>
              <w:fldChar w:fldCharType="begin" w:dirty="true"/>
              <w:instrText xml:space="preserve">PAGEREF _Toc119 \h</w:instrText>
              <w:fldChar w:fldCharType="separate"/>
              <w:fldChar w:fldCharType="end"/>
            </w:r>
          </w:hyperlink>
        </w:p>
        <w:p>
          <w:r>
            <w:fldChar w:fldCharType="end"/>
          </w:r>
        </w:p>
      </w:sdtContent>
    </w:sdt>
    <w:p>
      <w:pPr>
        <w:pStyle w:val="Heading1"/>
        <w:pageBreakBefore/>
        <w:jc w:val="center"/>
      </w:pPr>
      <w:bookmarkStart w:name="_Toc7" w:id="7"/>
      <w:r>
        <w:rPr>
          <w:rFonts w:ascii="Times New Roman" w:cs="Times New Roman" w:eastAsia="Times New Roman" w:hAnsi="Times New Roman"/>
        </w:rPr>
        <w:t xml:space="preserve">LIST OF FIGURES</w:t>
      </w:r>
      <w:bookmarkEnd w:id="7"/>
    </w:p>
    <w:sdt>
      <w:sdtPr>
        <w:alias w:val="List of Figures"/>
      </w:sdtPr>
      <w:sdtContent>
        <w:p>
          <w:r>
            <w:fldChar w:fldCharType="begin" w:dirty="true"/>
            <w:instrText xml:space="preserve">TOC \c "Figure" \h</w:instrText>
            <w:fldChar w:fldCharType="separate"/>
          </w:r>
        </w:p>
        <w:p>
          <w:r>
            <w:fldChar w:fldCharType="end"/>
          </w:r>
        </w:p>
      </w:sdtContent>
    </w:sdt>
    <w:p>
      <w:pPr>
        <w:pStyle w:val="Heading1"/>
        <w:pageBreakBefore/>
        <w:jc w:val="center"/>
      </w:pPr>
      <w:bookmarkStart w:name="_Toc8" w:id="8"/>
      <w:r>
        <w:rPr>
          <w:rFonts w:ascii="Times New Roman" w:cs="Times New Roman" w:eastAsia="Times New Roman" w:hAnsi="Times New Roman"/>
        </w:rPr>
        <w:t xml:space="preserve">LIST OF TABLES</w:t>
      </w:r>
      <w:bookmarkEnd w:id="8"/>
    </w:p>
    <w:sdt>
      <w:sdtPr>
        <w:alias w:val="List of Tables"/>
      </w:sdtPr>
      <w:sdtContent>
        <w:p>
          <w:r>
            <w:fldChar w:fldCharType="begin" w:dirty="true"/>
            <w:instrText xml:space="preserve">TOC \c "Table" \h</w:instrText>
            <w:fldChar w:fldCharType="separate"/>
          </w:r>
        </w:p>
        <w:p>
          <w:r>
            <w:fldChar w:fldCharType="end"/>
          </w:r>
        </w:p>
      </w:sdtContent>
    </w:sdt>
    <w:p>
      <w:pPr>
        <w:pStyle w:val="Heading1"/>
        <w:pageBreakBefore/>
        <w:jc w:val="center"/>
      </w:pPr>
      <w:bookmarkStart w:name="_Toc9" w:id="9"/>
      <w:r>
        <w:rPr>
          <w:rFonts w:ascii="Times New Roman" w:cs="Times New Roman" w:eastAsia="Times New Roman" w:hAnsi="Times New Roman"/>
        </w:rPr>
        <w:t xml:space="preserve">LIST OF ABBREVIATIONS AND SYMBOLS</w:t>
      </w:r>
      <w:bookmarkEnd w:id="9"/>
    </w:p>
    <w:p>
      <w:pPr>
        <w:pStyle w:val="Caption"/>
        <w:spacing w:after="240" w:before="80"/>
        <w:jc w:val="center"/>
      </w:pPr>
      <w:r>
        <w:rPr>
          <w:rFonts w:ascii="Times New Roman" w:cs="Times New Roman" w:eastAsia="Times New Roman" w:hAnsi="Times New Roman"/>
          <w:b/>
          <w:bCs/>
        </w:rPr>
        <w:t xml:space="preserve">Table </w:t>
      </w:r>
      <w:fldSimple w:instr="SEQ Table \* ARABIC \s 1">
        <w:r>
          <w:t xml:space="preserve">1</w:t>
        </w:r>
      </w:fldSimple>
      <w:r>
        <w:rPr>
          <w:rFonts w:ascii="Times New Roman" w:cs="Times New Roman" w:eastAsia="Times New Roman" w:hAnsi="Times New Roman"/>
        </w:rPr>
        <w:t xml:space="preserve">: 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7"/>
        <w:gridCol w:w="6229"/>
      </w:tblGrid>
      <w:tr>
        <w:trPr>
          <w:tblHeader/>
        </w:trPr>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Abbreviation</w:t>
            </w:r>
          </w:p>
        </w:tc>
        <w:tc>
          <w:tcPr>
            <w:tcW w:type="dxa" w:w="622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Full form</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AMC / AMFI</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Asset Management Company / Association of Mutual Funds in India</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 / REST</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Application Programming Interface / Representational State Transfer</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The project’s retirement simulation engine</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CI</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Continuous Integration</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CRPS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Continuous Ranked Probability Score</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DFD / ER</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Flow Diagram / Entity–Relationship</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Expected Shortfall</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EVT / GPD</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Extreme Value Theory / Generalised Pareto Distribution</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FHS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Filtered Historical Simulation</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FIFO</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First In, First Out</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 / NFR</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Functional / Non-Functional Requirement</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GARCH</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Generalised Autoregressive Conditional Heteroskedasticity</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HAR-X</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Heterogeneous Autoregressive model with exogenous inputs</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HMM</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Hidden Markov Model</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JWT</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JSON Web Token</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KPI</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Key Performance Indicator</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LTCG / STCG</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Long- / Short-Term Capital Gains</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NAV</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Net Asset Value</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Portfolio Level Overlap Score (project engine)</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QLIKE</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Quasi-likelihood loss</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SIP</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Systematic Investment Plan</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SRS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Software Requirements Specification</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VaR</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Value at Risk</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VIX</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Volatility Index</w:t>
            </w:r>
          </w:p>
        </w:tc>
      </w:tr>
    </w:tbl>
    <w:p>
      <w:pPr>
        <w:spacing w:after="120"/>
      </w:pPr>
      <w:r>
        <w:rPr>
          <w:rFonts w:ascii="Times New Roman" w:cs="Times New Roman" w:eastAsia="Times New Roman" w:hAnsi="Times New Roman"/>
        </w:rPr>
        <w:t xml:space="preserve"/>
      </w:r>
    </w:p>
    <w:p>
      <w:pPr>
        <w:pStyle w:val="Caption"/>
        <w:spacing w:after="240" w:before="80"/>
        <w:jc w:val="center"/>
      </w:pPr>
      <w:r>
        <w:rPr>
          <w:rFonts w:ascii="Times New Roman" w:cs="Times New Roman" w:eastAsia="Times New Roman" w:hAnsi="Times New Roman"/>
          <w:b/>
          <w:bCs/>
        </w:rPr>
        <w:t xml:space="preserve">Table </w:t>
      </w:r>
      <w:fldSimple w:instr="SEQ Table \* ARABIC \s 1">
        <w:r>
          <w:t xml:space="preserve">2</w:t>
        </w:r>
      </w:fldSimple>
      <w:r>
        <w:rPr>
          <w:rFonts w:ascii="Times New Roman" w:cs="Times New Roman" w:eastAsia="Times New Roman" w:hAnsi="Times New Roman"/>
        </w:rPr>
        <w:t xml:space="preserve">: List of symbols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7"/>
        <w:gridCol w:w="6229"/>
      </w:tblGrid>
      <w:tr>
        <w:trPr>
          <w:tblHeader/>
        </w:trPr>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Symbol</w:t>
            </w:r>
          </w:p>
        </w:tc>
        <w:tc>
          <w:tcPr>
            <w:tcW w:type="dxa" w:w="622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Meaning</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 w_A</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Portfolio or fund weight vector</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ρ, z</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Correlation and its Fisher transform z = artanh(ρ)</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Σ, S, F, δ</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Covariance matrix: shrunk estimate, sample, target, shrinkage intensity</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β, λ</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Model coefficients; ridge penalty</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φ_i</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Shapley contribution of layer i</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N_eff</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Effective number of independent funds</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σ², RV</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Variance; realised variance</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α, ω</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GARCH parameters; confidence level α for VaR</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ξ, u</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GPD shape parameter; tail threshold</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μ, τ, n</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Expected return; prior strength (years); years of history</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k, N</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Successful paths; total Monte Carlo paths</w:t>
            </w:r>
          </w:p>
        </w:tc>
      </w:tr>
    </w:tbl>
    <w:p>
      <w:pPr>
        <w:spacing w:after="120"/>
        <w:sectPr>
          <w:footerReference w:type="default" r:id="rId7"/>
          <w:pgSz w:w="11906" w:h="16838" w:orient="portrait"/>
          <w:pgMar w:top="1440" w:right="1440" w:bottom="1440" w:left="2160" w:header="708" w:footer="708" w:gutter="0"/>
          <w:pgBorders>
            <w:top w:val="single" w:color="000000" w:sz="6" w:space="24"/>
            <w:left w:val="single" w:color="000000" w:sz="6" w:space="24"/>
            <w:bottom w:val="single" w:color="000000" w:sz="6" w:space="24"/>
            <w:right w:val="single" w:color="000000" w:sz="6" w:space="24"/>
          </w:pgBorders>
          <w:pgNumType w:start="1" w:fmt="lowerRoman"/>
          <w:docGrid w:linePitch="360"/>
        </w:sectPr>
      </w:pPr>
      <w:r>
        <w:rPr>
          <w:rFonts w:ascii="Times New Roman" w:cs="Times New Roman" w:eastAsia="Times New Roman" w:hAnsi="Times New Roman"/>
        </w:rPr>
        <w:t xml:space="preserve"/>
      </w:r>
    </w:p>
    <w:p>
      <w:pPr>
        <w:pageBreakBefore/>
        <w:spacing w:after="120"/>
        <w:jc w:val="center"/>
      </w:pPr>
      <w:r>
        <w:rPr>
          <w:rFonts w:ascii="Times New Roman" w:cs="Times New Roman" w:eastAsia="Times New Roman" w:hAnsi="Times New Roman"/>
          <w:b/>
          <w:bCs/>
          <w:sz w:val="28"/>
          <w:szCs w:val="28"/>
        </w:rPr>
        <w:t xml:space="preserve">CHAPTER 1</w:t>
      </w:r>
    </w:p>
    <w:p>
      <w:pPr>
        <w:pStyle w:val="Heading1"/>
        <w:jc w:val="center"/>
      </w:pPr>
      <w:bookmarkStart w:name="_Toc10" w:id="10"/>
      <w:r>
        <w:rPr>
          <w:rFonts w:ascii="Times New Roman" w:cs="Times New Roman" w:eastAsia="Times New Roman" w:hAnsi="Times New Roman"/>
        </w:rPr>
        <w:t xml:space="preserve">INTRODUCTION AND PROBLEM DEFINITION</w:t>
      </w:r>
      <w:bookmarkEnd w:id="10"/>
    </w:p>
    <w:p>
      <w:pPr>
        <w:pStyle w:val="Heading2"/>
        <w:keepNext/>
      </w:pPr>
      <w:bookmarkStart w:name="_Toc11" w:id="11"/>
      <w:r>
        <w:rPr>
          <w:rFonts w:ascii="Times New Roman" w:cs="Times New Roman" w:eastAsia="Times New Roman" w:hAnsi="Times New Roman"/>
        </w:rPr>
        <w:t xml:space="preserve">1.1 Project Background</w:t>
      </w:r>
      <w:bookmarkEnd w:id="11"/>
    </w:p>
    <w:p>
      <w:pPr>
        <w:spacing w:after="120" w:line="360"/>
        <w:jc w:val="both"/>
      </w:pPr>
      <w:r>
        <w:rPr>
          <w:rFonts w:ascii="Times New Roman" w:cs="Times New Roman" w:eastAsia="Times New Roman" w:hAnsi="Times New Roman"/>
        </w:rPr>
        <w:t xml:space="preserve">Mutual funds are the main route by which Indian households invest in equity and debt markets, and the Systematic Investment Plan (SIP) has made them the default savings product for salaried investors. Investors are told to diversify, and most read diversification as the number of schemes held. However, schemes of the same fund house — especially large-cap, flexi-cap and multi-cap schemes — draw on the same pool of large companies, so a portfolio of several funds can behave almost like a single fund.</w:t>
      </w:r>
    </w:p>
    <w:p>
      <w:pPr>
        <w:spacing w:after="120" w:line="360"/>
        <w:jc w:val="both"/>
      </w:pPr>
      <w:r>
        <w:rPr>
          <w:rFonts w:ascii="Times New Roman" w:cs="Times New Roman" w:eastAsia="Times New Roman" w:hAnsi="Times New Roman"/>
        </w:rPr>
        <w:t xml:space="preserve">The factsheet data used in this project makes the effect concrete. In Nippon India’s 20 equity schemes (holdings as of 31 May 2026), HDFC Bank, ICICI Bank, Axis Bank and State Bank of India each appear in 11 schemes. Nippon India Large Cap Fund and Nippon India Quant Fund share only 15 holdings, yet 41% of their money is invested in the same stocks. Today an investor can read these numbers only by comparing factsheets by hand, and nothing tells them what the overlap means for portfolio risk or for retirement.</w:t>
      </w:r>
    </w:p>
    <w:p>
      <w:pPr>
        <w:pStyle w:val="Heading2"/>
        <w:keepNext/>
      </w:pPr>
      <w:bookmarkStart w:name="_Toc12" w:id="12"/>
      <w:r>
        <w:rPr>
          <w:rFonts w:ascii="Times New Roman" w:cs="Times New Roman" w:eastAsia="Times New Roman" w:hAnsi="Times New Roman"/>
        </w:rPr>
        <w:t xml:space="preserve">1.2 Problem Statement</w:t>
      </w:r>
      <w:bookmarkEnd w:id="12"/>
    </w:p>
    <w:p>
      <w:pPr>
        <w:spacing w:after="120" w:line="360"/>
        <w:jc w:val="both"/>
      </w:pPr>
      <w:r>
        <w:rPr>
          <w:rFonts w:ascii="Times New Roman" w:cs="Times New Roman" w:eastAsia="Times New Roman" w:hAnsi="Times New Roman"/>
        </w:rPr>
        <w:t xml:space="preserve">Retail investors have no single, transparent tool that (a) measures how much their funds really overlap, both in the stocks held and in how the funds move together; (b) reports risk that reflects current market conditions instead of a long historical average; and (c) projects retirement outcomes as an honest probability range instead of a single deterministic number. Existing overlap tools count common stock names but ignore position sizes, risk figures are usually static, retirement calculators assume a fixed return, and almost none of these tools reports how accurate its own estimates have been.</w:t>
      </w:r>
    </w:p>
    <w:p>
      <w:pPr>
        <w:spacing w:after="120" w:line="360"/>
        <w:jc w:val="both"/>
      </w:pPr>
      <w:r>
        <w:rPr>
          <w:rFonts w:ascii="Times New Roman" w:cs="Times New Roman" w:eastAsia="Times New Roman" w:hAnsi="Times New Roman"/>
        </w:rPr>
        <w:t xml:space="preserve">The difficulties are technical as well as presentational: fund data is spread over monthly PDF factsheets, AMFI scheme codes are easy to mismatch, Indian return history is short (about two decades), volatility changes regime quickly, and models fitted on a short history overfit easily. A solution must therefore combine verified data, statistically sound models, out-of-sample validation and a clear user interface.</w:t>
      </w:r>
    </w:p>
    <w:p>
      <w:pPr>
        <w:pStyle w:val="Heading2"/>
        <w:keepNext/>
      </w:pPr>
      <w:bookmarkStart w:name="_Toc13" w:id="13"/>
      <w:r>
        <w:rPr>
          <w:rFonts w:ascii="Times New Roman" w:cs="Times New Roman" w:eastAsia="Times New Roman" w:hAnsi="Times New Roman"/>
        </w:rPr>
        <w:t xml:space="preserve">1.3 Motivation</w:t>
      </w:r>
      <w:bookmarkEnd w:id="13"/>
    </w:p>
    <w:p>
      <w:pPr>
        <w:spacing w:after="120" w:line="360"/>
        <w:jc w:val="both"/>
      </w:pPr>
      <w:r>
        <w:rPr>
          <w:rFonts w:ascii="Times New Roman" w:cs="Times New Roman" w:eastAsia="Times New Roman" w:hAnsi="Times New Roman"/>
        </w:rPr>
        <w:t xml:space="preserve">A household that believes it holds five independent funds but actually holds about one-and-a-half takes more concentrated risk than it intended, and may retire with a smaller corpus than a calculator promised. The people who benefit from solving this are individual SIP investors, who get a clearer view of their portfolio; relationship managers and advisors, who can explain overlap and risk with evidence; and students of finance and engineering, who get an open, documented example of how financial models should be validated. Solving it also demonstrates a broader engineering point: software that makes financial estimates should test those estimates against reality and show the evidence.</w:t>
      </w:r>
    </w:p>
    <w:p>
      <w:pPr>
        <w:pStyle w:val="Heading2"/>
        <w:keepNext/>
      </w:pPr>
      <w:bookmarkStart w:name="_Toc14" w:id="14"/>
      <w:r>
        <w:rPr>
          <w:rFonts w:ascii="Times New Roman" w:cs="Times New Roman" w:eastAsia="Times New Roman" w:hAnsi="Times New Roman"/>
        </w:rPr>
        <w:t xml:space="preserve">1.4 Objectives</w:t>
      </w:r>
      <w:bookmarkEnd w:id="14"/>
    </w:p>
    <w:p>
      <w:pPr>
        <w:pStyle w:val="ListParagraph"/>
        <w:numPr>
          <w:ilvl w:val="0"/>
          <w:numId w:val="2"/>
        </w:numPr>
        <w:spacing w:after="60" w:line="360"/>
        <w:jc w:val="both"/>
      </w:pPr>
      <w:r>
        <w:rPr>
          <w:rFonts w:ascii="Times New Roman" w:cs="Times New Roman" w:eastAsia="Times New Roman" w:hAnsi="Times New Roman"/>
        </w:rPr>
        <w:t xml:space="preserve">Build a full-stack web platform that takes an investor from a 10-field profile to overlap, diversification, risk and retirement analysis for all 35 Nippon India schemes, through a REST API of at least 40 endpoints.</w:t>
      </w:r>
    </w:p>
    <w:p>
      <w:pPr>
        <w:pStyle w:val="ListParagraph"/>
        <w:numPr>
          <w:ilvl w:val="0"/>
          <w:numId w:val="2"/>
        </w:numPr>
        <w:spacing w:after="60" w:line="360"/>
        <w:jc w:val="both"/>
      </w:pPr>
      <w:r>
        <w:rPr>
          <w:rFonts w:ascii="Times New Roman" w:cs="Times New Roman" w:eastAsia="Times New Roman" w:hAnsi="Times New Roman"/>
        </w:rPr>
        <w:t xml:space="preserve">Measure overlap as shared names (Jaccard) and shared money (weighted overlap), and predict each fund pair’s next-year return correlation more accurately (out-of-sample R²) than the original hand-weighted PLOS score (R² 0.570).</w:t>
      </w:r>
    </w:p>
    <w:p>
      <w:pPr>
        <w:pStyle w:val="ListParagraph"/>
        <w:numPr>
          <w:ilvl w:val="0"/>
          <w:numId w:val="2"/>
        </w:numPr>
        <w:spacing w:after="60" w:line="360"/>
        <w:jc w:val="both"/>
      </w:pPr>
      <w:r>
        <w:rPr>
          <w:rFonts w:ascii="Times New Roman" w:cs="Times New Roman" w:eastAsia="Times New Roman" w:hAnsi="Times New Roman"/>
        </w:rPr>
        <w:t xml:space="preserve">Report VaR and Expected Shortfall at 95% and 99% that track the current volatility regime and pass the Kupiec and Christoffersen backtests for at least 90% of the equity funds tested.</w:t>
      </w:r>
    </w:p>
    <w:p>
      <w:pPr>
        <w:pStyle w:val="ListParagraph"/>
        <w:numPr>
          <w:ilvl w:val="0"/>
          <w:numId w:val="2"/>
        </w:numPr>
        <w:spacing w:after="60" w:line="360"/>
        <w:jc w:val="both"/>
      </w:pPr>
      <w:r>
        <w:rPr>
          <w:rFonts w:ascii="Times New Roman" w:cs="Times New Roman" w:eastAsia="Times New Roman" w:hAnsi="Times New Roman"/>
        </w:rPr>
        <w:t xml:space="preserve">Project retirement outcomes with a Monte Carlo engine whose 80% ranges contain between 75% and 85% of real outcomes, and never report a success probability of exactly 0% or 100%.</w:t>
      </w:r>
    </w:p>
    <w:p>
      <w:pPr>
        <w:pStyle w:val="ListParagraph"/>
        <w:numPr>
          <w:ilvl w:val="0"/>
          <w:numId w:val="2"/>
        </w:numPr>
        <w:spacing w:after="60" w:line="360"/>
        <w:jc w:val="both"/>
      </w:pPr>
      <w:r>
        <w:rPr>
          <w:rFonts w:ascii="Times New Roman" w:cs="Times New Roman" w:eastAsia="Times New Roman" w:hAnsi="Times New Roman"/>
        </w:rPr>
        <w:t xml:space="preserve">Serve the interactive endpoints (session check, scheme filter, overlap) with a 95th-percentile response time below 200 ms, and every analysis endpoint without server errors, at 10 concurrent users on a 4-core container.</w:t>
      </w:r>
    </w:p>
    <w:p>
      <w:pPr>
        <w:pStyle w:val="ListParagraph"/>
        <w:numPr>
          <w:ilvl w:val="0"/>
          <w:numId w:val="2"/>
        </w:numPr>
        <w:spacing w:after="60" w:line="360"/>
        <w:jc w:val="both"/>
      </w:pPr>
      <w:r>
        <w:rPr>
          <w:rFonts w:ascii="Times New Roman" w:cs="Times New Roman" w:eastAsia="Times New Roman" w:hAnsi="Times New Roman"/>
        </w:rPr>
        <w:t xml:space="preserve">Maintain engineering quality: an automated test suite with a 100% pass rate, continuous integration on every push, containerised deployment and version control in Git.</w:t>
      </w:r>
    </w:p>
    <w:p>
      <w:pPr>
        <w:pStyle w:val="Heading2"/>
        <w:keepNext/>
      </w:pPr>
      <w:bookmarkStart w:name="_Toc15" w:id="15"/>
      <w:r>
        <w:rPr>
          <w:rFonts w:ascii="Times New Roman" w:cs="Times New Roman" w:eastAsia="Times New Roman" w:hAnsi="Times New Roman"/>
        </w:rPr>
        <w:t xml:space="preserve">1.5 Scope of the Project</w:t>
      </w:r>
      <w:bookmarkEnd w:id="15"/>
    </w:p>
    <w:p>
      <w:pPr>
        <w:pStyle w:val="Heading3"/>
        <w:keepNext/>
      </w:pPr>
      <w:r>
        <w:rPr>
          <w:rFonts w:ascii="Times New Roman" w:cs="Times New Roman" w:eastAsia="Times New Roman" w:hAnsi="Times New Roman"/>
        </w:rPr>
        <w:t xml:space="preserve">1.5.1 Features included</w:t>
      </w:r>
    </w:p>
    <w:p>
      <w:pPr>
        <w:pStyle w:val="ListParagraph"/>
        <w:numPr>
          <w:ilvl w:val="0"/>
          <w:numId w:val="3"/>
        </w:numPr>
        <w:spacing w:after="60" w:line="360"/>
        <w:jc w:val="both"/>
      </w:pPr>
      <w:r>
        <w:rPr>
          <w:rFonts w:ascii="Times New Roman" w:cs="Times New Roman" w:eastAsia="Times New Roman" w:hAnsi="Times New Roman"/>
        </w:rPr>
        <w:t xml:space="preserve">Secure registration, login and session management; a 10-field investor profile with SIP and annual step-up.</w:t>
      </w:r>
    </w:p>
    <w:p>
      <w:pPr>
        <w:pStyle w:val="ListParagraph"/>
        <w:numPr>
          <w:ilvl w:val="0"/>
          <w:numId w:val="3"/>
        </w:numPr>
        <w:spacing w:after="60" w:line="360"/>
        <w:jc w:val="both"/>
      </w:pPr>
      <w:r>
        <w:rPr>
          <w:rFonts w:ascii="Times New Roman" w:cs="Times New Roman" w:eastAsia="Times New Roman" w:hAnsi="Times New Roman"/>
        </w:rPr>
        <w:t xml:space="preserve">Discovery of all 35 Nippon India schemes (20 equity, 15 debt) with eligibility flags and reasons.</w:t>
      </w:r>
    </w:p>
    <w:p>
      <w:pPr>
        <w:pStyle w:val="ListParagraph"/>
        <w:numPr>
          <w:ilvl w:val="0"/>
          <w:numId w:val="3"/>
        </w:numPr>
        <w:spacing w:after="60" w:line="360"/>
        <w:jc w:val="both"/>
      </w:pPr>
      <w:r>
        <w:rPr>
          <w:rFonts w:ascii="Times New Roman" w:cs="Times New Roman" w:eastAsia="Times New Roman" w:hAnsi="Times New Roman"/>
        </w:rPr>
        <w:t xml:space="preserve">Scheme selection and weight allocation; overlap (Jaccard and weighted), PLOS with effective number of funds and redundancy clusters, portfolio risk (VaR/ES, backtests), ARISE retirement projection, and a fund comparison view.</w:t>
      </w:r>
    </w:p>
    <w:p>
      <w:pPr>
        <w:pStyle w:val="ListParagraph"/>
        <w:numPr>
          <w:ilvl w:val="0"/>
          <w:numId w:val="3"/>
        </w:numPr>
        <w:spacing w:after="60" w:line="360"/>
        <w:jc w:val="both"/>
      </w:pPr>
      <w:r>
        <w:rPr>
          <w:rFonts w:ascii="Times New Roman" w:cs="Times New Roman" w:eastAsia="Times New Roman" w:hAnsi="Times New Roman"/>
        </w:rPr>
        <w:t xml:space="preserve">A transaction ledger with FIFO lots, P&amp;L, XIRR and Indian capital-gains tax; PDF reports; relationship-manager notifications; an optional Upstox broker connection for live prices.</w:t>
      </w:r>
    </w:p>
    <w:p>
      <w:pPr>
        <w:pStyle w:val="ListParagraph"/>
        <w:numPr>
          <w:ilvl w:val="0"/>
          <w:numId w:val="3"/>
        </w:numPr>
        <w:spacing w:after="60" w:line="360"/>
        <w:jc w:val="both"/>
      </w:pPr>
      <w:r>
        <w:rPr>
          <w:rFonts w:ascii="Times New Roman" w:cs="Times New Roman" w:eastAsia="Times New Roman" w:hAnsi="Times New Roman"/>
        </w:rPr>
        <w:t xml:space="preserve">An offline data and model pipeline: download and verify market data, train and validate each engine’s model, and publish JSON model artifacts.</w:t>
      </w:r>
    </w:p>
    <w:p>
      <w:pPr>
        <w:pStyle w:val="Heading3"/>
        <w:keepNext/>
      </w:pPr>
      <w:r>
        <w:rPr>
          <w:rFonts w:ascii="Times New Roman" w:cs="Times New Roman" w:eastAsia="Times New Roman" w:hAnsi="Times New Roman"/>
        </w:rPr>
        <w:t xml:space="preserve">1.5.2 Features outside the scope</w:t>
      </w:r>
    </w:p>
    <w:p>
      <w:pPr>
        <w:pStyle w:val="ListParagraph"/>
        <w:numPr>
          <w:ilvl w:val="0"/>
          <w:numId w:val="3"/>
        </w:numPr>
        <w:spacing w:after="60" w:line="360"/>
        <w:jc w:val="both"/>
      </w:pPr>
      <w:r>
        <w:rPr>
          <w:rFonts w:ascii="Times New Roman" w:cs="Times New Roman" w:eastAsia="Times New Roman" w:hAnsi="Times New Roman"/>
        </w:rPr>
        <w:t xml:space="preserve">Order placement or execution of any trade; the system analyses, it does not transact.</w:t>
      </w:r>
    </w:p>
    <w:p>
      <w:pPr>
        <w:pStyle w:val="ListParagraph"/>
        <w:numPr>
          <w:ilvl w:val="0"/>
          <w:numId w:val="3"/>
        </w:numPr>
        <w:spacing w:after="60" w:line="360"/>
        <w:jc w:val="both"/>
      </w:pPr>
      <w:r>
        <w:rPr>
          <w:rFonts w:ascii="Times New Roman" w:cs="Times New Roman" w:eastAsia="Times New Roman" w:hAnsi="Times New Roman"/>
        </w:rPr>
        <w:t xml:space="preserve">Personalised investment advice; outputs are analytical estimates with their assumptions shown.</w:t>
      </w:r>
    </w:p>
    <w:p>
      <w:pPr>
        <w:pStyle w:val="ListParagraph"/>
        <w:numPr>
          <w:ilvl w:val="0"/>
          <w:numId w:val="3"/>
        </w:numPr>
        <w:spacing w:after="60" w:line="360"/>
        <w:jc w:val="both"/>
      </w:pPr>
      <w:r>
        <w:rPr>
          <w:rFonts w:ascii="Times New Roman" w:cs="Times New Roman" w:eastAsia="Times New Roman" w:hAnsi="Times New Roman"/>
        </w:rPr>
        <w:t xml:space="preserve">Schemes of other fund houses, stocks held directly, and international tax rules.</w:t>
      </w:r>
    </w:p>
    <w:p>
      <w:pPr>
        <w:pStyle w:val="ListParagraph"/>
        <w:numPr>
          <w:ilvl w:val="0"/>
          <w:numId w:val="3"/>
        </w:numPr>
        <w:spacing w:after="60" w:line="360"/>
        <w:jc w:val="both"/>
      </w:pPr>
      <w:r>
        <w:rPr>
          <w:rFonts w:ascii="Times New Roman" w:cs="Times New Roman" w:eastAsia="Times New Roman" w:hAnsi="Times New Roman"/>
        </w:rPr>
        <w:t xml:space="preserve">A native mobile application (the web application is responsive) and production cloud deployment.</w:t>
      </w:r>
    </w:p>
    <w:p>
      <w:pPr>
        <w:pStyle w:val="Heading3"/>
        <w:keepNext/>
      </w:pPr>
      <w:r>
        <w:rPr>
          <w:rFonts w:ascii="Times New Roman" w:cs="Times New Roman" w:eastAsia="Times New Roman" w:hAnsi="Times New Roman"/>
        </w:rPr>
        <w:t xml:space="preserve">1.5.3 Intended users, environment and scale</w:t>
      </w:r>
    </w:p>
    <w:p>
      <w:pPr>
        <w:spacing w:after="120" w:line="360"/>
        <w:jc w:val="both"/>
      </w:pPr>
      <w:r>
        <w:rPr>
          <w:rFonts w:ascii="Times New Roman" w:cs="Times New Roman" w:eastAsia="Times New Roman" w:hAnsi="Times New Roman"/>
        </w:rPr>
        <w:t xml:space="preserve">The intended users are individual investors and relationship managers. The system runs as Docker containers on a single host (a developer laptop or one server) and is used through any modern browser. The expected scale for this project is tens of concurrent users, 35 schemes, about 600 equity holdings, 13 years of daily NAV history and a few thousand transactions per user; Chapter 8 reports the measured capacity.</w:t>
      </w:r>
    </w:p>
    <w:p>
      <w:pPr>
        <w:pStyle w:val="Heading2"/>
        <w:keepNext/>
      </w:pPr>
      <w:bookmarkStart w:name="_Toc16" w:id="16"/>
      <w:r>
        <w:rPr>
          <w:rFonts w:ascii="Times New Roman" w:cs="Times New Roman" w:eastAsia="Times New Roman" w:hAnsi="Times New Roman"/>
        </w:rPr>
        <w:t xml:space="preserve">1.6 Proposed Solution</w:t>
      </w:r>
      <w:bookmarkEnd w:id="16"/>
    </w:p>
    <w:p>
      <w:pPr>
        <w:spacing w:after="120" w:line="360"/>
        <w:jc w:val="both"/>
      </w:pPr>
      <w:r>
        <w:rPr>
          <w:rFonts w:ascii="Times New Roman" w:cs="Times New Roman" w:eastAsia="Times New Roman" w:hAnsi="Times New Roman"/>
        </w:rPr>
        <w:t xml:space="preserve">Nexus Portfolio Intelligence is a layered client–server system. A Next.js web client talks to a FastAPI backend over a versioned REST API. The backend contains five analytical engines — a consent-based scheme filter, holdings overlap, PLOS (Portfolio Level Overlap Score), a Risk engine and ARISE (a Monte Carlo retirement engine) — supported by PostgreSQL/TimescaleDB for storage, Redis for caching and rate limiting, and Celery workers for background data refresh. Each analytical engine has its own machine-learned and quantitative model trained offline on verified public data, and a model replaces its predecessor only if it wins an out-of-sample test. Every analysis screen shows the evidence for its model next to the result.</w:t>
      </w:r>
    </w:p>
    <w:p>
      <w:pPr>
        <w:pStyle w:val="Heading2"/>
        <w:keepNext/>
      </w:pPr>
      <w:bookmarkStart w:name="_Toc17" w:id="17"/>
      <w:r>
        <w:rPr>
          <w:rFonts w:ascii="Times New Roman" w:cs="Times New Roman" w:eastAsia="Times New Roman" w:hAnsi="Times New Roman"/>
        </w:rPr>
        <w:t xml:space="preserve">1.7 Novelty and Originality</w:t>
      </w:r>
      <w:bookmarkEnd w:id="17"/>
    </w:p>
    <w:p>
      <w:pPr>
        <w:pStyle w:val="ListParagraph"/>
        <w:numPr>
          <w:ilvl w:val="0"/>
          <w:numId w:val="3"/>
        </w:numPr>
        <w:spacing w:after="60" w:line="360"/>
        <w:jc w:val="both"/>
      </w:pPr>
      <w:r>
        <w:rPr>
          <w:rFonts w:ascii="Times New Roman" w:cs="Times New Roman" w:eastAsia="Times New Roman" w:hAnsi="Times New Roman"/>
          <w:b/>
          <w:bCs/>
        </w:rPr>
        <w:t xml:space="preserve">Overlap as predicted co-movement, not only shared names.</w:t>
      </w:r>
      <w:r>
        <w:rPr>
          <w:rFonts w:ascii="Times New Roman" w:cs="Times New Roman" w:eastAsia="Times New Roman" w:hAnsi="Times New Roman"/>
        </w:rPr>
        <w:t xml:space="preserve"> PLOS combines ten holdings-based and returns-based layers in a learned, monotone model and explains each score with exact Shapley contributions.</w:t>
      </w:r>
    </w:p>
    <w:p>
      <w:pPr>
        <w:pStyle w:val="ListParagraph"/>
        <w:numPr>
          <w:ilvl w:val="0"/>
          <w:numId w:val="3"/>
        </w:numPr>
        <w:spacing w:after="60" w:line="360"/>
        <w:jc w:val="both"/>
      </w:pPr>
      <w:r>
        <w:rPr>
          <w:rFonts w:ascii="Times New Roman" w:cs="Times New Roman" w:eastAsia="Times New Roman" w:hAnsi="Times New Roman"/>
          <w:b/>
          <w:bCs/>
        </w:rPr>
        <w:t xml:space="preserve">Verified data.</w:t>
      </w:r>
      <w:r>
        <w:rPr>
          <w:rFonts w:ascii="Times New Roman" w:cs="Times New Roman" w:eastAsia="Times New Roman" w:hAnsi="Times New Roman"/>
        </w:rPr>
        <w:t xml:space="preserve"> Every AMFI scheme code is accepted only if the NAV printed on the scheme’s factsheet appears in the downloaded history; this rejected an earlier hand-made code map that contained duplicates.</w:t>
      </w:r>
    </w:p>
    <w:p>
      <w:pPr>
        <w:pStyle w:val="ListParagraph"/>
        <w:numPr>
          <w:ilvl w:val="0"/>
          <w:numId w:val="3"/>
        </w:numPr>
        <w:spacing w:after="60" w:line="360"/>
        <w:jc w:val="both"/>
      </w:pPr>
      <w:r>
        <w:rPr>
          <w:rFonts w:ascii="Times New Roman" w:cs="Times New Roman" w:eastAsia="Times New Roman" w:hAnsi="Times New Roman"/>
          <w:b/>
          <w:bCs/>
        </w:rPr>
        <w:t xml:space="preserve">Validated, honest estimates.</w:t>
      </w:r>
      <w:r>
        <w:rPr>
          <w:rFonts w:ascii="Times New Roman" w:cs="Times New Roman" w:eastAsia="Times New Roman" w:hAnsi="Times New Roman"/>
        </w:rPr>
        <w:t xml:space="preserve"> Risk models are backtested on 21,450 fund-days; retirement ranges are calibrated on 390 real three-year fund outcomes; success probabilities use a Jeffreys estimate and are never shown as certain.</w:t>
      </w:r>
    </w:p>
    <w:p>
      <w:pPr>
        <w:pStyle w:val="ListParagraph"/>
        <w:numPr>
          <w:ilvl w:val="0"/>
          <w:numId w:val="3"/>
        </w:numPr>
        <w:spacing w:after="60" w:line="360"/>
        <w:jc w:val="both"/>
      </w:pPr>
      <w:r>
        <w:rPr>
          <w:rFonts w:ascii="Times New Roman" w:cs="Times New Roman" w:eastAsia="Times New Roman" w:hAnsi="Times New Roman"/>
          <w:b/>
          <w:bCs/>
        </w:rPr>
        <w:t xml:space="preserve">Documented rejection of complexity.</w:t>
      </w:r>
      <w:r>
        <w:rPr>
          <w:rFonts w:ascii="Times New Roman" w:cs="Times New Roman" w:eastAsia="Times New Roman" w:hAnsi="Times New Roman"/>
        </w:rPr>
        <w:t xml:space="preserve"> Gradient-boosted trees, regime-switching models and a joint equity–inflation bootstrap were tested and rejected with evidence, instead of being adopted because they are fashionable.</w:t>
      </w:r>
    </w:p>
    <w:p>
      <w:pPr>
        <w:pStyle w:val="ListParagraph"/>
        <w:numPr>
          <w:ilvl w:val="0"/>
          <w:numId w:val="3"/>
        </w:numPr>
        <w:spacing w:after="60" w:line="360"/>
        <w:jc w:val="both"/>
      </w:pPr>
      <w:r>
        <w:rPr>
          <w:rFonts w:ascii="Times New Roman" w:cs="Times New Roman" w:eastAsia="Times New Roman" w:hAnsi="Times New Roman"/>
          <w:b/>
          <w:bCs/>
        </w:rPr>
        <w:t xml:space="preserve">Context-specific engineering.</w:t>
      </w:r>
      <w:r>
        <w:rPr>
          <w:rFonts w:ascii="Times New Roman" w:cs="Times New Roman" w:eastAsia="Times New Roman" w:hAnsi="Times New Roman"/>
        </w:rPr>
        <w:t xml:space="preserve"> Indian capital-gains rules, SEBI riskometer levels, Section 80C eligibility, AMFI data and India VIX are built into the models rather than added as an afterthought.</w:t>
      </w:r>
    </w:p>
    <w:p>
      <w:pPr>
        <w:pStyle w:val="Heading2"/>
        <w:keepNext/>
      </w:pPr>
      <w:bookmarkStart w:name="_Toc18" w:id="18"/>
      <w:r>
        <w:rPr>
          <w:rFonts w:ascii="Times New Roman" w:cs="Times New Roman" w:eastAsia="Times New Roman" w:hAnsi="Times New Roman"/>
        </w:rPr>
        <w:t xml:space="preserve">1.8 Feasibility Analysis</w:t>
      </w:r>
      <w:bookmarkEnd w:id="18"/>
    </w:p>
    <w:p>
      <w:pPr>
        <w:pStyle w:val="ListParagraph"/>
        <w:numPr>
          <w:ilvl w:val="0"/>
          <w:numId w:val="3"/>
        </w:numPr>
        <w:spacing w:after="60" w:line="360"/>
        <w:jc w:val="both"/>
      </w:pPr>
      <w:r>
        <w:rPr>
          <w:rFonts w:ascii="Times New Roman" w:cs="Times New Roman" w:eastAsia="Times New Roman" w:hAnsi="Times New Roman"/>
          <w:b/>
          <w:bCs/>
        </w:rPr>
        <w:t xml:space="preserve">Technical feasibility:</w:t>
      </w:r>
      <w:r>
        <w:rPr>
          <w:rFonts w:ascii="Times New Roman" w:cs="Times New Roman" w:eastAsia="Times New Roman" w:hAnsi="Times New Roman"/>
        </w:rPr>
        <w:t xml:space="preserve"> every component uses mature open-source technology (Python 3.12, FastAPI, PostgreSQL, Redis, Celery, NumPy/SciPy/scikit-learn, Next.js). All model training completes in about five minutes on a laptop, and the slowest analysis (ARISE with 1,000 paths) completes in about 3 seconds (Chapter 8).</w:t>
      </w:r>
    </w:p>
    <w:p>
      <w:pPr>
        <w:pStyle w:val="ListParagraph"/>
        <w:numPr>
          <w:ilvl w:val="0"/>
          <w:numId w:val="3"/>
        </w:numPr>
        <w:spacing w:after="60" w:line="360"/>
        <w:jc w:val="both"/>
      </w:pPr>
      <w:r>
        <w:rPr>
          <w:rFonts w:ascii="Times New Roman" w:cs="Times New Roman" w:eastAsia="Times New Roman" w:hAnsi="Times New Roman"/>
          <w:b/>
          <w:bCs/>
        </w:rPr>
        <w:t xml:space="preserve">Economic feasibility:</w:t>
      </w:r>
      <w:r>
        <w:rPr>
          <w:rFonts w:ascii="Times New Roman" w:cs="Times New Roman" w:eastAsia="Times New Roman" w:hAnsi="Times New Roman"/>
        </w:rPr>
        <w:t xml:space="preserve"> all data sources (AMFI via mfapi.in, NSE Indices, Yahoo Finance, Nippon India factsheets) are free, and the system runs in Docker on existing hardware; no paid service is required. Upstox and Alpha Vantage integrations are optional.</w:t>
      </w:r>
    </w:p>
    <w:p>
      <w:pPr>
        <w:pStyle w:val="ListParagraph"/>
        <w:numPr>
          <w:ilvl w:val="0"/>
          <w:numId w:val="3"/>
        </w:numPr>
        <w:spacing w:after="60" w:line="360"/>
        <w:jc w:val="both"/>
      </w:pPr>
      <w:r>
        <w:rPr>
          <w:rFonts w:ascii="Times New Roman" w:cs="Times New Roman" w:eastAsia="Times New Roman" w:hAnsi="Times New Roman"/>
          <w:b/>
          <w:bCs/>
        </w:rPr>
        <w:t xml:space="preserve">Operational feasibility:</w:t>
      </w:r>
      <w:r>
        <w:rPr>
          <w:rFonts w:ascii="Times New Roman" w:cs="Times New Roman" w:eastAsia="Times New Roman" w:hAnsi="Times New Roman"/>
        </w:rPr>
        <w:t xml:space="preserve"> an investor needs only a browser; retraining is one command (make train-models); and if a trained model is missing, each engine falls back to its previous behaviour instead of failing.</w:t>
      </w:r>
    </w:p>
    <w:p>
      <w:pPr>
        <w:pStyle w:val="ListParagraph"/>
        <w:numPr>
          <w:ilvl w:val="0"/>
          <w:numId w:val="3"/>
        </w:numPr>
        <w:spacing w:after="60" w:line="360"/>
        <w:jc w:val="both"/>
      </w:pPr>
      <w:r>
        <w:rPr>
          <w:rFonts w:ascii="Times New Roman" w:cs="Times New Roman" w:eastAsia="Times New Roman" w:hAnsi="Times New Roman"/>
          <w:b/>
          <w:bCs/>
        </w:rPr>
        <w:t xml:space="preserve">Time and resource feasibility:</w:t>
      </w:r>
      <w:r>
        <w:rPr>
          <w:rFonts w:ascii="Times New Roman" w:cs="Times New Roman" w:eastAsia="Times New Roman" w:hAnsi="Times New Roman"/>
        </w:rPr>
        <w:t xml:space="preserve"> the work was divided into the four evaluation phases — requirements and design, backend engines, frontend and integration, and model work with testing — and was completed by the team within the semester using personal laptops.</w:t>
      </w:r>
    </w:p>
    <w:p>
      <w:pPr>
        <w:pStyle w:val="Heading2"/>
        <w:keepNext/>
      </w:pPr>
      <w:bookmarkStart w:name="_Toc19" w:id="19"/>
      <w:r>
        <w:rPr>
          <w:rFonts w:ascii="Times New Roman" w:cs="Times New Roman" w:eastAsia="Times New Roman" w:hAnsi="Times New Roman"/>
        </w:rPr>
        <w:t xml:space="preserve">1.9 Social Relevance and Practical Applications</w:t>
      </w:r>
      <w:bookmarkEnd w:id="19"/>
    </w:p>
    <w:p>
      <w:pPr>
        <w:spacing w:after="120" w:line="360"/>
        <w:jc w:val="both"/>
      </w:pPr>
      <w:r>
        <w:rPr>
          <w:rFonts w:ascii="Times New Roman" w:cs="Times New Roman" w:eastAsia="Times New Roman" w:hAnsi="Times New Roman"/>
        </w:rPr>
        <w:t xml:space="preserve">Mutual fund investing in India has grown rapidly through SIPs, and many first-time investors hold several overlapping schemes. The system helps them see concentration they cannot see in factsheets, understand downside risk in rupees, and plan retirement with an honest range. It can be used by investors before adding a new scheme, by relationship managers in client reviews, by investor-education programmes as a teaching tool, and by students as an open example of model validation. Because it states its assumptions and evidence, it also supports financial literacy rather than replacing it.</w:t>
      </w:r>
    </w:p>
    <w:p>
      <w:pPr>
        <w:pStyle w:val="Heading2"/>
        <w:keepNext/>
      </w:pPr>
      <w:bookmarkStart w:name="_Toc20" w:id="20"/>
      <w:r>
        <w:rPr>
          <w:rFonts w:ascii="Times New Roman" w:cs="Times New Roman" w:eastAsia="Times New Roman" w:hAnsi="Times New Roman"/>
        </w:rPr>
        <w:t xml:space="preserve">1.10 Success Criteria and Key Performance Indicators</w:t>
      </w:r>
      <w:bookmarkEnd w:id="20"/>
    </w:p>
    <w:p>
      <w:pPr>
        <w:spacing w:after="120" w:line="360"/>
        <w:jc w:val="both"/>
      </w:pPr>
      <w:r>
        <w:rPr>
          <w:rFonts w:ascii="Times New Roman" w:cs="Times New Roman" w:eastAsia="Times New Roman" w:hAnsi="Times New Roman"/>
        </w:rPr>
        <w:t xml:space="preserve">The KPIs below were chosen to match the objectives in Section 1.4. Targets are for the test environment described in Section 8.6; the measured values are compared against them in Section 9.10.</w:t>
      </w:r>
    </w:p>
    <w:p>
      <w:pPr>
        <w:pStyle w:val="Caption"/>
        <w:spacing w:after="240" w:before="80"/>
        <w:jc w:val="center"/>
      </w:pPr>
      <w:r>
        <w:rPr>
          <w:rFonts w:ascii="Times New Roman" w:cs="Times New Roman" w:eastAsia="Times New Roman" w:hAnsi="Times New Roman"/>
          <w:b/>
          <w:bCs/>
        </w:rPr>
        <w:t xml:space="preserve">Table 1.</w:t>
      </w:r>
      <w:fldSimple w:instr="SEQ Table \* ARABIC \s 1">
        <w:r>
          <w:t xml:space="preserve">1</w:t>
        </w:r>
      </w:fldSimple>
      <w:r>
        <w:rPr>
          <w:rFonts w:ascii="Times New Roman" w:cs="Times New Roman" w:eastAsia="Times New Roman" w:hAnsi="Times New Roman"/>
        </w:rPr>
        <w:t xml:space="preserve">: Key performance indicators and targets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22"/>
        <w:gridCol w:w="2532"/>
        <w:gridCol w:w="1925"/>
        <w:gridCol w:w="2127"/>
      </w:tblGrid>
      <w:tr>
        <w:trPr>
          <w:tblHeader/>
        </w:trPr>
        <w:tc>
          <w:tcPr>
            <w:tcW w:type="dxa" w:w="172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KPI</w:t>
            </w:r>
          </w:p>
        </w:tc>
        <w:tc>
          <w:tcPr>
            <w:tcW w:type="dxa" w:w="253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Definition</w:t>
            </w:r>
          </w:p>
        </w:tc>
        <w:tc>
          <w:tcPr>
            <w:tcW w:type="dxa" w:w="192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Target</w:t>
            </w:r>
          </w:p>
        </w:tc>
        <w:tc>
          <w:tcPr>
            <w:tcW w:type="dxa" w:w="212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Measurement method</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Response time (interactive)</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95th-percentile latency of the session-check, scheme-filter and overlap endpoints</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&lt; 200 ms at 10 concurrent users</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Timestamped HTTP load test (Section 8.6)</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Response time (analysis)</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Median latency of PLOS, Risk and ARISE (1,000 paths) for one user</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&lt; 1 s, Risk &lt; 3 s, ARISE &lt; 5 s</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Timestamped HTTP load test</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Throughput</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Requests completed per second</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 100 req/s on interactive endpoints</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Load test at increasing concurrency</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Reliability</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Successful responses / total requests under load</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 (no 5xx) up to 50 concurrent users</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Load test error count</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Resource utilisation</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Peak container memory under load</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&lt; 2 GiB of the 4 GiB limit</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docker stats sampling during load</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Functional correctness</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Passed test cases / total test cases</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pytest suite in CI</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accuracy</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Forward-in-time R² of predicted vs realised pair correlation</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&gt; 0.570 (v1)</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Rolling 2022–2025 evaluation</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accuracy</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QLIKE loss of 1-day volatility forecast</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Lower than GARCH (0.421)</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2013–2026 out-of-sample, Diebold–Mariano test</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VaR validity</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Funds passing Kupiec and Christoffersen tests</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 90% of 13 funds</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Backtest on 21,450 fund-days</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calibration</w:t>
            </w:r>
          </w:p>
        </w:tc>
        <w:tc>
          <w:tcPr>
            <w:tcW w:type="dxa" w:w="25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Real outcomes inside the 80% range</w:t>
            </w:r>
          </w:p>
        </w:tc>
        <w:tc>
          <w:tcPr>
            <w:tcW w:type="dxa" w:w="192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75%–85%</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390 three-year fund outcomes</w:t>
            </w:r>
          </w:p>
        </w:tc>
      </w:tr>
    </w:tbl>
    <w:p>
      <w:pPr>
        <w:spacing w:after="120"/>
      </w:pPr>
      <w:r>
        <w:rPr>
          <w:rFonts w:ascii="Times New Roman" w:cs="Times New Roman" w:eastAsia="Times New Roman" w:hAnsi="Times New Roman"/>
        </w:rPr>
        <w:t xml:space="preserve"/>
      </w:r>
    </w:p>
    <w:p>
      <w:pPr>
        <w:pageBreakBefore/>
        <w:spacing w:after="120"/>
        <w:jc w:val="center"/>
      </w:pPr>
      <w:r>
        <w:rPr>
          <w:rFonts w:ascii="Times New Roman" w:cs="Times New Roman" w:eastAsia="Times New Roman" w:hAnsi="Times New Roman"/>
          <w:b/>
          <w:bCs/>
          <w:sz w:val="28"/>
          <w:szCs w:val="28"/>
        </w:rPr>
        <w:t xml:space="preserve">CHAPTER 2</w:t>
      </w:r>
    </w:p>
    <w:p>
      <w:pPr>
        <w:pStyle w:val="Heading1"/>
        <w:jc w:val="center"/>
      </w:pPr>
      <w:bookmarkStart w:name="_Toc21" w:id="21"/>
      <w:r>
        <w:rPr>
          <w:rFonts w:ascii="Times New Roman" w:cs="Times New Roman" w:eastAsia="Times New Roman" w:hAnsi="Times New Roman"/>
        </w:rPr>
        <w:t xml:space="preserve">LITERATURE REVIEW AND STUDY OF EXISTING SYSTEMS</w:t>
      </w:r>
      <w:bookmarkEnd w:id="21"/>
    </w:p>
    <w:p>
      <w:pPr>
        <w:pStyle w:val="Heading2"/>
        <w:keepNext/>
      </w:pPr>
      <w:bookmarkStart w:name="_Toc22" w:id="22"/>
      <w:r>
        <w:rPr>
          <w:rFonts w:ascii="Times New Roman" w:cs="Times New Roman" w:eastAsia="Times New Roman" w:hAnsi="Times New Roman"/>
        </w:rPr>
        <w:t xml:space="preserve">2.1 Study of Existing Systems</w:t>
      </w:r>
      <w:bookmarkEnd w:id="22"/>
    </w:p>
    <w:p>
      <w:pPr>
        <w:spacing w:after="120" w:line="360"/>
        <w:jc w:val="both"/>
      </w:pPr>
      <w:r>
        <w:rPr>
          <w:rFonts w:ascii="Times New Roman" w:cs="Times New Roman" w:eastAsia="Times New Roman" w:hAnsi="Times New Roman"/>
        </w:rPr>
        <w:t xml:space="preserve">Investors who want to understand their mutual fund portfolio today rely on a combination of the following tools and processes.</w:t>
      </w:r>
    </w:p>
    <w:p>
      <w:pPr>
        <w:pStyle w:val="ListParagraph"/>
        <w:numPr>
          <w:ilvl w:val="0"/>
          <w:numId w:val="3"/>
        </w:numPr>
        <w:spacing w:after="60" w:line="360"/>
        <w:jc w:val="both"/>
      </w:pPr>
      <w:r>
        <w:rPr>
          <w:rFonts w:ascii="Times New Roman" w:cs="Times New Roman" w:eastAsia="Times New Roman" w:hAnsi="Times New Roman"/>
          <w:b/>
          <w:bCs/>
        </w:rPr>
        <w:t xml:space="preserve">Monthly factsheets and portfolio disclosures</w:t>
      </w:r>
      <w:r>
        <w:rPr>
          <w:rFonts w:ascii="Times New Roman" w:cs="Times New Roman" w:eastAsia="Times New Roman" w:hAnsi="Times New Roman"/>
        </w:rPr>
        <w:t xml:space="preserve"> published by each fund house. They list each scheme’s holdings and risk statistics, but each scheme is described in isolation, so comparing schemes means reading several PDF documents by hand.</w:t>
      </w:r>
    </w:p>
    <w:p>
      <w:pPr>
        <w:pStyle w:val="ListParagraph"/>
        <w:numPr>
          <w:ilvl w:val="0"/>
          <w:numId w:val="3"/>
        </w:numPr>
        <w:spacing w:after="60" w:line="360"/>
        <w:jc w:val="both"/>
      </w:pPr>
      <w:r>
        <w:rPr>
          <w:rFonts w:ascii="Times New Roman" w:cs="Times New Roman" w:eastAsia="Times New Roman" w:hAnsi="Times New Roman"/>
          <w:b/>
          <w:bCs/>
        </w:rPr>
        <w:t xml:space="preserve">Portfolio-overlap tools on research portals and investment apps.</w:t>
      </w:r>
      <w:r>
        <w:rPr>
          <w:rFonts w:ascii="Times New Roman" w:cs="Times New Roman" w:eastAsia="Times New Roman" w:hAnsi="Times New Roman"/>
        </w:rPr>
        <w:t xml:space="preserve"> These typically report the percentage of common stock names, or the common weight, between two funds. They rarely consider more than a pair at a time, do not predict how the funds will move together, and do not connect overlap to risk.</w:t>
      </w:r>
    </w:p>
    <w:p>
      <w:pPr>
        <w:pStyle w:val="ListParagraph"/>
        <w:numPr>
          <w:ilvl w:val="0"/>
          <w:numId w:val="3"/>
        </w:numPr>
        <w:spacing w:after="60" w:line="360"/>
        <w:jc w:val="both"/>
      </w:pPr>
      <w:r>
        <w:rPr>
          <w:rFonts w:ascii="Times New Roman" w:cs="Times New Roman" w:eastAsia="Times New Roman" w:hAnsi="Times New Roman"/>
          <w:b/>
          <w:bCs/>
        </w:rPr>
        <w:t xml:space="preserve">Portfolio analytics in aggregator applications.</w:t>
      </w:r>
      <w:r>
        <w:rPr>
          <w:rFonts w:ascii="Times New Roman" w:cs="Times New Roman" w:eastAsia="Times New Roman" w:hAnsi="Times New Roman"/>
        </w:rPr>
        <w:t xml:space="preserve"> These show allocation by asset class, sector and market capitalisation and historical returns, but risk is usually a static historical figure and model assumptions are not shown.</w:t>
      </w:r>
    </w:p>
    <w:p>
      <w:pPr>
        <w:pStyle w:val="ListParagraph"/>
        <w:numPr>
          <w:ilvl w:val="0"/>
          <w:numId w:val="3"/>
        </w:numPr>
        <w:spacing w:after="60" w:line="360"/>
        <w:jc w:val="both"/>
      </w:pPr>
      <w:r>
        <w:rPr>
          <w:rFonts w:ascii="Times New Roman" w:cs="Times New Roman" w:eastAsia="Times New Roman" w:hAnsi="Times New Roman"/>
          <w:b/>
          <w:bCs/>
        </w:rPr>
        <w:t xml:space="preserve">Online retirement calculators,</w:t>
      </w:r>
      <w:r>
        <w:rPr>
          <w:rFonts w:ascii="Times New Roman" w:cs="Times New Roman" w:eastAsia="Times New Roman" w:hAnsi="Times New Roman"/>
        </w:rPr>
        <w:t xml:space="preserve"> including those provided by fund houses and banks. Most assume one fixed rate of return and inflation and produce a single corpus figure, hiding sequence-of-returns risk and uncertainty.</w:t>
      </w:r>
    </w:p>
    <w:p>
      <w:pPr>
        <w:pStyle w:val="ListParagraph"/>
        <w:numPr>
          <w:ilvl w:val="0"/>
          <w:numId w:val="3"/>
        </w:numPr>
        <w:spacing w:after="60" w:line="360"/>
        <w:jc w:val="both"/>
      </w:pPr>
      <w:r>
        <w:rPr>
          <w:rFonts w:ascii="Times New Roman" w:cs="Times New Roman" w:eastAsia="Times New Roman" w:hAnsi="Times New Roman"/>
          <w:b/>
          <w:bCs/>
        </w:rPr>
        <w:t xml:space="preserve">Spreadsheets and advisors.</w:t>
      </w:r>
      <w:r>
        <w:rPr>
          <w:rFonts w:ascii="Times New Roman" w:cs="Times New Roman" w:eastAsia="Times New Roman" w:hAnsi="Times New Roman"/>
        </w:rPr>
        <w:t xml:space="preserve"> A spreadsheet can do any calculation but requires expertise and manual data entry; an advisor’s analysis is valuable but not transparent or always available.</w:t>
      </w:r>
    </w:p>
    <w:p>
      <w:pPr>
        <w:pStyle w:val="Heading2"/>
        <w:keepNext/>
      </w:pPr>
      <w:bookmarkStart w:name="_Toc23" w:id="23"/>
      <w:r>
        <w:rPr>
          <w:rFonts w:ascii="Times New Roman" w:cs="Times New Roman" w:eastAsia="Times New Roman" w:hAnsi="Times New Roman"/>
        </w:rPr>
        <w:t xml:space="preserve">2.2 Review of Research Papers and Technical Resources</w:t>
      </w:r>
      <w:bookmarkEnd w:id="23"/>
    </w:p>
    <w:p>
      <w:pPr>
        <w:spacing w:after="120" w:line="360"/>
        <w:jc w:val="both"/>
      </w:pPr>
      <w:r>
        <w:rPr>
          <w:rFonts w:ascii="Times New Roman" w:cs="Times New Roman" w:eastAsia="Times New Roman" w:hAnsi="Times New Roman"/>
        </w:rPr>
        <w:t xml:space="preserve">Sixteen research papers and technical resources were studied in detail before any model was built. Each is summarised below with its relevance to the project.</w:t>
      </w:r>
    </w:p>
    <w:p>
      <w:pPr>
        <w:pStyle w:val="Heading3"/>
        <w:keepNext/>
      </w:pPr>
      <w:r>
        <w:rPr>
          <w:rFonts w:ascii="Times New Roman" w:cs="Times New Roman" w:eastAsia="Times New Roman" w:hAnsi="Times New Roman"/>
        </w:rPr>
        <w:t xml:space="preserve">2.2.1 Antón and Polk — Connected Stocks [1]</w:t>
      </w:r>
    </w:p>
    <w:p>
      <w:pPr>
        <w:spacing w:after="120" w:line="360"/>
        <w:jc w:val="both"/>
      </w:pPr>
      <w:r>
        <w:rPr>
          <w:rFonts w:ascii="Times New Roman" w:cs="Times New Roman" w:eastAsia="Times New Roman" w:hAnsi="Times New Roman"/>
        </w:rPr>
        <w:t xml:space="preserve">Stocks that share active mutual fund owners move together more than their fundamentals and style similarity predict, and the degree of common ownership forecasts future return correlation.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fund overlap should be measured by how funds co-move, not only by names held; this is the basis of PLOS.</w:t>
      </w:r>
    </w:p>
    <w:p>
      <w:pPr>
        <w:pStyle w:val="Heading3"/>
        <w:keepNext/>
      </w:pPr>
      <w:r>
        <w:rPr>
          <w:rFonts w:ascii="Times New Roman" w:cs="Times New Roman" w:eastAsia="Times New Roman" w:hAnsi="Times New Roman"/>
        </w:rPr>
        <w:t xml:space="preserve">2.2.2 Sharpe — Returns-Based Style Analysis [2]</w:t>
      </w:r>
    </w:p>
    <w:p>
      <w:pPr>
        <w:spacing w:after="120" w:line="360"/>
        <w:jc w:val="both"/>
      </w:pPr>
      <w:r>
        <w:rPr>
          <w:rFonts w:ascii="Times New Roman" w:cs="Times New Roman" w:eastAsia="Times New Roman" w:hAnsi="Times New Roman"/>
        </w:rPr>
        <w:t xml:space="preserve">A fund’s effective asset-class exposures can be estimated by regressing its returns on index returns with non-negativity and sum-to-one constraints.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used for the factor-exposure and sector-style layers of PLOS, which work even when holdings are stale.</w:t>
      </w:r>
    </w:p>
    <w:p>
      <w:pPr>
        <w:pStyle w:val="Heading3"/>
        <w:keepNext/>
      </w:pPr>
      <w:r>
        <w:rPr>
          <w:rFonts w:ascii="Times New Roman" w:cs="Times New Roman" w:eastAsia="Times New Roman" w:hAnsi="Times New Roman"/>
        </w:rPr>
        <w:t xml:space="preserve">2.2.3 Ledoit and Wolf — Covariance Shrinkage [4], [5]</w:t>
      </w:r>
    </w:p>
    <w:p>
      <w:pPr>
        <w:spacing w:after="120" w:line="360"/>
        <w:jc w:val="both"/>
      </w:pPr>
      <w:r>
        <w:rPr>
          <w:rFonts w:ascii="Times New Roman" w:cs="Times New Roman" w:eastAsia="Times New Roman" w:hAnsi="Times New Roman"/>
        </w:rPr>
        <w:t xml:space="preserve">When the number of assets is comparable to the number of observations, the sample covariance matrix is noisy or singular; shrinking it toward a structured target reduces out-of-sample risk.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used for the 190-stock covariance behind the holdings-implied correlation and in the risk engine.</w:t>
      </w:r>
    </w:p>
    <w:p>
      <w:pPr>
        <w:pStyle w:val="Heading3"/>
        <w:keepNext/>
      </w:pPr>
      <w:r>
        <w:rPr>
          <w:rFonts w:ascii="Times New Roman" w:cs="Times New Roman" w:eastAsia="Times New Roman" w:hAnsi="Times New Roman"/>
        </w:rPr>
        <w:t xml:space="preserve">2.2.4 Bollerslev — GARCH [6]</w:t>
      </w:r>
    </w:p>
    <w:p>
      <w:pPr>
        <w:spacing w:after="120" w:line="360"/>
        <w:jc w:val="both"/>
      </w:pPr>
      <w:r>
        <w:rPr>
          <w:rFonts w:ascii="Times New Roman" w:cs="Times New Roman" w:eastAsia="Times New Roman" w:hAnsi="Times New Roman"/>
        </w:rPr>
        <w:t xml:space="preserve">The GARCH(1,1) model makes tomorrow’s variance a function of yesterday’s squared shock and variance, capturing volatility clustering.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the previous risk model and one half of the adopted blend.</w:t>
      </w:r>
    </w:p>
    <w:p>
      <w:pPr>
        <w:pStyle w:val="Heading3"/>
        <w:keepNext/>
      </w:pPr>
      <w:r>
        <w:rPr>
          <w:rFonts w:ascii="Times New Roman" w:cs="Times New Roman" w:eastAsia="Times New Roman" w:hAnsi="Times New Roman"/>
        </w:rPr>
        <w:t xml:space="preserve">2.2.5 Glosten, Jagannathan and Runkle — Asymmetric GARCH [7]</w:t>
      </w:r>
    </w:p>
    <w:p>
      <w:pPr>
        <w:spacing w:after="120" w:line="360"/>
        <w:jc w:val="both"/>
      </w:pPr>
      <w:r>
        <w:rPr>
          <w:rFonts w:ascii="Times New Roman" w:cs="Times New Roman" w:eastAsia="Times New Roman" w:hAnsi="Times New Roman"/>
        </w:rPr>
        <w:t xml:space="preserve">Negative shocks raise volatility more than positive shocks of the same size.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GJR-GARCH was a candidate volatility model; HAR-X captures the same effect through a negative-return term.</w:t>
      </w:r>
    </w:p>
    <w:p>
      <w:pPr>
        <w:pStyle w:val="Heading3"/>
        <w:keepNext/>
      </w:pPr>
      <w:r>
        <w:rPr>
          <w:rFonts w:ascii="Times New Roman" w:cs="Times New Roman" w:eastAsia="Times New Roman" w:hAnsi="Times New Roman"/>
        </w:rPr>
        <w:t xml:space="preserve">2.2.6 Corsi — HAR Model of Realised Volatility [8]</w:t>
      </w:r>
    </w:p>
    <w:p>
      <w:pPr>
        <w:spacing w:after="120" w:line="360"/>
        <w:jc w:val="both"/>
      </w:pPr>
      <w:r>
        <w:rPr>
          <w:rFonts w:ascii="Times New Roman" w:cs="Times New Roman" w:eastAsia="Times New Roman" w:hAnsi="Times New Roman"/>
        </w:rPr>
        <w:t xml:space="preserve">Realised volatility can be forecast from its daily, weekly and monthly averages, a simple model that approximates long memory and is hard to beat.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the base of the adopted HAR-X model.</w:t>
      </w:r>
    </w:p>
    <w:p>
      <w:pPr>
        <w:pStyle w:val="Heading3"/>
        <w:keepNext/>
      </w:pPr>
      <w:r>
        <w:rPr>
          <w:rFonts w:ascii="Times New Roman" w:cs="Times New Roman" w:eastAsia="Times New Roman" w:hAnsi="Times New Roman"/>
        </w:rPr>
        <w:t xml:space="preserve">2.2.7 Christensen, Siggaard and Veliyev — Machine Learning for Volatility [9]</w:t>
      </w:r>
    </w:p>
    <w:p>
      <w:pPr>
        <w:spacing w:after="120" w:line="360"/>
        <w:jc w:val="both"/>
      </w:pPr>
      <w:r>
        <w:rPr>
          <w:rFonts w:ascii="Times New Roman" w:cs="Times New Roman" w:eastAsia="Times New Roman" w:hAnsi="Times New Roman"/>
        </w:rPr>
        <w:t xml:space="preserve">Machine-learning models are competitive with HAR, with gains mainly at longer horizons.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motivated testing a gradient-boosted HAR-X, which lost to the linear model on Indian data.</w:t>
      </w:r>
    </w:p>
    <w:p>
      <w:pPr>
        <w:pStyle w:val="Heading3"/>
        <w:keepNext/>
      </w:pPr>
      <w:r>
        <w:rPr>
          <w:rFonts w:ascii="Times New Roman" w:cs="Times New Roman" w:eastAsia="Times New Roman" w:hAnsi="Times New Roman"/>
        </w:rPr>
        <w:t xml:space="preserve">2.2.8 Patton — Comparing Volatility Forecasts [12]</w:t>
      </w:r>
    </w:p>
    <w:p>
      <w:pPr>
        <w:spacing w:after="120" w:line="360"/>
        <w:jc w:val="both"/>
      </w:pPr>
      <w:r>
        <w:rPr>
          <w:rFonts w:ascii="Times New Roman" w:cs="Times New Roman" w:eastAsia="Times New Roman" w:hAnsi="Times New Roman"/>
        </w:rPr>
        <w:t xml:space="preserve">Only some loss functions rank volatility forecasts correctly when the true volatility is measured with noise; QLIKE is one of them.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QLIKE is the project’s volatility accuracy measure.</w:t>
      </w:r>
    </w:p>
    <w:p>
      <w:pPr>
        <w:pStyle w:val="Heading3"/>
        <w:keepNext/>
      </w:pPr>
      <w:r>
        <w:rPr>
          <w:rFonts w:ascii="Times New Roman" w:cs="Times New Roman" w:eastAsia="Times New Roman" w:hAnsi="Times New Roman"/>
        </w:rPr>
        <w:t xml:space="preserve">2.2.9 Garman and Klass — Range-Based Volatility [29]</w:t>
      </w:r>
    </w:p>
    <w:p>
      <w:pPr>
        <w:spacing w:after="120" w:line="360"/>
        <w:jc w:val="both"/>
      </w:pPr>
      <w:r>
        <w:rPr>
          <w:rFonts w:ascii="Times New Roman" w:cs="Times New Roman" w:eastAsia="Times New Roman" w:hAnsi="Times New Roman"/>
        </w:rPr>
        <w:t xml:space="preserve">Open, high, low and close prices estimate daily variance far more efficiently than close-to-close returns.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used to measure realised variance, the target of HAR-X.</w:t>
      </w:r>
    </w:p>
    <w:p>
      <w:pPr>
        <w:pStyle w:val="Heading3"/>
        <w:keepNext/>
      </w:pPr>
      <w:r>
        <w:rPr>
          <w:rFonts w:ascii="Times New Roman" w:cs="Times New Roman" w:eastAsia="Times New Roman" w:hAnsi="Times New Roman"/>
        </w:rPr>
        <w:t xml:space="preserve">2.2.10 Kupiec [13] and Christoffersen [14] — VaR Backtests</w:t>
      </w:r>
    </w:p>
    <w:p>
      <w:pPr>
        <w:spacing w:after="120" w:line="360"/>
        <w:jc w:val="both"/>
      </w:pPr>
      <w:r>
        <w:rPr>
          <w:rFonts w:ascii="Times New Roman" w:cs="Times New Roman" w:eastAsia="Times New Roman" w:hAnsi="Times New Roman"/>
        </w:rPr>
        <w:t xml:space="preserve">Kupiec’s test checks that VaR is breached at the stated rate; Christoffersen’s test checks that breaches do not cluster.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both are the acceptance tests for every VaR model in the project.</w:t>
      </w:r>
    </w:p>
    <w:p>
      <w:pPr>
        <w:pStyle w:val="Heading3"/>
        <w:keepNext/>
      </w:pPr>
      <w:r>
        <w:rPr>
          <w:rFonts w:ascii="Times New Roman" w:cs="Times New Roman" w:eastAsia="Times New Roman" w:hAnsi="Times New Roman"/>
        </w:rPr>
        <w:t xml:space="preserve">2.2.11 McNeil and Frey — GARCH-EVT [16]</w:t>
      </w:r>
    </w:p>
    <w:p>
      <w:pPr>
        <w:spacing w:after="120" w:line="360"/>
        <w:jc w:val="both"/>
      </w:pPr>
      <w:r>
        <w:rPr>
          <w:rFonts w:ascii="Times New Roman" w:cs="Times New Roman" w:eastAsia="Times New Roman" w:hAnsi="Times New Roman"/>
        </w:rPr>
        <w:t xml:space="preserve">Fitting a generalised Pareto distribution to the tail of GARCH-standardised residuals gives better extreme-quantile estimates than assuming normality.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used for the 99% VaR and ES.</w:t>
      </w:r>
    </w:p>
    <w:p>
      <w:pPr>
        <w:pStyle w:val="Heading3"/>
        <w:keepNext/>
      </w:pPr>
      <w:r>
        <w:rPr>
          <w:rFonts w:ascii="Times New Roman" w:cs="Times New Roman" w:eastAsia="Times New Roman" w:hAnsi="Times New Roman"/>
        </w:rPr>
        <w:t xml:space="preserve">2.2.12 Fissler and Ziegel [18]; Patton, Ziegel and Chen [19] — Joint VaR/ES Scoring</w:t>
      </w:r>
    </w:p>
    <w:p>
      <w:pPr>
        <w:spacing w:after="120" w:line="360"/>
        <w:jc w:val="both"/>
      </w:pPr>
      <w:r>
        <w:rPr>
          <w:rFonts w:ascii="Times New Roman" w:cs="Times New Roman" w:eastAsia="Times New Roman" w:hAnsi="Times New Roman"/>
        </w:rPr>
        <w:t xml:space="preserve">VaR and ES are jointly elicitable, so they can be scored together; the FZ0 loss is a practical scoring function.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FZ0 is the selection criterion among VaR/ES methods that pass the backtests.</w:t>
      </w:r>
    </w:p>
    <w:p>
      <w:pPr>
        <w:pStyle w:val="Heading3"/>
        <w:keepNext/>
      </w:pPr>
      <w:r>
        <w:rPr>
          <w:rFonts w:ascii="Times New Roman" w:cs="Times New Roman" w:eastAsia="Times New Roman" w:hAnsi="Times New Roman"/>
        </w:rPr>
        <w:t xml:space="preserve">2.2.13 Guyton and Klinger — Withdrawal Guardrails [21]</w:t>
      </w:r>
    </w:p>
    <w:p>
      <w:pPr>
        <w:spacing w:after="120" w:line="360"/>
        <w:jc w:val="both"/>
      </w:pPr>
      <w:r>
        <w:rPr>
          <w:rFonts w:ascii="Times New Roman" w:cs="Times New Roman" w:eastAsia="Times New Roman" w:hAnsi="Times New Roman"/>
        </w:rPr>
        <w:t xml:space="preserve">Rules that cut or raise withdrawals when the withdrawal rate drifts allow a higher initial rate safely.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one of the four withdrawal strategies compared by ARISE.</w:t>
      </w:r>
    </w:p>
    <w:p>
      <w:pPr>
        <w:pStyle w:val="Heading3"/>
        <w:keepNext/>
      </w:pPr>
      <w:r>
        <w:rPr>
          <w:rFonts w:ascii="Times New Roman" w:cs="Times New Roman" w:eastAsia="Times New Roman" w:hAnsi="Times New Roman"/>
        </w:rPr>
        <w:t xml:space="preserve">2.2.14 Milevsky and Robinson — Ruin Probability without Simulation [23]</w:t>
      </w:r>
    </w:p>
    <w:p>
      <w:pPr>
        <w:spacing w:after="120" w:line="360"/>
        <w:jc w:val="both"/>
      </w:pPr>
      <w:r>
        <w:rPr>
          <w:rFonts w:ascii="Times New Roman" w:cs="Times New Roman" w:eastAsia="Times New Roman" w:hAnsi="Times New Roman"/>
        </w:rPr>
        <w:t xml:space="preserve">A closed-form approximation of the probability of outliving one’s money under lognormal returns.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an independent analytic cross-check on ARISE’s Monte Carlo result.</w:t>
      </w:r>
    </w:p>
    <w:p>
      <w:pPr>
        <w:pStyle w:val="Heading3"/>
        <w:keepNext/>
      </w:pPr>
      <w:r>
        <w:rPr>
          <w:rFonts w:ascii="Times New Roman" w:cs="Times New Roman" w:eastAsia="Times New Roman" w:hAnsi="Times New Roman"/>
        </w:rPr>
        <w:t xml:space="preserve">2.2.15 Choueifaty and Coignard [27]; Meucci, Santangelo and Deguest [28] — Measuring Diversification</w:t>
      </w:r>
    </w:p>
    <w:p>
      <w:pPr>
        <w:spacing w:after="120" w:line="360"/>
        <w:jc w:val="both"/>
      </w:pPr>
      <w:r>
        <w:rPr>
          <w:rFonts w:ascii="Times New Roman" w:cs="Times New Roman" w:eastAsia="Times New Roman" w:hAnsi="Times New Roman"/>
        </w:rPr>
        <w:t xml:space="preserve">The diversification ratio, whose square gives the effective number of independent assets, and the effective number of minimum-torsion bets.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both were evaluated for the “funds you really hold” measure; the first was adopted (Section 10.4).</w:t>
      </w:r>
    </w:p>
    <w:p>
      <w:pPr>
        <w:pStyle w:val="Heading3"/>
        <w:keepNext/>
      </w:pPr>
      <w:r>
        <w:rPr>
          <w:rFonts w:ascii="Times New Roman" w:cs="Times New Roman" w:eastAsia="Times New Roman" w:hAnsi="Times New Roman"/>
        </w:rPr>
        <w:t xml:space="preserve">2.2.16 Diebold and Mariano — Comparing Predictive Accuracy [30]</w:t>
      </w:r>
    </w:p>
    <w:p>
      <w:pPr>
        <w:spacing w:after="120" w:line="360"/>
        <w:jc w:val="both"/>
      </w:pPr>
      <w:r>
        <w:rPr>
          <w:rFonts w:ascii="Times New Roman" w:cs="Times New Roman" w:eastAsia="Times New Roman" w:hAnsi="Times New Roman"/>
        </w:rPr>
        <w:t xml:space="preserve">A test of whether the difference in loss between two forecasts is statistically significant. </w:t>
      </w:r>
      <w:r>
        <w:rPr>
          <w:rFonts w:ascii="Times New Roman" w:cs="Times New Roman" w:eastAsia="Times New Roman" w:hAnsi="Times New Roman"/>
          <w:b/>
          <w:bCs/>
        </w:rPr>
        <w:t xml:space="preserve">Relevance:</w:t>
      </w:r>
      <w:r>
        <w:rPr>
          <w:rFonts w:ascii="Times New Roman" w:cs="Times New Roman" w:eastAsia="Times New Roman" w:hAnsi="Times New Roman"/>
        </w:rPr>
        <w:t xml:space="preserve"> used to confirm that HAR-X beats GARCH.</w:t>
      </w:r>
    </w:p>
    <w:p>
      <w:pPr>
        <w:spacing w:after="120" w:line="360"/>
        <w:jc w:val="both"/>
      </w:pPr>
      <w:r>
        <w:rPr>
          <w:rFonts w:ascii="Times New Roman" w:cs="Times New Roman" w:eastAsia="Times New Roman" w:hAnsi="Times New Roman"/>
        </w:rPr>
        <w:t xml:space="preserve">Practitioner and Indian sources were also reviewed: the RBI study of filtered historical simulation on Indian indices [15], the IIM Calcutta study of India VIX in Nifty volatility forecasting [11], studies of Nifty valuation and long-horizon returns [25], [26], and the official data documentation of AMFI and NSE Indices [31], [32].</w:t>
      </w:r>
    </w:p>
    <w:p>
      <w:pPr>
        <w:pStyle w:val="Caption"/>
        <w:spacing w:after="240" w:before="80"/>
        <w:jc w:val="center"/>
      </w:pPr>
      <w:r>
        <w:rPr>
          <w:rFonts w:ascii="Times New Roman" w:cs="Times New Roman" w:eastAsia="Times New Roman" w:hAnsi="Times New Roman"/>
          <w:b/>
          <w:bCs/>
        </w:rPr>
        <w:t xml:space="preserve">Table 2.</w:t>
      </w:r>
      <w:fldSimple w:instr="SEQ Table \* ARABIC \s 1">
        <w:r>
          <w:t xml:space="preserve">1</w:t>
        </w:r>
      </w:fldSimple>
      <w:r>
        <w:rPr>
          <w:rFonts w:ascii="Times New Roman" w:cs="Times New Roman" w:eastAsia="Times New Roman" w:hAnsi="Times New Roman"/>
        </w:rPr>
        <w:t xml:space="preserve">: Summary of research papers reviewed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38"/>
        <w:gridCol w:w="2699"/>
        <w:gridCol w:w="2492"/>
        <w:gridCol w:w="2077"/>
      </w:tblGrid>
      <w:tr>
        <w:trPr>
          <w:tblHeader/>
        </w:trPr>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Ref.</w:t>
            </w:r>
          </w:p>
        </w:tc>
        <w:tc>
          <w:tcPr>
            <w:tcW w:type="dxa" w:w="269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Method</w:t>
            </w:r>
          </w:p>
        </w:tc>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Key finding</w:t>
            </w:r>
          </w:p>
        </w:tc>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Used in</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Panel regressions on common ownership</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Common ownership predicts co-movement</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target and design</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Constrained regression on index returns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Effective style exposures from returns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layers 3 and 5</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 [5]</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Linear / nonlinear covariance shrinkage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Lower out-of-sample risk</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layer 4, Risk</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 [7]</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GARCH, GJR-GARCH</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Volatility clusters; asymmetry</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(blend half, candidate)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 [9]</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HAR; ML on realised volatility</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HAR strong; ML gains small</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HAR-X; rejected boosted model</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[12], [30]</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Robust losses; DM test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QLIKE robust; significance test</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evaluation</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 [14]</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Likelihood-ratio backtests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Breach rate and independence</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VaR acceptance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[16], [18], [19]</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GARCH-EVT; FZ0 scoring</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Better tails; joint scoring</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99% VaR/ES; model selection</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[21], [23]</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Guardrails; closed-form ruin</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Adaptive spending; analytic check</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[27], [28]</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Diversification ratio; minimum torsion</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Effective number of bets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N_eff</w:t>
            </w:r>
          </w:p>
        </w:tc>
      </w:tr>
    </w:tbl>
    <w:p>
      <w:pPr>
        <w:spacing w:after="120"/>
      </w:pPr>
      <w:r>
        <w:rPr>
          <w:rFonts w:ascii="Times New Roman" w:cs="Times New Roman" w:eastAsia="Times New Roman" w:hAnsi="Times New Roman"/>
        </w:rPr>
        <w:t xml:space="preserve"/>
      </w:r>
    </w:p>
    <w:p>
      <w:pPr>
        <w:pStyle w:val="Heading2"/>
        <w:keepNext/>
      </w:pPr>
      <w:bookmarkStart w:name="_Toc24" w:id="24"/>
      <w:r>
        <w:rPr>
          <w:rFonts w:ascii="Times New Roman" w:cs="Times New Roman" w:eastAsia="Times New Roman" w:hAnsi="Times New Roman"/>
        </w:rPr>
        <w:t xml:space="preserve">2.3 Comparative Analysis</w:t>
      </w:r>
      <w:bookmarkEnd w:id="24"/>
    </w:p>
    <w:p>
      <w:pPr>
        <w:pStyle w:val="Caption"/>
        <w:spacing w:after="240" w:before="80"/>
        <w:jc w:val="center"/>
      </w:pPr>
      <w:r>
        <w:rPr>
          <w:rFonts w:ascii="Times New Roman" w:cs="Times New Roman" w:eastAsia="Times New Roman" w:hAnsi="Times New Roman"/>
          <w:b/>
          <w:bCs/>
        </w:rPr>
        <w:t xml:space="preserve">Table 2.</w:t>
      </w:r>
      <w:fldSimple w:instr="SEQ Table \* ARABIC \s 1">
        <w:r>
          <w:t xml:space="preserve">2</w:t>
        </w:r>
      </w:fldSimple>
      <w:r>
        <w:rPr>
          <w:rFonts w:ascii="Times New Roman" w:cs="Times New Roman" w:eastAsia="Times New Roman" w:hAnsi="Times New Roman"/>
        </w:rPr>
        <w:t xml:space="preserve">: Comparison of existing solutions with the proposed system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02"/>
        <w:gridCol w:w="1101"/>
        <w:gridCol w:w="1201"/>
        <w:gridCol w:w="1201"/>
        <w:gridCol w:w="1401"/>
        <w:gridCol w:w="1300"/>
      </w:tblGrid>
      <w:tr>
        <w:trPr>
          <w:tblHeader/>
        </w:trPr>
        <w:tc>
          <w:tcPr>
            <w:tcW w:type="dxa" w:w="210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Criterion</w:t>
            </w:r>
          </w:p>
        </w:tc>
        <w:tc>
          <w:tcPr>
            <w:tcW w:type="dxa" w:w="110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Factsheets</w:t>
            </w:r>
          </w:p>
        </w:tc>
        <w:tc>
          <w:tcPr>
            <w:tcW w:type="dxa" w:w="120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Overlap tools</w:t>
            </w:r>
          </w:p>
        </w:tc>
        <w:tc>
          <w:tcPr>
            <w:tcW w:type="dxa" w:w="120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Aggregator apps</w:t>
            </w:r>
          </w:p>
        </w:tc>
        <w:tc>
          <w:tcPr>
            <w:tcW w:type="dxa" w:w="140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Retirement calculators</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Proposed system</w:t>
            </w:r>
          </w:p>
        </w:tc>
      </w:tr>
      <w:tr>
        <w:trPr>
          <w:cantSplit/>
        </w:trPr>
        <w:tc>
          <w:tcPr>
            <w:tcW w:type="dxa" w:w="2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 by names</w:t>
            </w:r>
          </w:p>
        </w:tc>
        <w:tc>
          <w:tcPr>
            <w:tcW w:type="dxa" w:w="11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Manual</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Yes</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Partial</w:t>
            </w:r>
          </w:p>
        </w:tc>
        <w:tc>
          <w:tcPr>
            <w:tcW w:type="dxa" w:w="1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Yes</w:t>
            </w:r>
          </w:p>
        </w:tc>
      </w:tr>
      <w:tr>
        <w:trPr>
          <w:cantSplit/>
        </w:trPr>
        <w:tc>
          <w:tcPr>
            <w:tcW w:type="dxa" w:w="2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 by money</w:t>
            </w:r>
          </w:p>
        </w:tc>
        <w:tc>
          <w:tcPr>
            <w:tcW w:type="dxa" w:w="11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Manual</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Sometimes</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Yes</w:t>
            </w:r>
          </w:p>
        </w:tc>
      </w:tr>
      <w:tr>
        <w:trPr>
          <w:cantSplit/>
        </w:trPr>
        <w:tc>
          <w:tcPr>
            <w:tcW w:type="dxa" w:w="2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Predicted co-movement</w:t>
            </w:r>
          </w:p>
        </w:tc>
        <w:tc>
          <w:tcPr>
            <w:tcW w:type="dxa" w:w="11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Yes (PLOS)</w:t>
            </w:r>
          </w:p>
        </w:tc>
      </w:tr>
      <w:tr>
        <w:trPr>
          <w:cantSplit/>
        </w:trPr>
        <w:tc>
          <w:tcPr>
            <w:tcW w:type="dxa" w:w="2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Many funds at once</w:t>
            </w:r>
          </w:p>
        </w:tc>
        <w:tc>
          <w:tcPr>
            <w:tcW w:type="dxa" w:w="11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Usually pairs</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Yes</w:t>
            </w:r>
          </w:p>
        </w:tc>
        <w:tc>
          <w:tcPr>
            <w:tcW w:type="dxa" w:w="1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Up to 20</w:t>
            </w:r>
          </w:p>
        </w:tc>
      </w:tr>
      <w:tr>
        <w:trPr>
          <w:cantSplit/>
        </w:trPr>
        <w:tc>
          <w:tcPr>
            <w:tcW w:type="dxa" w:w="2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Current-regime risk (VaR/ES)</w:t>
            </w:r>
          </w:p>
        </w:tc>
        <w:tc>
          <w:tcPr>
            <w:tcW w:type="dxa" w:w="11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Static std. dev.</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Static</w:t>
            </w:r>
          </w:p>
        </w:tc>
        <w:tc>
          <w:tcPr>
            <w:tcW w:type="dxa" w:w="1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Yes, backtested</w:t>
            </w:r>
          </w:p>
        </w:tc>
      </w:tr>
      <w:tr>
        <w:trPr>
          <w:cantSplit/>
        </w:trPr>
        <w:tc>
          <w:tcPr>
            <w:tcW w:type="dxa" w:w="2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Probabilistic retirement</w:t>
            </w:r>
          </w:p>
        </w:tc>
        <w:tc>
          <w:tcPr>
            <w:tcW w:type="dxa" w:w="11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Rarely</w:t>
            </w:r>
          </w:p>
        </w:tc>
        <w:tc>
          <w:tcPr>
            <w:tcW w:type="dxa" w:w="1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Usually fixed return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Yes, calibrated</w:t>
            </w:r>
          </w:p>
        </w:tc>
      </w:tr>
      <w:tr>
        <w:trPr>
          <w:cantSplit/>
        </w:trPr>
        <w:tc>
          <w:tcPr>
            <w:tcW w:type="dxa" w:w="2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Shows model evidence</w:t>
            </w:r>
          </w:p>
        </w:tc>
        <w:tc>
          <w:tcPr>
            <w:tcW w:type="dxa" w:w="11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Yes</w:t>
            </w:r>
          </w:p>
        </w:tc>
      </w:tr>
      <w:tr>
        <w:trPr>
          <w:cantSplit/>
        </w:trPr>
        <w:tc>
          <w:tcPr>
            <w:tcW w:type="dxa" w:w="210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Cost to investor</w:t>
            </w:r>
          </w:p>
        </w:tc>
        <w:tc>
          <w:tcPr>
            <w:tcW w:type="dxa" w:w="11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Free</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Free / paid</w:t>
            </w:r>
          </w:p>
        </w:tc>
        <w:tc>
          <w:tcPr>
            <w:tcW w:type="dxa" w:w="12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Free</w:t>
            </w:r>
          </w:p>
        </w:tc>
        <w:tc>
          <w:tcPr>
            <w:tcW w:type="dxa" w:w="140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Free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Free, open source</w:t>
            </w:r>
          </w:p>
        </w:tc>
      </w:tr>
    </w:tbl>
    <w:p>
      <w:pPr>
        <w:spacing w:after="120"/>
      </w:pPr>
      <w:r>
        <w:rPr>
          <w:rFonts w:ascii="Times New Roman" w:cs="Times New Roman" w:eastAsia="Times New Roman" w:hAnsi="Times New Roman"/>
        </w:rPr>
        <w:t xml:space="preserve"/>
      </w:r>
    </w:p>
    <w:p>
      <w:pPr>
        <w:pStyle w:val="Heading2"/>
        <w:keepNext/>
      </w:pPr>
      <w:bookmarkStart w:name="_Toc25" w:id="25"/>
      <w:r>
        <w:rPr>
          <w:rFonts w:ascii="Times New Roman" w:cs="Times New Roman" w:eastAsia="Times New Roman" w:hAnsi="Times New Roman"/>
        </w:rPr>
        <w:t xml:space="preserve">2.4 Limitations of Existing Systems</w:t>
      </w:r>
      <w:bookmarkEnd w:id="25"/>
    </w:p>
    <w:p>
      <w:pPr>
        <w:pStyle w:val="ListParagraph"/>
        <w:numPr>
          <w:ilvl w:val="0"/>
          <w:numId w:val="3"/>
        </w:numPr>
        <w:spacing w:after="60" w:line="360"/>
        <w:jc w:val="both"/>
      </w:pPr>
      <w:r>
        <w:rPr>
          <w:rFonts w:ascii="Times New Roman" w:cs="Times New Roman" w:eastAsia="Times New Roman" w:hAnsi="Times New Roman"/>
        </w:rPr>
        <w:t xml:space="preserve">Overlap is reported as a share of names, which ignores position sizes and says nothing about how the funds will move together.</w:t>
      </w:r>
    </w:p>
    <w:p>
      <w:pPr>
        <w:pStyle w:val="ListParagraph"/>
        <w:numPr>
          <w:ilvl w:val="0"/>
          <w:numId w:val="3"/>
        </w:numPr>
        <w:spacing w:after="60" w:line="360"/>
        <w:jc w:val="both"/>
      </w:pPr>
      <w:r>
        <w:rPr>
          <w:rFonts w:ascii="Times New Roman" w:cs="Times New Roman" w:eastAsia="Times New Roman" w:hAnsi="Times New Roman"/>
        </w:rPr>
        <w:t xml:space="preserve">Risk, where shown, is a long-run historical standard deviation that does not react to the current volatility regime and is never backtested.</w:t>
      </w:r>
    </w:p>
    <w:p>
      <w:pPr>
        <w:pStyle w:val="ListParagraph"/>
        <w:numPr>
          <w:ilvl w:val="0"/>
          <w:numId w:val="3"/>
        </w:numPr>
        <w:spacing w:after="60" w:line="360"/>
        <w:jc w:val="both"/>
      </w:pPr>
      <w:r>
        <w:rPr>
          <w:rFonts w:ascii="Times New Roman" w:cs="Times New Roman" w:eastAsia="Times New Roman" w:hAnsi="Times New Roman"/>
        </w:rPr>
        <w:t xml:space="preserve">Retirement projections use a single fixed return, hide uncertainty and ignore sequence-of-returns risk and spending strategy.</w:t>
      </w:r>
    </w:p>
    <w:p>
      <w:pPr>
        <w:pStyle w:val="ListParagraph"/>
        <w:numPr>
          <w:ilvl w:val="0"/>
          <w:numId w:val="3"/>
        </w:numPr>
        <w:spacing w:after="60" w:line="360"/>
        <w:jc w:val="both"/>
      </w:pPr>
      <w:r>
        <w:rPr>
          <w:rFonts w:ascii="Times New Roman" w:cs="Times New Roman" w:eastAsia="Times New Roman" w:hAnsi="Times New Roman"/>
        </w:rPr>
        <w:t xml:space="preserve">No tool reports the historical accuracy of its own estimates, so investors cannot judge how much to trust them.</w:t>
      </w:r>
    </w:p>
    <w:p>
      <w:pPr>
        <w:pStyle w:val="ListParagraph"/>
        <w:numPr>
          <w:ilvl w:val="0"/>
          <w:numId w:val="3"/>
        </w:numPr>
        <w:spacing w:after="60" w:line="360"/>
        <w:jc w:val="both"/>
      </w:pPr>
      <w:r>
        <w:rPr>
          <w:rFonts w:ascii="Times New Roman" w:cs="Times New Roman" w:eastAsia="Times New Roman" w:hAnsi="Times New Roman"/>
        </w:rPr>
        <w:t xml:space="preserve">Data quality is invisible: users cannot tell whether a figure comes from real NAV history or a modelled estimate.</w:t>
      </w:r>
    </w:p>
    <w:p>
      <w:pPr>
        <w:pStyle w:val="Heading2"/>
        <w:keepNext/>
      </w:pPr>
      <w:bookmarkStart w:name="_Toc26" w:id="26"/>
      <w:r>
        <w:rPr>
          <w:rFonts w:ascii="Times New Roman" w:cs="Times New Roman" w:eastAsia="Times New Roman" w:hAnsi="Times New Roman"/>
        </w:rPr>
        <w:t xml:space="preserve">2.5 Identified Research and Engineering Gap</w:t>
      </w:r>
      <w:bookmarkEnd w:id="26"/>
    </w:p>
    <w:p>
      <w:pPr>
        <w:spacing w:after="120" w:line="360"/>
        <w:jc w:val="both"/>
      </w:pPr>
      <w:r>
        <w:rPr>
          <w:rFonts w:ascii="Times New Roman" w:cs="Times New Roman" w:eastAsia="Times New Roman" w:hAnsi="Times New Roman"/>
        </w:rPr>
        <w:t xml:space="preserve">The research shows that common ownership predicts co-movement [1], that HAR-type models with market inputs forecast volatility well [8], [11], that VaR must be backtested [13], [14] and that retirement planning needs simulation [20]. No available tool brings these together for Indian mutual fund investors, validates them on Indian data, and presents the results with their evidence in a usable interface. The engineering gap is equally clear: a reliable pipeline that verifies AMFI codes, falls back gracefully when data is missing, and serves model results within interactive response times.</w:t>
      </w:r>
    </w:p>
    <w:p>
      <w:pPr>
        <w:pStyle w:val="Heading2"/>
        <w:keepNext/>
      </w:pPr>
      <w:bookmarkStart w:name="_Toc27" w:id="27"/>
      <w:r>
        <w:rPr>
          <w:rFonts w:ascii="Times New Roman" w:cs="Times New Roman" w:eastAsia="Times New Roman" w:hAnsi="Times New Roman"/>
        </w:rPr>
        <w:t xml:space="preserve">2.6 Proposed Improvements</w:t>
      </w:r>
      <w:bookmarkEnd w:id="27"/>
    </w:p>
    <w:p>
      <w:pPr>
        <w:pStyle w:val="ListParagraph"/>
        <w:numPr>
          <w:ilvl w:val="0"/>
          <w:numId w:val="3"/>
        </w:numPr>
        <w:spacing w:after="60" w:line="360"/>
        <w:jc w:val="both"/>
      </w:pPr>
      <w:r>
        <w:rPr>
          <w:rFonts w:ascii="Times New Roman" w:cs="Times New Roman" w:eastAsia="Times New Roman" w:hAnsi="Times New Roman"/>
        </w:rPr>
        <w:t xml:space="preserve">Measure overlap by names and money, and predict co-movement with an explainable learned model (PLOS v3).</w:t>
      </w:r>
    </w:p>
    <w:p>
      <w:pPr>
        <w:pStyle w:val="ListParagraph"/>
        <w:numPr>
          <w:ilvl w:val="0"/>
          <w:numId w:val="3"/>
        </w:numPr>
        <w:spacing w:after="60" w:line="360"/>
        <w:jc w:val="both"/>
      </w:pPr>
      <w:r>
        <w:rPr>
          <w:rFonts w:ascii="Times New Roman" w:cs="Times New Roman" w:eastAsia="Times New Roman" w:hAnsi="Times New Roman"/>
        </w:rPr>
        <w:t xml:space="preserve">Forecast volatility with HAR-X using India VIX and global inputs, blended with GARCH, with an extreme-value tail at 99% (Risk v2).</w:t>
      </w:r>
    </w:p>
    <w:p>
      <w:pPr>
        <w:pStyle w:val="ListParagraph"/>
        <w:numPr>
          <w:ilvl w:val="0"/>
          <w:numId w:val="3"/>
        </w:numPr>
        <w:spacing w:after="60" w:line="360"/>
        <w:jc w:val="both"/>
      </w:pPr>
      <w:r>
        <w:rPr>
          <w:rFonts w:ascii="Times New Roman" w:cs="Times New Roman" w:eastAsia="Times New Roman" w:hAnsi="Times New Roman"/>
        </w:rPr>
        <w:t xml:space="preserve">Calibrate the retirement engine on real outcomes and report success as an interval (ARISE v5).</w:t>
      </w:r>
    </w:p>
    <w:p>
      <w:pPr>
        <w:pStyle w:val="ListParagraph"/>
        <w:numPr>
          <w:ilvl w:val="0"/>
          <w:numId w:val="3"/>
        </w:numPr>
        <w:spacing w:after="60" w:line="360"/>
        <w:jc w:val="both"/>
      </w:pPr>
      <w:r>
        <w:rPr>
          <w:rFonts w:ascii="Times New Roman" w:cs="Times New Roman" w:eastAsia="Times New Roman" w:hAnsi="Times New Roman"/>
        </w:rPr>
        <w:t xml:space="preserve">Verify every data source, record which source each number came from, and show it to the investor.</w:t>
      </w:r>
    </w:p>
    <w:p>
      <w:pPr>
        <w:pStyle w:val="ListParagraph"/>
        <w:numPr>
          <w:ilvl w:val="0"/>
          <w:numId w:val="3"/>
        </w:numPr>
        <w:spacing w:after="60" w:line="360"/>
        <w:jc w:val="both"/>
      </w:pPr>
      <w:r>
        <w:rPr>
          <w:rFonts w:ascii="Times New Roman" w:cs="Times New Roman" w:eastAsia="Times New Roman" w:hAnsi="Times New Roman"/>
        </w:rPr>
        <w:t xml:space="preserve">Adopt any model only after it wins an out-of-sample test, and show the validation evidence on screen.</w:t>
      </w:r>
    </w:p>
    <w:p>
      <w:pPr>
        <w:pageBreakBefore/>
        <w:spacing w:after="120"/>
        <w:jc w:val="center"/>
      </w:pPr>
      <w:r>
        <w:rPr>
          <w:rFonts w:ascii="Times New Roman" w:cs="Times New Roman" w:eastAsia="Times New Roman" w:hAnsi="Times New Roman"/>
          <w:b/>
          <w:bCs/>
          <w:sz w:val="28"/>
          <w:szCs w:val="28"/>
        </w:rPr>
        <w:t xml:space="preserve">CHAPTER 3</w:t>
      </w:r>
    </w:p>
    <w:p>
      <w:pPr>
        <w:pStyle w:val="Heading1"/>
        <w:jc w:val="center"/>
      </w:pPr>
      <w:bookmarkStart w:name="_Toc28" w:id="28"/>
      <w:r>
        <w:rPr>
          <w:rFonts w:ascii="Times New Roman" w:cs="Times New Roman" w:eastAsia="Times New Roman" w:hAnsi="Times New Roman"/>
        </w:rPr>
        <w:t xml:space="preserve">SOFTWARE REQUIREMENTS SPECIFICATION</w:t>
      </w:r>
      <w:bookmarkEnd w:id="28"/>
    </w:p>
    <w:p>
      <w:pPr>
        <w:pStyle w:val="Heading2"/>
        <w:keepNext/>
      </w:pPr>
      <w:bookmarkStart w:name="_Toc29" w:id="29"/>
      <w:r>
        <w:rPr>
          <w:rFonts w:ascii="Times New Roman" w:cs="Times New Roman" w:eastAsia="Times New Roman" w:hAnsi="Times New Roman"/>
        </w:rPr>
        <w:t xml:space="preserve">3.1 Purpose and Scope of the SRS</w:t>
      </w:r>
      <w:bookmarkEnd w:id="29"/>
    </w:p>
    <w:p>
      <w:pPr>
        <w:spacing w:after="120" w:line="360"/>
        <w:jc w:val="both"/>
      </w:pPr>
      <w:r>
        <w:rPr>
          <w:rFonts w:ascii="Times New Roman" w:cs="Times New Roman" w:eastAsia="Times New Roman" w:hAnsi="Times New Roman"/>
        </w:rPr>
        <w:t xml:space="preserve">This SRS specifies the functional and non-functional requirements of Nexus Portfolio Intelligence version 1.0. It is the reference for design (Chapter 4), implementation (Chapter 7) and testing (Chapter 9): every test case in Chapter 9 traces to a requirement identifier defined here. The scope is the web client, the REST API, the five engines, the database, the background workers and the offline model pipeline.</w:t>
      </w:r>
    </w:p>
    <w:p>
      <w:pPr>
        <w:pStyle w:val="Heading2"/>
        <w:keepNext/>
      </w:pPr>
      <w:bookmarkStart w:name="_Toc30" w:id="30"/>
      <w:r>
        <w:rPr>
          <w:rFonts w:ascii="Times New Roman" w:cs="Times New Roman" w:eastAsia="Times New Roman" w:hAnsi="Times New Roman"/>
        </w:rPr>
        <w:t xml:space="preserve">3.2 Intended Users and Stakeholders</w:t>
      </w:r>
      <w:bookmarkEnd w:id="30"/>
    </w:p>
    <w:p>
      <w:pPr>
        <w:pStyle w:val="Caption"/>
        <w:spacing w:after="240" w:before="80"/>
        <w:jc w:val="center"/>
      </w:pPr>
      <w:r>
        <w:rPr>
          <w:rFonts w:ascii="Times New Roman" w:cs="Times New Roman" w:eastAsia="Times New Roman" w:hAnsi="Times New Roman"/>
          <w:b/>
          <w:bCs/>
        </w:rPr>
        <w:t xml:space="preserve">Table 3.</w:t>
      </w:r>
      <w:fldSimple w:instr="SEQ Table \* ARABIC \s 1">
        <w:r>
          <w:t xml:space="preserve">1</w:t>
        </w:r>
      </w:fldSimple>
      <w:r>
        <w:rPr>
          <w:rFonts w:ascii="Times New Roman" w:cs="Times New Roman" w:eastAsia="Times New Roman" w:hAnsi="Times New Roman"/>
        </w:rPr>
        <w:t xml:space="preserve">: Users and stakeholders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1661"/>
        <w:gridCol w:w="4153"/>
      </w:tblGrid>
      <w:tr>
        <w:trPr>
          <w:tblHeader/>
        </w:trPr>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Stakeholder</w:t>
            </w:r>
          </w:p>
        </w:tc>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Role</w:t>
            </w:r>
          </w:p>
        </w:tc>
        <w:tc>
          <w:tcPr>
            <w:tcW w:type="dxa" w:w="4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Main interest</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Investor</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Primary user</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Understand overlap, risk and retirement prospects of the portfolio</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Relationship manager</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Secondary user</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Send notifications and review a client’s analysis</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Administrator / developer</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Operator</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Run the stack, refresh data, retrain and monitor models</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Project guide and examiners</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Evaluators</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Verify design, implementation, testing and results</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providers (AMFI, NSE Indices, Yahoo Finance, Upstox)</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External systems</w:t>
            </w:r>
          </w:p>
        </w:tc>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Supply NAV, index, price and live data</w:t>
            </w:r>
          </w:p>
        </w:tc>
      </w:tr>
    </w:tbl>
    <w:p>
      <w:pPr>
        <w:spacing w:after="120"/>
      </w:pPr>
      <w:r>
        <w:rPr>
          <w:rFonts w:ascii="Times New Roman" w:cs="Times New Roman" w:eastAsia="Times New Roman" w:hAnsi="Times New Roman"/>
        </w:rPr>
        <w:t xml:space="preserve"/>
      </w:r>
    </w:p>
    <w:p>
      <w:pPr>
        <w:pStyle w:val="Heading2"/>
        <w:keepNext/>
      </w:pPr>
      <w:bookmarkStart w:name="_Toc31" w:id="31"/>
      <w:r>
        <w:rPr>
          <w:rFonts w:ascii="Times New Roman" w:cs="Times New Roman" w:eastAsia="Times New Roman" w:hAnsi="Times New Roman"/>
        </w:rPr>
        <w:t xml:space="preserve">3.3 Overall Product Description</w:t>
      </w:r>
      <w:bookmarkEnd w:id="31"/>
    </w:p>
    <w:p>
      <w:pPr>
        <w:spacing w:after="120" w:line="360"/>
        <w:jc w:val="both"/>
      </w:pPr>
      <w:r>
        <w:rPr>
          <w:rFonts w:ascii="Times New Roman" w:cs="Times New Roman" w:eastAsia="Times New Roman" w:hAnsi="Times New Roman"/>
        </w:rPr>
        <w:t xml:space="preserve">The product is a web application. The investor uses a browser; the Next.js frontend calls the FastAPI backend over HTTPS with JSON payloads and JWT bearer authentication. The backend depends on PostgreSQL/TimescaleDB, Redis and Celery, and on the data files and trained model artifacts produced by the offline pipeline. Major functions are account management, profiling, scheme discovery, selection and allocation, the four analyses, the transaction ledger, reports and notifications. The system operates on a single Docker host; it degrades gracefully when Redis, Upstox or a data source is unavailable (fallbacks are described in Section 4.7).</w:t>
      </w:r>
    </w:p>
    <w:p>
      <w:pPr>
        <w:pStyle w:val="Heading2"/>
        <w:keepNext/>
      </w:pPr>
      <w:bookmarkStart w:name="_Toc32" w:id="32"/>
      <w:r>
        <w:rPr>
          <w:rFonts w:ascii="Times New Roman" w:cs="Times New Roman" w:eastAsia="Times New Roman" w:hAnsi="Times New Roman"/>
        </w:rPr>
        <w:t xml:space="preserve">3.4 Functional Requirements</w:t>
      </w:r>
      <w:bookmarkEnd w:id="32"/>
    </w:p>
    <w:p>
      <w:pPr>
        <w:pStyle w:val="Caption"/>
        <w:spacing w:after="240" w:before="80"/>
        <w:jc w:val="center"/>
      </w:pPr>
      <w:r>
        <w:rPr>
          <w:rFonts w:ascii="Times New Roman" w:cs="Times New Roman" w:eastAsia="Times New Roman" w:hAnsi="Times New Roman"/>
          <w:b/>
          <w:bCs/>
        </w:rPr>
        <w:t xml:space="preserve">Table 3.</w:t>
      </w:r>
      <w:fldSimple w:instr="SEQ Table \* ARABIC \s 1">
        <w:r>
          <w:t xml:space="preserve">2</w:t>
        </w:r>
      </w:fldSimple>
      <w:r>
        <w:rPr>
          <w:rFonts w:ascii="Times New Roman" w:cs="Times New Roman" w:eastAsia="Times New Roman" w:hAnsi="Times New Roman"/>
        </w:rPr>
        <w:t xml:space="preserve">: 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64"/>
        <w:gridCol w:w="1432"/>
        <w:gridCol w:w="1241"/>
        <w:gridCol w:w="1623"/>
        <w:gridCol w:w="1432"/>
        <w:gridCol w:w="1814"/>
      </w:tblGrid>
      <w:tr>
        <w:trPr>
          <w:tblHeader/>
        </w:trPr>
        <w:tc>
          <w:tcPr>
            <w:tcW w:type="dxa" w:w="76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ID</w:t>
            </w:r>
          </w:p>
        </w:tc>
        <w:tc>
          <w:tcPr>
            <w:tcW w:type="dxa" w:w="143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Requirement</w:t>
            </w:r>
          </w:p>
        </w:tc>
        <w:tc>
          <w:tcPr>
            <w:tcW w:type="dxa" w:w="124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Input</w:t>
            </w:r>
          </w:p>
        </w:tc>
        <w:tc>
          <w:tcPr>
            <w:tcW w:type="dxa" w:w="162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Processing</w:t>
            </w:r>
          </w:p>
        </w:tc>
        <w:tc>
          <w:tcPr>
            <w:tcW w:type="dxa" w:w="143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Output</w:t>
            </w:r>
          </w:p>
        </w:tc>
        <w:tc>
          <w:tcPr>
            <w:tcW w:type="dxa" w:w="181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Acceptance criteria</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FR-01</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 registration and login</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Email, password, name</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Validate; bcrypt hash; issue JWT pair</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Access + refresh tokens</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Valid user receives tokens; duplicate email rejected (409)</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FR-02</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Session refresh and logout</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Refresh token</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Rotate token; detect reuse</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New token pair / revoked</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Reused token revokes the whole family</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FR-03</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Investor profile</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 profile fields, optional SIP and step-up</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Validate ranges and dates</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Stored profile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Invalid age or amounts rejected (422)</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FR-04</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discovery</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Apply hard blocks and soft flags</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35 schemes with flags and reasons</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All schemes visible; ineligible ones blocked with reason</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FR-05</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Selection and allocation</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1–20 scheme IDs, weights</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Validate IDs, duplicates, sum to 1</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Saved selection</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Duplicates and bad sums rejected</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FR-06</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 analysis</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Saved selection</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Jaccard and weighted overlap per pair</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Matrix, shared holdings, network</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Symmetric, diagonal 1, values in [0, 1]</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FR-07</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analysis</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Selection and weights</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 layers, learned model, Shapley, N_eff, clusters</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Pair scores, N_eff, clusters, evidence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Contributions sum to score minus baseline</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FR-08</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analysis</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Selection and weights</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GARCH + HAR-X blend, FHS / EVT, backtests</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VaR/ES 95% and 99%, 1 and 10 days, backtests</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Breach rates pass Kupiec at 95% confidence</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FR-09</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retirement projection</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 selection, strategy, paths</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Monte Carlo with estimation risk and mortality</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Success estimate with interval, paths, strategy table</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Never exactly 0% or 100%; more SIP never lowers success</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FR-10</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Transactions and tax</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Buy / SIP / redeem records</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FIFO lots, P&amp;L, XIRR, STCG/LTCG</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Ledger, holdings, P&amp;L, tax</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Matches hand-computed values; duplicates ignored</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FR-11</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Reports and notifications</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Selected schemes; RM message</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Generate PDF; store notification</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PDF file; inbox</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Report reaches completed or failed state</w:t>
            </w:r>
          </w:p>
        </w:tc>
      </w:tr>
      <w:tr>
        <w:trPr>
          <w:cantSplit/>
        </w:trPr>
        <w:tc>
          <w:tcPr>
            <w:tcW w:type="dxa" w:w="76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FR-12</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and model pipeline</w:t>
            </w:r>
          </w:p>
        </w:tc>
        <w:tc>
          <w:tcPr>
            <w:tcW w:type="dxa" w:w="124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Command</w:t>
            </w:r>
          </w:p>
        </w:tc>
        <w:tc>
          <w:tcPr>
            <w:tcW w:type="dxa" w:w="1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Download, verify, train, validate</w:t>
            </w:r>
          </w:p>
        </w:tc>
        <w:tc>
          <w:tcPr>
            <w:tcW w:type="dxa" w:w="143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files, JSON artifacts, metrics</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Model adopted only if it wins out of sample</w:t>
            </w:r>
          </w:p>
        </w:tc>
      </w:tr>
    </w:tbl>
    <w:p>
      <w:pPr>
        <w:spacing w:after="120"/>
      </w:pPr>
      <w:r>
        <w:rPr>
          <w:rFonts w:ascii="Times New Roman" w:cs="Times New Roman" w:eastAsia="Times New Roman" w:hAnsi="Times New Roman"/>
        </w:rPr>
        <w:t xml:space="preserve"/>
      </w:r>
    </w:p>
    <w:p>
      <w:pPr>
        <w:pStyle w:val="Heading2"/>
        <w:keepNext/>
      </w:pPr>
      <w:bookmarkStart w:name="_Toc33" w:id="33"/>
      <w:r>
        <w:rPr>
          <w:rFonts w:ascii="Times New Roman" w:cs="Times New Roman" w:eastAsia="Times New Roman" w:hAnsi="Times New Roman"/>
        </w:rPr>
        <w:t xml:space="preserve">3.5 Non-Functional Requirements</w:t>
      </w:r>
      <w:bookmarkEnd w:id="33"/>
    </w:p>
    <w:p>
      <w:pPr>
        <w:pStyle w:val="Caption"/>
        <w:spacing w:after="240" w:before="80"/>
        <w:jc w:val="center"/>
      </w:pPr>
      <w:r>
        <w:rPr>
          <w:rFonts w:ascii="Times New Roman" w:cs="Times New Roman" w:eastAsia="Times New Roman" w:hAnsi="Times New Roman"/>
          <w:b/>
          <w:bCs/>
        </w:rPr>
        <w:t xml:space="preserve">Table 3.</w:t>
      </w:r>
      <w:fldSimple w:instr="SEQ Table \* ARABIC \s 1">
        <w:r>
          <w:t xml:space="preserve">3</w:t>
        </w:r>
      </w:fldSimple>
      <w:r>
        <w:rPr>
          <w:rFonts w:ascii="Times New Roman" w:cs="Times New Roman" w:eastAsia="Times New Roman" w:hAnsi="Times New Roman"/>
        </w:rPr>
        <w:t xml:space="preserve">: Non-functional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34"/>
        <w:gridCol w:w="1869"/>
        <w:gridCol w:w="5503"/>
      </w:tblGrid>
      <w:tr>
        <w:trPr>
          <w:tblHeader/>
        </w:trPr>
        <w:tc>
          <w:tcPr>
            <w:tcW w:type="dxa" w:w="9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ID</w:t>
            </w:r>
          </w:p>
        </w:tc>
        <w:tc>
          <w:tcPr>
            <w:tcW w:type="dxa" w:w="18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Category</w:t>
            </w:r>
          </w:p>
        </w:tc>
        <w:tc>
          <w:tcPr>
            <w:tcW w:type="dxa" w:w="550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Requirement</w:t>
            </w:r>
          </w:p>
        </w:tc>
      </w:tr>
      <w:tr>
        <w:trPr>
          <w:cantSplit/>
        </w:trPr>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NFR-01</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Performance</w:t>
            </w:r>
          </w:p>
        </w:tc>
        <w:tc>
          <w:tcPr>
            <w:tcW w:type="dxa" w:w="55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Interactive endpoints p95 &lt; 200 ms at 10 concurrent users; analysis endpoints within the targets of Table 1.1</w:t>
            </w:r>
          </w:p>
        </w:tc>
      </w:tr>
      <w:tr>
        <w:trPr>
          <w:cantSplit/>
        </w:trPr>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NFR-02</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Scalability</w:t>
            </w:r>
          </w:p>
        </w:tc>
        <w:tc>
          <w:tcPr>
            <w:tcW w:type="dxa" w:w="55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Stateless API processes so that more workers or replicas can be added; shared state only in PostgreSQL and Redis</w:t>
            </w:r>
          </w:p>
        </w:tc>
      </w:tr>
      <w:tr>
        <w:trPr>
          <w:cantSplit/>
        </w:trPr>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NFR-03</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Availability and reliability</w:t>
            </w:r>
          </w:p>
        </w:tc>
        <w:tc>
          <w:tcPr>
            <w:tcW w:type="dxa" w:w="55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 5xx errors under the tested load; graceful fallback when Redis, Upstox or a data source fails; health and readiness endpoints</w:t>
            </w:r>
          </w:p>
        </w:tc>
      </w:tr>
      <w:tr>
        <w:trPr>
          <w:cantSplit/>
        </w:trPr>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NFR-04</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Security and privacy</w:t>
            </w:r>
          </w:p>
        </w:tc>
        <w:tc>
          <w:tcPr>
            <w:tcW w:type="dxa" w:w="55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bcrypt password hashing, short-lived JWTs, refresh rotation with reuse detection, per-user data isolation, rate limiting, secrets outside version control</w:t>
            </w:r>
          </w:p>
        </w:tc>
      </w:tr>
      <w:tr>
        <w:trPr>
          <w:cantSplit/>
        </w:trPr>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NFR-05</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Usability and accessibility</w:t>
            </w:r>
          </w:p>
        </w:tc>
        <w:tc>
          <w:tcPr>
            <w:tcW w:type="dxa" w:w="55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Responsive layout; light and dark themes; text contrast meeting WCAG 2.2 AA, enforced by 16 automated checks</w:t>
            </w:r>
          </w:p>
        </w:tc>
      </w:tr>
      <w:tr>
        <w:trPr>
          <w:cantSplit/>
        </w:trPr>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NFR-06</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Maintainability</w:t>
            </w:r>
          </w:p>
        </w:tc>
        <w:tc>
          <w:tcPr>
            <w:tcW w:type="dxa" w:w="55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Layered modules, typed code, automated tests, CI, architecture decision records</w:t>
            </w:r>
          </w:p>
        </w:tc>
      </w:tr>
      <w:tr>
        <w:trPr>
          <w:cantSplit/>
        </w:trPr>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NFR-07</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Portability</w:t>
            </w:r>
          </w:p>
        </w:tc>
        <w:tc>
          <w:tcPr>
            <w:tcW w:type="dxa" w:w="55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Runs anywhere Docker runs (macOS, Linux, Windows); no platform-specific code</w:t>
            </w:r>
          </w:p>
        </w:tc>
      </w:tr>
      <w:tr>
        <w:trPr>
          <w:cantSplit/>
        </w:trPr>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NFR-08</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Resource utilisation</w:t>
            </w:r>
          </w:p>
        </w:tc>
        <w:tc>
          <w:tcPr>
            <w:tcW w:type="dxa" w:w="55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 container peak memory below 2 GiB under the tested load; CPU-heavy work kept off the event loop</w:t>
            </w:r>
          </w:p>
        </w:tc>
      </w:tr>
      <w:tr>
        <w:trPr>
          <w:cantSplit/>
        </w:trPr>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NFR-09</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Honesty of estimates</w:t>
            </w:r>
          </w:p>
        </w:tc>
        <w:tc>
          <w:tcPr>
            <w:tcW w:type="dxa" w:w="55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Every model validated out of sample; estimates, assumptions and data sources labelled; no 0% or 100% probabilities</w:t>
            </w:r>
          </w:p>
        </w:tc>
      </w:tr>
    </w:tbl>
    <w:p>
      <w:pPr>
        <w:spacing w:after="120"/>
      </w:pPr>
      <w:r>
        <w:rPr>
          <w:rFonts w:ascii="Times New Roman" w:cs="Times New Roman" w:eastAsia="Times New Roman" w:hAnsi="Times New Roman"/>
        </w:rPr>
        <w:t xml:space="preserve"/>
      </w:r>
    </w:p>
    <w:p>
      <w:pPr>
        <w:pStyle w:val="Heading2"/>
        <w:keepNext/>
      </w:pPr>
      <w:bookmarkStart w:name="_Toc34" w:id="34"/>
      <w:r>
        <w:rPr>
          <w:rFonts w:ascii="Times New Roman" w:cs="Times New Roman" w:eastAsia="Times New Roman" w:hAnsi="Times New Roman"/>
        </w:rPr>
        <w:t xml:space="preserve">3.6 Hardware and Software Requirements</w:t>
      </w:r>
      <w:bookmarkEnd w:id="34"/>
    </w:p>
    <w:p>
      <w:pPr>
        <w:pStyle w:val="Caption"/>
        <w:spacing w:after="240" w:before="80"/>
        <w:jc w:val="center"/>
      </w:pPr>
      <w:r>
        <w:rPr>
          <w:rFonts w:ascii="Times New Roman" w:cs="Times New Roman" w:eastAsia="Times New Roman" w:hAnsi="Times New Roman"/>
          <w:b/>
          <w:bCs/>
        </w:rPr>
        <w:t xml:space="preserve">Table 3.</w:t>
      </w:r>
      <w:fldSimple w:instr="SEQ Table \* ARABIC \s 1">
        <w:r>
          <w:t xml:space="preserve">4</w:t>
        </w:r>
      </w:fldSimple>
      <w:r>
        <w:rPr>
          <w:rFonts w:ascii="Times New Roman" w:cs="Times New Roman" w:eastAsia="Times New Roman" w:hAnsi="Times New Roman"/>
        </w:rPr>
        <w:t xml:space="preserve">: Hardware and 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7"/>
        <w:gridCol w:w="6229"/>
      </w:tblGrid>
      <w:tr>
        <w:trPr>
          <w:tblHeader/>
        </w:trPr>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Category</w:t>
            </w:r>
          </w:p>
        </w:tc>
        <w:tc>
          <w:tcPr>
            <w:tcW w:type="dxa" w:w="622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Requirement</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Development hardware</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64-bit multi-core CPU, 8 GB RAM minimum (16 GB recommended), 5 GB free disk</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machine used</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Apple M5, 10 cores, 16 GB RAM; API container limited to 4 CPUs and 4 GiB</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Operating system</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macOS, Linux or Windows with Docker Desktop</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Languages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Python 3.12 (backend, models), TypeScript (frontend), SQL</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 frameworks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FastAPI, Pydantic, SQLAlchemy 2 (async), Alembic, Celery, uvicorn</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Databases and cache</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PostgreSQL 16 with TimescaleDB, Redis 7</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Analytics libraries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NumPy, SciPy, pandas, scikit-learn</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Frontend</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Node.js 20, Next.js 15, React 19, Tailwind CSS v4, TanStack Query, three.js, GSAP</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Tools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Git and GitHub, GitHub Actions, Docker Compose, pytest, ruff, ESLint</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Deployment</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Docker Compose: web, api, worker, beat, feed-worker, db, redis</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Client</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Any modern browser (Chrome, Safari, Firefox, Edge)</w:t>
            </w:r>
          </w:p>
        </w:tc>
      </w:tr>
    </w:tbl>
    <w:p>
      <w:pPr>
        <w:spacing w:after="120"/>
      </w:pPr>
      <w:r>
        <w:rPr>
          <w:rFonts w:ascii="Times New Roman" w:cs="Times New Roman" w:eastAsia="Times New Roman" w:hAnsi="Times New Roman"/>
        </w:rPr>
        <w:t xml:space="preserve"/>
      </w:r>
    </w:p>
    <w:p>
      <w:pPr>
        <w:pStyle w:val="Heading2"/>
        <w:keepNext/>
      </w:pPr>
      <w:bookmarkStart w:name="_Toc35" w:id="35"/>
      <w:r>
        <w:rPr>
          <w:rFonts w:ascii="Times New Roman" w:cs="Times New Roman" w:eastAsia="Times New Roman" w:hAnsi="Times New Roman"/>
        </w:rPr>
        <w:t xml:space="preserve">3.7 Constraints and Assumptions</w:t>
      </w:r>
      <w:bookmarkEnd w:id="35"/>
    </w:p>
    <w:p>
      <w:pPr>
        <w:pStyle w:val="ListParagraph"/>
        <w:numPr>
          <w:ilvl w:val="0"/>
          <w:numId w:val="3"/>
        </w:numPr>
        <w:spacing w:after="60" w:line="360"/>
        <w:jc w:val="both"/>
      </w:pPr>
      <w:r>
        <w:rPr>
          <w:rFonts w:ascii="Times New Roman" w:cs="Times New Roman" w:eastAsia="Times New Roman" w:hAnsi="Times New Roman"/>
          <w:b/>
          <w:bCs/>
        </w:rPr>
        <w:t xml:space="preserve">Technical:</w:t>
      </w:r>
      <w:r>
        <w:rPr>
          <w:rFonts w:ascii="Times New Roman" w:cs="Times New Roman" w:eastAsia="Times New Roman" w:hAnsi="Times New Roman"/>
        </w:rPr>
        <w:t xml:space="preserve"> Indian market history is about two decades long, which limits multi-year validation; factsheet holdings are a single monthly snapshot (31 May 2026).</w:t>
      </w:r>
    </w:p>
    <w:p>
      <w:pPr>
        <w:pStyle w:val="ListParagraph"/>
        <w:numPr>
          <w:ilvl w:val="0"/>
          <w:numId w:val="3"/>
        </w:numPr>
        <w:spacing w:after="60" w:line="360"/>
        <w:jc w:val="both"/>
      </w:pPr>
      <w:r>
        <w:rPr>
          <w:rFonts w:ascii="Times New Roman" w:cs="Times New Roman" w:eastAsia="Times New Roman" w:hAnsi="Times New Roman"/>
          <w:b/>
          <w:bCs/>
        </w:rPr>
        <w:t xml:space="preserve">Financial:</w:t>
      </w:r>
      <w:r>
        <w:rPr>
          <w:rFonts w:ascii="Times New Roman" w:cs="Times New Roman" w:eastAsia="Times New Roman" w:hAnsi="Times New Roman"/>
        </w:rPr>
        <w:t xml:space="preserve"> only free data sources and open-source software may be used.</w:t>
      </w:r>
    </w:p>
    <w:p>
      <w:pPr>
        <w:pStyle w:val="ListParagraph"/>
        <w:numPr>
          <w:ilvl w:val="0"/>
          <w:numId w:val="3"/>
        </w:numPr>
        <w:spacing w:after="60" w:line="360"/>
        <w:jc w:val="both"/>
      </w:pPr>
      <w:r>
        <w:rPr>
          <w:rFonts w:ascii="Times New Roman" w:cs="Times New Roman" w:eastAsia="Times New Roman" w:hAnsi="Times New Roman"/>
          <w:b/>
          <w:bCs/>
        </w:rPr>
        <w:t xml:space="preserve">Operational:</w:t>
      </w:r>
      <w:r>
        <w:rPr>
          <w:rFonts w:ascii="Times New Roman" w:cs="Times New Roman" w:eastAsia="Times New Roman" w:hAnsi="Times New Roman"/>
        </w:rPr>
        <w:t xml:space="preserve"> the system must not place trades or give personalised advice; it must work without the optional Upstox connection.</w:t>
      </w:r>
    </w:p>
    <w:p>
      <w:pPr>
        <w:pStyle w:val="ListParagraph"/>
        <w:numPr>
          <w:ilvl w:val="0"/>
          <w:numId w:val="3"/>
        </w:numPr>
        <w:spacing w:after="60" w:line="360"/>
        <w:jc w:val="both"/>
      </w:pPr>
      <w:r>
        <w:rPr>
          <w:rFonts w:ascii="Times New Roman" w:cs="Times New Roman" w:eastAsia="Times New Roman" w:hAnsi="Times New Roman"/>
          <w:b/>
          <w:bCs/>
        </w:rPr>
        <w:t xml:space="preserve">Time:</w:t>
      </w:r>
      <w:r>
        <w:rPr>
          <w:rFonts w:ascii="Times New Roman" w:cs="Times New Roman" w:eastAsia="Times New Roman" w:hAnsi="Times New Roman"/>
        </w:rPr>
        <w:t xml:space="preserve"> the project had to be completed within the semester, across four evaluation phases.</w:t>
      </w:r>
    </w:p>
    <w:p>
      <w:pPr>
        <w:pStyle w:val="ListParagraph"/>
        <w:numPr>
          <w:ilvl w:val="0"/>
          <w:numId w:val="3"/>
        </w:numPr>
        <w:spacing w:after="60" w:line="360"/>
        <w:jc w:val="both"/>
      </w:pPr>
      <w:r>
        <w:rPr>
          <w:rFonts w:ascii="Times New Roman" w:cs="Times New Roman" w:eastAsia="Times New Roman" w:hAnsi="Times New Roman"/>
          <w:b/>
          <w:bCs/>
        </w:rPr>
        <w:t xml:space="preserve">Assumptions:</w:t>
      </w:r>
      <w:r>
        <w:rPr>
          <w:rFonts w:ascii="Times New Roman" w:cs="Times New Roman" w:eastAsia="Times New Roman" w:hAnsi="Times New Roman"/>
        </w:rPr>
        <w:t xml:space="preserve"> factsheet data is accurate as published; AMFI NAVs are correct; users enter their own profile data truthfully; past return behaviour is informative about the future only to the degree the validation shows.</w:t>
      </w:r>
    </w:p>
    <w:p>
      <w:pPr>
        <w:pStyle w:val="Heading2"/>
        <w:keepNext/>
      </w:pPr>
      <w:bookmarkStart w:name="_Toc36" w:id="36"/>
      <w:r>
        <w:rPr>
          <w:rFonts w:ascii="Times New Roman" w:cs="Times New Roman" w:eastAsia="Times New Roman" w:hAnsi="Times New Roman"/>
        </w:rPr>
        <w:t xml:space="preserve">3.8 Use Cases and User Stories</w:t>
      </w:r>
      <w:bookmarkEnd w:id="36"/>
    </w:p>
    <w:p>
      <w:pPr>
        <w:spacing w:after="120" w:line="360"/>
        <w:jc w:val="both"/>
      </w:pPr>
      <w:r>
        <w:rPr>
          <w:rFonts w:ascii="Times New Roman" w:cs="Times New Roman" w:eastAsia="Times New Roman" w:hAnsi="Times New Roman"/>
        </w:rPr>
        <w:t xml:space="preserve">The use-case diagram is presented in Section 4.5. The main user stories and the system’s expected response are listed below.</w:t>
      </w:r>
    </w:p>
    <w:p>
      <w:pPr>
        <w:pStyle w:val="Caption"/>
        <w:spacing w:after="240" w:before="80"/>
        <w:jc w:val="center"/>
      </w:pPr>
      <w:r>
        <w:rPr>
          <w:rFonts w:ascii="Times New Roman" w:cs="Times New Roman" w:eastAsia="Times New Roman" w:hAnsi="Times New Roman"/>
          <w:b/>
          <w:bCs/>
        </w:rPr>
        <w:t xml:space="preserve">Table 3.</w:t>
      </w:r>
      <w:fldSimple w:instr="SEQ Table \* ARABIC \s 1">
        <w:r>
          <w:t xml:space="preserve">5</w:t>
        </w:r>
      </w:fldSimple>
      <w:r>
        <w:rPr>
          <w:rFonts w:ascii="Times New Roman" w:cs="Times New Roman" w:eastAsia="Times New Roman" w:hAnsi="Times New Roman"/>
        </w:rPr>
        <w:t xml:space="preserve">: User stories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1"/>
        <w:gridCol w:w="3530"/>
        <w:gridCol w:w="3115"/>
        <w:gridCol w:w="830"/>
      </w:tblGrid>
      <w:tr>
        <w:trPr>
          <w:tblHeader/>
        </w:trPr>
        <w:tc>
          <w:tcPr>
            <w:tcW w:type="dxa" w:w="83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ID</w:t>
            </w:r>
          </w:p>
        </w:tc>
        <w:tc>
          <w:tcPr>
            <w:tcW w:type="dxa" w:w="35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User story</w:t>
            </w:r>
          </w:p>
        </w:tc>
        <w:tc>
          <w:tcPr>
            <w:tcW w:type="dxa" w:w="311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Expected system response</w:t>
            </w:r>
          </w:p>
        </w:tc>
        <w:tc>
          <w:tcPr>
            <w:tcW w:type="dxa" w:w="8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Req.</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US-01</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an investor, I want to create an account so that my portfolio is private to me.</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Account created; tokens issued; other users cannot see my data.</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FR-01</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US-02</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an investor, I want to describe my situation once so that every analysis uses it.</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 saved and reused by filter and ARISE.</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FR-03</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US-03</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an investor, I want to see every scheme with a reason when it does not suit me.</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All 35 schemes listed; mismatches flagged with reasons.</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FR-04</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US-04</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an investor, I want to know how much my funds overlap in money, not just names.</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Jaccard and weighted overlap with shared holdings.</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FR-06</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US-05</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an investor, I want to know how many independent funds I really hold.</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N_eff, clusters and per-layer explanation.</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FR-07</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US-06</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an investor, I want to know how much I could lose on a bad day or week.</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VaR and ES in rupees with backtest evidence.</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FR-08</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US-07</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an investor, I want to know how likely my retirement plan is to last.</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Success estimate with 95% interval and strategy comparison.</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FR-09</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US-08</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an investor, I want to record purchases and see my gains and tax.</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Ledger, P&amp;L, XIRR and capital-gains tax.</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FR-10</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US-09</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 relationship manager, I want to send a note to a client.</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Notification appears in the client’s inbox.</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FR-11</w:t>
            </w:r>
          </w:p>
        </w:tc>
      </w:tr>
      <w:tr>
        <w:trPr>
          <w:cantSplit/>
        </w:trPr>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US-10</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 a developer, I want to refresh data and retrain models with one command.</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Verified data, retrained models, validation report.</w:t>
            </w:r>
          </w:p>
        </w:tc>
        <w:tc>
          <w:tcPr>
            <w:tcW w:type="dxa" w:w="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FR-12</w:t>
            </w:r>
          </w:p>
        </w:tc>
      </w:tr>
    </w:tbl>
    <w:p>
      <w:pPr>
        <w:spacing w:after="120"/>
      </w:pPr>
      <w:r>
        <w:rPr>
          <w:rFonts w:ascii="Times New Roman" w:cs="Times New Roman" w:eastAsia="Times New Roman" w:hAnsi="Times New Roman"/>
        </w:rPr>
        <w:t xml:space="preserve"/>
      </w:r>
    </w:p>
    <w:p>
      <w:pPr>
        <w:pageBreakBefore/>
        <w:spacing w:after="120"/>
        <w:jc w:val="center"/>
      </w:pPr>
      <w:r>
        <w:rPr>
          <w:rFonts w:ascii="Times New Roman" w:cs="Times New Roman" w:eastAsia="Times New Roman" w:hAnsi="Times New Roman"/>
          <w:b/>
          <w:bCs/>
          <w:sz w:val="28"/>
          <w:szCs w:val="28"/>
        </w:rPr>
        <w:t xml:space="preserve">CHAPTER 4</w:t>
      </w:r>
    </w:p>
    <w:p>
      <w:pPr>
        <w:pStyle w:val="Heading1"/>
        <w:jc w:val="center"/>
      </w:pPr>
      <w:bookmarkStart w:name="_Toc37" w:id="37"/>
      <w:r>
        <w:rPr>
          <w:rFonts w:ascii="Times New Roman" w:cs="Times New Roman" w:eastAsia="Times New Roman" w:hAnsi="Times New Roman"/>
        </w:rPr>
        <w:t xml:space="preserve">SYSTEM ARCHITECTURE AND DESIGN</w:t>
      </w:r>
      <w:bookmarkEnd w:id="37"/>
    </w:p>
    <w:p>
      <w:pPr>
        <w:spacing w:after="120" w:line="360"/>
        <w:jc w:val="both"/>
      </w:pPr>
      <w:r>
        <w:rPr>
          <w:rFonts w:ascii="Times New Roman" w:cs="Times New Roman" w:eastAsia="Times New Roman" w:hAnsi="Times New Roman"/>
        </w:rPr>
        <w:t xml:space="preserve">This chapter presents the design of the system: the overall architecture and its modules, the reasons for choosing it, the data flow diagrams, the UML diagrams, the database design and the security and error-handling design. Every diagram represents the system as built; differences between the conceptual diagrams and the implemented database are stated explicitly in Section 4.6.</w:t>
      </w:r>
    </w:p>
    <w:p>
      <w:pPr>
        <w:pStyle w:val="Heading2"/>
        <w:keepNext/>
      </w:pPr>
      <w:bookmarkStart w:name="_Toc38" w:id="38"/>
      <w:r>
        <w:rPr>
          <w:rFonts w:ascii="Times New Roman" w:cs="Times New Roman" w:eastAsia="Times New Roman" w:hAnsi="Times New Roman"/>
        </w:rPr>
        <w:t xml:space="preserve">4.1 Overall System Architecture</w:t>
      </w:r>
      <w:bookmarkEnd w:id="38"/>
    </w:p>
    <w:p>
      <w:pPr>
        <w:spacing w:after="120" w:line="360"/>
        <w:jc w:val="both"/>
      </w:pPr>
      <w:r>
        <w:rPr>
          <w:rFonts w:ascii="Times New Roman" w:cs="Times New Roman" w:eastAsia="Times New Roman" w:hAnsi="Times New Roman"/>
        </w:rPr>
        <w:t xml:space="preserve">The system is organised in layers. The client layer (a web browser on desktop, tablet or mobile) talks to the Next.js frontend over HTTPS. The frontend calls the FastAPI backend through REST APIs that exchange JSON. The backend is divided into services — authentication, user, scheme, portfolio, analysis, report and data — which share PostgreSQL/TimescaleDB for storage, Redis for caching, rate limiting and messaging, and Celery workers for background processing. External services supply mutual fund NAVs, market data and Upstox authentication.</w:t>
      </w:r>
    </w:p>
    <w:p>
      <w:pPr>
        <w:keepNext/>
        <w:spacing w:before="120"/>
        <w:jc w:val="center"/>
      </w:pPr>
      <w:r>
        <w:drawing>
          <wp:inline distT="0" distB="0" distL="0" distR="0">
            <wp:extent cx="5334000" cy="35528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1</w:t>
        </w:r>
      </w:fldSimple>
      <w:r>
        <w:rPr>
          <w:rFonts w:ascii="Times New Roman" w:cs="Times New Roman" w:eastAsia="Times New Roman" w:hAnsi="Times New Roman"/>
        </w:rPr>
        <w:t xml:space="preserve">: Overall System Architecture</w:t>
      </w:r>
    </w:p>
    <w:p>
      <w:pPr>
        <w:spacing w:after="120" w:line="360"/>
        <w:jc w:val="both"/>
      </w:pPr>
      <w:r>
        <w:rPr>
          <w:rFonts w:ascii="Times New Roman" w:cs="Times New Roman" w:eastAsia="Times New Roman" w:hAnsi="Times New Roman"/>
        </w:rPr>
        <w:t xml:space="preserve">The block diagram below expands the architecture into the layers and modules actually present in the code base: the API routers and middleware, the services, the five engines with their trained model artifacts, the data-access fallback chain, the infrastructure containers and the offline data and training pipeline.</w:t>
      </w:r>
    </w:p>
    <w:p>
      <w:pPr>
        <w:keepNext/>
        <w:spacing w:before="120"/>
        <w:jc w:val="center"/>
      </w:pPr>
      <w:r>
        <w:drawing>
          <wp:inline distT="0" distB="0" distL="0" distR="0">
            <wp:extent cx="4476750" cy="63436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634365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2</w:t>
        </w:r>
      </w:fldSimple>
      <w:r>
        <w:rPr>
          <w:rFonts w:ascii="Times New Roman" w:cs="Times New Roman" w:eastAsia="Times New Roman" w:hAnsi="Times New Roman"/>
        </w:rPr>
        <w:t xml:space="preserve">: Block diagram of the major modules and layers of the implemented system</w:t>
      </w:r>
    </w:p>
    <w:p>
      <w:pPr>
        <w:pStyle w:val="Heading2"/>
        <w:keepNext/>
      </w:pPr>
      <w:bookmarkStart w:name="_Toc39" w:id="39"/>
      <w:r>
        <w:rPr>
          <w:rFonts w:ascii="Times New Roman" w:cs="Times New Roman" w:eastAsia="Times New Roman" w:hAnsi="Times New Roman"/>
        </w:rPr>
        <w:t xml:space="preserve">4.2 Component and Module Description</w:t>
      </w:r>
      <w:bookmarkEnd w:id="39"/>
    </w:p>
    <w:p>
      <w:pPr>
        <w:pStyle w:val="Caption"/>
        <w:spacing w:after="240" w:before="80"/>
        <w:jc w:val="center"/>
      </w:pPr>
      <w:r>
        <w:rPr>
          <w:rFonts w:ascii="Times New Roman" w:cs="Times New Roman" w:eastAsia="Times New Roman" w:hAnsi="Times New Roman"/>
          <w:b/>
          <w:bCs/>
        </w:rPr>
        <w:t xml:space="preserve">Table 4.</w:t>
      </w:r>
      <w:fldSimple w:instr="SEQ Table \* ARABIC \s 1">
        <w:r>
          <w:t xml:space="preserve">1</w:t>
        </w:r>
      </w:fldSimple>
      <w:r>
        <w:rPr>
          <w:rFonts w:ascii="Times New Roman" w:cs="Times New Roman" w:eastAsia="Times New Roman" w:hAnsi="Times New Roman"/>
        </w:rPr>
        <w:t xml:space="preserve">: Components and modules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22"/>
        <w:gridCol w:w="2127"/>
        <w:gridCol w:w="1418"/>
        <w:gridCol w:w="1621"/>
        <w:gridCol w:w="1418"/>
      </w:tblGrid>
      <w:tr>
        <w:trPr>
          <w:tblHeader/>
        </w:trPr>
        <w:tc>
          <w:tcPr>
            <w:tcW w:type="dxa" w:w="172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Module</w:t>
            </w:r>
          </w:p>
        </w:tc>
        <w:tc>
          <w:tcPr>
            <w:tcW w:type="dxa" w:w="212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Purpose</w:t>
            </w:r>
          </w:p>
        </w:tc>
        <w:tc>
          <w:tcPr>
            <w:tcW w:type="dxa" w:w="141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Inputs</w:t>
            </w:r>
          </w:p>
        </w:tc>
        <w:tc>
          <w:tcPr>
            <w:tcW w:type="dxa" w:w="1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Outputs</w:t>
            </w:r>
          </w:p>
        </w:tc>
        <w:tc>
          <w:tcPr>
            <w:tcW w:type="dxa" w:w="141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Depends on</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Web client (Next.js)</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Screens, forms, charts, 3D landing page</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 actions; API JSON</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HTTP requests; rendered pages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 TanStack Query</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 layer (FastAPI routers)</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47 REST operations under /api/v1, validation, auth</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HTTP requests</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JSON responses, status codes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Services, Pydantic schemas</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Middleware</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Request ID, JSON logging, rate limiting, CORS, error mapping</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Every request</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Headers, 429 / 4xx / 5xx bodies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Redis</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Auth service</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Register, login, token rotation, reuse detection</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Credentials, refresh token</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JWT pair</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users, refresh_tokens</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 and scheme services</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 CRUD, filtering, selection, allocation</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 scheme IDs, weights</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Filter result, selection</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Filter engine, DB</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Filter engine</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Hard blocks and soft flags per scheme</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 scheme metadata</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35 schemes with flags and reasons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schemes_metadata.json</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 engine</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Jaccard and weighted overlap, shared holdings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IDs</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Pair matrix, network edges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sample_holdings.json</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engine (v3)</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Predicted co-movement, Shapley, N_eff, clusters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IDs, weights</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Pair scores, N_eff, clusters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Returns, holdings, plos3 artifact</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engine (v2)</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Volatility forecast, VaR/ES, backtests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IDs, weights</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metrics, VaR/ES, regime</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Returns, risk2 artifact</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engine (v5)</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Monte Carlo retirement projection</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 selection, strategy</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Success estimate, paths, strategy table</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Portfolio statistics, arise_cal artifact</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Portfolio accounting</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Ledger, FIFO lots, P&amp;L, XIRR, tax</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Transactions, NAVs</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Holdings, gains, tax</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transactions, NAV loader</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Market data loader</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Return series with five-tier fallback</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ID, period</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ReturnsData with source label</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files, AMFI, Yahoo, Upstox</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Reports and notifications</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PDF reports; RM messages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Selection; message</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PDF file; inbox items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reports, notifications</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Celery worker and beat</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Nightly NAV / price refresh, holdings refresh</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Schedule</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Rows in TimescaleDB</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Redis broker, DB</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Upstox feed worker</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Live quotes over WebSocket</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Upstox feed (protobuf)</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Quotes published to Redis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Upstox API, Redis</w:t>
            </w:r>
          </w:p>
        </w:tc>
      </w:tr>
      <w:tr>
        <w:trPr>
          <w:cantSplit/>
        </w:trPr>
        <w:tc>
          <w:tcPr>
            <w:tcW w:type="dxa" w:w="17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Offline pipeline</w:t>
            </w:r>
          </w:p>
        </w:tc>
        <w:tc>
          <w:tcPr>
            <w:tcW w:type="dxa" w:w="21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Fetch and verify data; train and validate models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Public data</w:t>
            </w:r>
          </w:p>
        </w:tc>
        <w:tc>
          <w:tcPr>
            <w:tcW w:type="dxa" w:w="1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files, JSON artifacts, metrics</w:t>
            </w:r>
          </w:p>
        </w:tc>
        <w:tc>
          <w:tcPr>
            <w:tcW w:type="dxa" w:w="14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scripts/</w:t>
            </w:r>
          </w:p>
        </w:tc>
      </w:tr>
    </w:tbl>
    <w:p>
      <w:pPr>
        <w:spacing w:after="120"/>
      </w:pPr>
      <w:r>
        <w:rPr>
          <w:rFonts w:ascii="Times New Roman" w:cs="Times New Roman" w:eastAsia="Times New Roman" w:hAnsi="Times New Roman"/>
        </w:rPr>
        <w:t xml:space="preserve"/>
      </w:r>
    </w:p>
    <w:p>
      <w:pPr>
        <w:pStyle w:val="Heading2"/>
        <w:keepNext/>
      </w:pPr>
      <w:bookmarkStart w:name="_Toc40" w:id="40"/>
      <w:r>
        <w:rPr>
          <w:rFonts w:ascii="Times New Roman" w:cs="Times New Roman" w:eastAsia="Times New Roman" w:hAnsi="Times New Roman"/>
        </w:rPr>
        <w:t xml:space="preserve">4.3 Architecture Selection and Justification</w:t>
      </w:r>
      <w:bookmarkEnd w:id="40"/>
    </w:p>
    <w:p>
      <w:pPr>
        <w:spacing w:after="120" w:line="360"/>
        <w:jc w:val="both"/>
      </w:pPr>
      <w:r>
        <w:rPr>
          <w:rFonts w:ascii="Times New Roman" w:cs="Times New Roman" w:eastAsia="Times New Roman" w:hAnsi="Times New Roman"/>
        </w:rPr>
        <w:t xml:space="preserve">A </w:t>
      </w:r>
      <w:r>
        <w:rPr>
          <w:rFonts w:ascii="Times New Roman" w:cs="Times New Roman" w:eastAsia="Times New Roman" w:hAnsi="Times New Roman"/>
          <w:b/>
          <w:bCs/>
        </w:rPr>
        <w:t xml:space="preserve">layered client–server architecture organised as a modular monolith, with asynchronous background workers,</w:t>
      </w:r>
      <w:r>
        <w:rPr>
          <w:rFonts w:ascii="Times New Roman" w:cs="Times New Roman" w:eastAsia="Times New Roman" w:hAnsi="Times New Roman"/>
        </w:rPr>
        <w:t xml:space="preserve"> was selected. The reasons are:</w:t>
      </w:r>
    </w:p>
    <w:p>
      <w:pPr>
        <w:pStyle w:val="ListParagraph"/>
        <w:numPr>
          <w:ilvl w:val="0"/>
          <w:numId w:val="3"/>
        </w:numPr>
        <w:spacing w:after="60" w:line="360"/>
        <w:jc w:val="both"/>
      </w:pPr>
      <w:r>
        <w:rPr>
          <w:rFonts w:ascii="Times New Roman" w:cs="Times New Roman" w:eastAsia="Times New Roman" w:hAnsi="Times New Roman"/>
          <w:b/>
          <w:bCs/>
        </w:rPr>
        <w:t xml:space="preserve">Layering</w:t>
      </w:r>
      <w:r>
        <w:rPr>
          <w:rFonts w:ascii="Times New Roman" w:cs="Times New Roman" w:eastAsia="Times New Roman" w:hAnsi="Times New Roman"/>
        </w:rPr>
        <w:t xml:space="preserve"> (presentation → API → services → engines → data access → infrastructure) keeps each layer testable: the engines are pure Python with no I/O in their signatures, so they are unit-tested without a server or database.</w:t>
      </w:r>
    </w:p>
    <w:p>
      <w:pPr>
        <w:pStyle w:val="ListParagraph"/>
        <w:numPr>
          <w:ilvl w:val="0"/>
          <w:numId w:val="3"/>
        </w:numPr>
        <w:spacing w:after="60" w:line="360"/>
        <w:jc w:val="both"/>
      </w:pPr>
      <w:r>
        <w:rPr>
          <w:rFonts w:ascii="Times New Roman" w:cs="Times New Roman" w:eastAsia="Times New Roman" w:hAnsi="Times New Roman"/>
          <w:b/>
          <w:bCs/>
        </w:rPr>
        <w:t xml:space="preserve">Client–server over REST</w:t>
      </w:r>
      <w:r>
        <w:rPr>
          <w:rFonts w:ascii="Times New Roman" w:cs="Times New Roman" w:eastAsia="Times New Roman" w:hAnsi="Times New Roman"/>
        </w:rPr>
        <w:t xml:space="preserve"> lets the web client, the interactive API documentation and the test suite use the same interface; the API is stateless, so additional uvicorn workers or replicas can be added without code changes.</w:t>
      </w:r>
    </w:p>
    <w:p>
      <w:pPr>
        <w:pStyle w:val="ListParagraph"/>
        <w:numPr>
          <w:ilvl w:val="0"/>
          <w:numId w:val="3"/>
        </w:numPr>
        <w:spacing w:after="60" w:line="360"/>
        <w:jc w:val="both"/>
      </w:pPr>
      <w:r>
        <w:rPr>
          <w:rFonts w:ascii="Times New Roman" w:cs="Times New Roman" w:eastAsia="Times New Roman" w:hAnsi="Times New Roman"/>
          <w:b/>
          <w:bCs/>
        </w:rPr>
        <w:t xml:space="preserve">A modular monolith rather than microservices.</w:t>
      </w:r>
      <w:r>
        <w:rPr>
          <w:rFonts w:ascii="Times New Roman" w:cs="Times New Roman" w:eastAsia="Times New Roman" w:hAnsi="Times New Roman"/>
        </w:rPr>
        <w:t xml:space="preserve"> The engines share large in-memory data (holdings, return series, model artifacts). Splitting them into network services would add serialisation cost and operational complexity without benefit at this scale; module boundaries are kept clean so that a heavy engine could be extracted later.</w:t>
      </w:r>
    </w:p>
    <w:p>
      <w:pPr>
        <w:pStyle w:val="ListParagraph"/>
        <w:numPr>
          <w:ilvl w:val="0"/>
          <w:numId w:val="3"/>
        </w:numPr>
        <w:spacing w:after="60" w:line="360"/>
        <w:jc w:val="both"/>
      </w:pPr>
      <w:r>
        <w:rPr>
          <w:rFonts w:ascii="Times New Roman" w:cs="Times New Roman" w:eastAsia="Times New Roman" w:hAnsi="Times New Roman"/>
          <w:b/>
          <w:bCs/>
        </w:rPr>
        <w:t xml:space="preserve">Event-driven background work.</w:t>
      </w:r>
      <w:r>
        <w:rPr>
          <w:rFonts w:ascii="Times New Roman" w:cs="Times New Roman" w:eastAsia="Times New Roman" w:hAnsi="Times New Roman"/>
        </w:rPr>
        <w:t xml:space="preserve"> Data refresh and holdings updates run in Celery workers triggered by schedules (Celery beat), and live quotes arrive from a separate feed worker through Redis publish/subscribe, so slow external calls never block user requests.</w:t>
      </w:r>
    </w:p>
    <w:p>
      <w:pPr>
        <w:pStyle w:val="ListParagraph"/>
        <w:numPr>
          <w:ilvl w:val="0"/>
          <w:numId w:val="3"/>
        </w:numPr>
        <w:spacing w:after="60" w:line="360"/>
        <w:jc w:val="both"/>
      </w:pPr>
      <w:r>
        <w:rPr>
          <w:rFonts w:ascii="Times New Roman" w:cs="Times New Roman" w:eastAsia="Times New Roman" w:hAnsi="Times New Roman"/>
          <w:b/>
          <w:bCs/>
        </w:rPr>
        <w:t xml:space="preserve">CPU-bound engines run on worker threads</w:t>
      </w:r>
      <w:r>
        <w:rPr>
          <w:rFonts w:ascii="Times New Roman" w:cs="Times New Roman" w:eastAsia="Times New Roman" w:hAnsi="Times New Roman"/>
        </w:rPr>
        <w:t xml:space="preserve"> (anyio.to_thread) so that a long Monte Carlo run does not block the asynchronous event loop that serves other users.</w:t>
      </w:r>
    </w:p>
    <w:p>
      <w:pPr>
        <w:spacing w:after="120" w:line="360"/>
        <w:jc w:val="both"/>
      </w:pPr>
      <w:r>
        <w:rPr>
          <w:rFonts w:ascii="Times New Roman" w:cs="Times New Roman" w:eastAsia="Times New Roman" w:hAnsi="Times New Roman"/>
        </w:rPr>
        <w:t xml:space="preserve">Alternatives considered were a pure serverless design (rejected: cold starts and execution-time limits are unsuitable for multi-second simulations with large in-memory data) and a separate model-serving service (rejected for now: models are small JSON artifacts loaded in-process in milliseconds).</w:t>
      </w:r>
    </w:p>
    <w:p>
      <w:pPr>
        <w:pStyle w:val="Heading2"/>
        <w:keepNext/>
      </w:pPr>
      <w:bookmarkStart w:name="_Toc41" w:id="41"/>
      <w:r>
        <w:rPr>
          <w:rFonts w:ascii="Times New Roman" w:cs="Times New Roman" w:eastAsia="Times New Roman" w:hAnsi="Times New Roman"/>
        </w:rPr>
        <w:t xml:space="preserve">4.4 Data Flow Diagrams</w:t>
      </w:r>
      <w:bookmarkEnd w:id="41"/>
    </w:p>
    <w:p>
      <w:pPr>
        <w:spacing w:after="120" w:line="360"/>
        <w:jc w:val="both"/>
      </w:pPr>
      <w:r>
        <w:rPr>
          <w:rFonts w:ascii="Times New Roman" w:cs="Times New Roman" w:eastAsia="Times New Roman" w:hAnsi="Times New Roman"/>
        </w:rPr>
        <w:t xml:space="preserve">The context-level diagram treats the system as a single process and shows every data flow between it and the external entities: the investor, the market data provider, the authentication service and the database.</w:t>
      </w:r>
    </w:p>
    <w:p>
      <w:pPr>
        <w:keepNext/>
        <w:spacing w:before="120"/>
        <w:jc w:val="center"/>
      </w:pPr>
      <w:r>
        <w:drawing>
          <wp:inline distT="0" distB="0" distL="0" distR="0">
            <wp:extent cx="5334000" cy="26670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3</w:t>
        </w:r>
      </w:fldSimple>
      <w:r>
        <w:rPr>
          <w:rFonts w:ascii="Times New Roman" w:cs="Times New Roman" w:eastAsia="Times New Roman" w:hAnsi="Times New Roman"/>
        </w:rPr>
        <w:t xml:space="preserve">: Context-Level Data Flow Diagram</w:t>
      </w:r>
    </w:p>
    <w:p>
      <w:pPr>
        <w:spacing w:after="120" w:line="360"/>
        <w:jc w:val="both"/>
      </w:pPr>
      <w:r>
        <w:rPr>
          <w:rFonts w:ascii="Times New Roman" w:cs="Times New Roman" w:eastAsia="Times New Roman" w:hAnsi="Times New Roman"/>
        </w:rPr>
        <w:t xml:space="preserve">The level-1 diagram decomposes the system into six processes — user management, scheme discovery and selection, portfolio creation and transactions, holdings and accounting, portfolio analysis (with its four analysis engines) and report generation — and the data stores they use.</w:t>
      </w:r>
    </w:p>
    <w:p>
      <w:pPr>
        <w:keepNext/>
        <w:spacing w:before="120"/>
        <w:jc w:val="center"/>
      </w:pPr>
      <w:r>
        <w:drawing>
          <wp:inline distT="0" distB="0" distL="0" distR="0">
            <wp:extent cx="5334000" cy="35528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4</w:t>
        </w:r>
      </w:fldSimple>
      <w:r>
        <w:rPr>
          <w:rFonts w:ascii="Times New Roman" w:cs="Times New Roman" w:eastAsia="Times New Roman" w:hAnsi="Times New Roman"/>
        </w:rPr>
        <w:t xml:space="preserve">: Level 1 Data Flow Diagram</w:t>
      </w:r>
    </w:p>
    <w:p>
      <w:pPr>
        <w:pStyle w:val="Heading2"/>
        <w:keepNext/>
      </w:pPr>
      <w:bookmarkStart w:name="_Toc42" w:id="42"/>
      <w:r>
        <w:rPr>
          <w:rFonts w:ascii="Times New Roman" w:cs="Times New Roman" w:eastAsia="Times New Roman" w:hAnsi="Times New Roman"/>
        </w:rPr>
        <w:t xml:space="preserve">4.5 UML Diagrams</w:t>
      </w:r>
      <w:bookmarkEnd w:id="42"/>
    </w:p>
    <w:p>
      <w:pPr>
        <w:pStyle w:val="Heading3"/>
        <w:keepNext/>
      </w:pPr>
      <w:r>
        <w:rPr>
          <w:rFonts w:ascii="Times New Roman" w:cs="Times New Roman" w:eastAsia="Times New Roman" w:hAnsi="Times New Roman"/>
        </w:rPr>
        <w:t xml:space="preserve">4.5.1 Use Case Diagram</w:t>
      </w:r>
    </w:p>
    <w:p>
      <w:pPr>
        <w:spacing w:after="120" w:line="360"/>
        <w:jc w:val="both"/>
      </w:pPr>
      <w:r>
        <w:rPr>
          <w:rFonts w:ascii="Times New Roman" w:cs="Times New Roman" w:eastAsia="Times New Roman" w:hAnsi="Times New Roman"/>
        </w:rPr>
        <w:t xml:space="preserve">The investor is the primary actor and initiates every analytical use case. Include relationships show mandatory sub-functions (for example, login includes authentication and session management) and extend relationships show optional behaviour (for example, filtering by risk level, category or goal). Secondary actors are the system administrator, the market data provider, the mutual fund data source and Upstox.</w:t>
      </w:r>
    </w:p>
    <w:p>
      <w:pPr>
        <w:keepNext/>
        <w:spacing w:before="120"/>
        <w:jc w:val="center"/>
      </w:pPr>
      <w:r>
        <w:drawing>
          <wp:inline distT="0" distB="0" distL="0" distR="0">
            <wp:extent cx="5334000" cy="35528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5</w:t>
        </w:r>
      </w:fldSimple>
      <w:r>
        <w:rPr>
          <w:rFonts w:ascii="Times New Roman" w:cs="Times New Roman" w:eastAsia="Times New Roman" w:hAnsi="Times New Roman"/>
        </w:rPr>
        <w:t xml:space="preserve">: Use Case Diagram</w:t>
      </w:r>
    </w:p>
    <w:p>
      <w:pPr>
        <w:pStyle w:val="Heading3"/>
        <w:keepNext/>
      </w:pPr>
      <w:r>
        <w:rPr>
          <w:rFonts w:ascii="Times New Roman" w:cs="Times New Roman" w:eastAsia="Times New Roman" w:hAnsi="Times New Roman"/>
        </w:rPr>
        <w:t xml:space="preserve">4.5.2 Class Diagram</w:t>
      </w:r>
    </w:p>
    <w:p>
      <w:pPr>
        <w:spacing w:after="120" w:line="360"/>
        <w:jc w:val="both"/>
      </w:pPr>
      <w:r>
        <w:rPr>
          <w:rFonts w:ascii="Times New Roman" w:cs="Times New Roman" w:eastAsia="Times New Roman" w:hAnsi="Times New Roman"/>
        </w:rPr>
        <w:t xml:space="preserve">The class diagram shows the domain classes (user, investor profile, scheme, scheme selection, transaction, holding, report and Upstox connection) with their attributes, operations, associations and multiplicities, together with the analysis service and the overlap, PLOS, risk, ARISE, filter and market-data components it coordinates.</w:t>
      </w:r>
    </w:p>
    <w:p>
      <w:pPr>
        <w:keepNext/>
        <w:spacing w:before="120"/>
        <w:jc w:val="center"/>
      </w:pPr>
      <w:r>
        <w:drawing>
          <wp:inline distT="0" distB="0" distL="0" distR="0">
            <wp:extent cx="5334000" cy="35528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528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6</w:t>
        </w:r>
      </w:fldSimple>
      <w:r>
        <w:rPr>
          <w:rFonts w:ascii="Times New Roman" w:cs="Times New Roman" w:eastAsia="Times New Roman" w:hAnsi="Times New Roman"/>
        </w:rPr>
        <w:t xml:space="preserve">: Class Diagram</w:t>
      </w:r>
    </w:p>
    <w:p>
      <w:pPr>
        <w:pStyle w:val="Heading3"/>
        <w:keepNext/>
      </w:pPr>
      <w:r>
        <w:rPr>
          <w:rFonts w:ascii="Times New Roman" w:cs="Times New Roman" w:eastAsia="Times New Roman" w:hAnsi="Times New Roman"/>
        </w:rPr>
        <w:t xml:space="preserve">4.5.3 Sequence Diagram</w:t>
      </w:r>
    </w:p>
    <w:p>
      <w:pPr>
        <w:spacing w:after="120" w:line="360"/>
        <w:jc w:val="both"/>
      </w:pPr>
      <w:r>
        <w:rPr>
          <w:rFonts w:ascii="Times New Roman" w:cs="Times New Roman" w:eastAsia="Times New Roman" w:hAnsi="Times New Roman"/>
        </w:rPr>
        <w:t xml:space="preserve">The sequence diagram traces the complete portfolio-analysis workflow in six phases — authentication, investor profile, scheme discovery and selection, portfolio creation and transactions, portfolio analysis and report generation — using alt, loop and par fragments for alternative paths, repeated transactions and the four engines.</w:t>
      </w:r>
    </w:p>
    <w:p>
      <w:pPr>
        <w:keepNext/>
        <w:spacing w:before="120"/>
        <w:jc w:val="center"/>
      </w:pPr>
      <w:r>
        <w:drawing>
          <wp:inline distT="0" distB="0" distL="0" distR="0">
            <wp:extent cx="5334000" cy="35528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528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7</w:t>
        </w:r>
      </w:fldSimple>
      <w:r>
        <w:rPr>
          <w:rFonts w:ascii="Times New Roman" w:cs="Times New Roman" w:eastAsia="Times New Roman" w:hAnsi="Times New Roman"/>
        </w:rPr>
        <w:t xml:space="preserve">: Sequence Diagram: Complete Portfolio Analysis Workflow</w:t>
      </w:r>
    </w:p>
    <w:p>
      <w:pPr>
        <w:pStyle w:val="Heading3"/>
        <w:keepNext/>
      </w:pPr>
      <w:r>
        <w:rPr>
          <w:rFonts w:ascii="Times New Roman" w:cs="Times New Roman" w:eastAsia="Times New Roman" w:hAnsi="Times New Roman"/>
        </w:rPr>
        <w:t xml:space="preserve">4.5.4 Collaboration Diagram</w:t>
      </w:r>
    </w:p>
    <w:p>
      <w:pPr>
        <w:spacing w:after="120" w:line="360"/>
        <w:jc w:val="both"/>
      </w:pPr>
      <w:r>
        <w:rPr>
          <w:rFonts w:ascii="Times New Roman" w:cs="Times New Roman" w:eastAsia="Times New Roman" w:hAnsi="Times New Roman"/>
        </w:rPr>
        <w:t xml:space="preserve">The collaboration diagram shows the same interaction organised around the objects instead of time, with numbered messages between the investor, frontend, services, analysis engines, market data provider and database.</w:t>
      </w:r>
    </w:p>
    <w:p>
      <w:pPr>
        <w:keepNext/>
        <w:spacing w:before="120"/>
        <w:jc w:val="center"/>
      </w:pPr>
      <w:r>
        <w:drawing>
          <wp:inline distT="0" distB="0" distL="0" distR="0">
            <wp:extent cx="5334000" cy="35528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528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8</w:t>
        </w:r>
      </w:fldSimple>
      <w:r>
        <w:rPr>
          <w:rFonts w:ascii="Times New Roman" w:cs="Times New Roman" w:eastAsia="Times New Roman" w:hAnsi="Times New Roman"/>
        </w:rPr>
        <w:t xml:space="preserve">: Collaboration Diagram: Complete Portfolio Analysis Workflow</w:t>
      </w:r>
    </w:p>
    <w:p>
      <w:pPr>
        <w:pStyle w:val="Heading3"/>
        <w:keepNext/>
      </w:pPr>
      <w:r>
        <w:rPr>
          <w:rFonts w:ascii="Times New Roman" w:cs="Times New Roman" w:eastAsia="Times New Roman" w:hAnsi="Times New Roman"/>
        </w:rPr>
        <w:t xml:space="preserve">4.5.5 Activity Diagram</w:t>
      </w:r>
    </w:p>
    <w:p>
      <w:pPr>
        <w:spacing w:after="120" w:line="360"/>
        <w:jc w:val="both"/>
      </w:pPr>
      <w:r>
        <w:rPr>
          <w:rFonts w:ascii="Times New Roman" w:cs="Times New Roman" w:eastAsia="Times New Roman" w:hAnsi="Times New Roman"/>
        </w:rPr>
        <w:t xml:space="preserve">The activity diagram uses swimlanes for the investor, the system and external services, with decision nodes for credential validation, profile completeness and allocation validity, and a fork and join for the four analyses.</w:t>
      </w:r>
    </w:p>
    <w:p>
      <w:pPr>
        <w:keepNext/>
        <w:spacing w:before="120"/>
        <w:jc w:val="center"/>
      </w:pPr>
      <w:r>
        <w:drawing>
          <wp:inline distT="0" distB="0" distL="0" distR="0">
            <wp:extent cx="3810000" cy="571500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57150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9</w:t>
        </w:r>
      </w:fldSimple>
      <w:r>
        <w:rPr>
          <w:rFonts w:ascii="Times New Roman" w:cs="Times New Roman" w:eastAsia="Times New Roman" w:hAnsi="Times New Roman"/>
        </w:rPr>
        <w:t xml:space="preserve">: Activity Diagram: Complete Portfolio Workflow</w:t>
      </w:r>
    </w:p>
    <w:p>
      <w:pPr>
        <w:pStyle w:val="Heading3"/>
        <w:keepNext/>
      </w:pPr>
      <w:r>
        <w:rPr>
          <w:rFonts w:ascii="Times New Roman" w:cs="Times New Roman" w:eastAsia="Times New Roman" w:hAnsi="Times New Roman"/>
        </w:rPr>
        <w:t xml:space="preserve">4.5.6 State Machine Diagrams</w:t>
      </w:r>
    </w:p>
    <w:p>
      <w:pPr>
        <w:spacing w:after="120" w:line="360"/>
        <w:jc w:val="both"/>
      </w:pPr>
      <w:r>
        <w:rPr>
          <w:rFonts w:ascii="Times New Roman" w:cs="Times New Roman" w:eastAsia="Times New Roman" w:hAnsi="Times New Roman"/>
        </w:rPr>
        <w:t xml:space="preserve">Three objects in the system have an explicit life cycle. (a) An investor account becomes analysable only after a profile, a selection and an allocation exist; an analysis requested earlier is rejected with a 4xx status and the state does not change. (b) A refresh token is active until it is used, logged out or expires; using it rotates it, and presenting a rotated or revoked token again is treated as theft, which revokes every token of that user. (c) A PDF report is created in the generating state and ends as completed or failed.</w:t>
      </w:r>
    </w:p>
    <w:p>
      <w:pPr>
        <w:keepNext/>
        <w:spacing w:before="120"/>
        <w:jc w:val="center"/>
      </w:pPr>
      <w:r>
        <w:drawing>
          <wp:inline distT="0" distB="0" distL="0" distR="0">
            <wp:extent cx="4476750" cy="486727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486727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10</w:t>
        </w:r>
      </w:fldSimple>
      <w:r>
        <w:rPr>
          <w:rFonts w:ascii="Times New Roman" w:cs="Times New Roman" w:eastAsia="Times New Roman" w:hAnsi="Times New Roman"/>
        </w:rPr>
        <w:t xml:space="preserve">: State machine diagrams: account, refresh token and report</w:t>
      </w:r>
    </w:p>
    <w:p>
      <w:pPr>
        <w:pStyle w:val="Heading3"/>
        <w:keepNext/>
      </w:pPr>
      <w:r>
        <w:rPr>
          <w:rFonts w:ascii="Times New Roman" w:cs="Times New Roman" w:eastAsia="Times New Roman" w:hAnsi="Times New Roman"/>
        </w:rPr>
        <w:t xml:space="preserve">4.5.7 Deployment Diagram</w:t>
      </w:r>
    </w:p>
    <w:p>
      <w:pPr>
        <w:spacing w:after="120" w:line="360"/>
        <w:jc w:val="both"/>
      </w:pPr>
      <w:r>
        <w:rPr>
          <w:rFonts w:ascii="Times New Roman" w:cs="Times New Roman" w:eastAsia="Times New Roman" w:hAnsi="Times New Roman"/>
        </w:rPr>
        <w:t xml:space="preserve">All components run as Docker containers defined in one compose file. The web container (Node 20, non-root user) serves Next.js on port 3400; the API container (Python 3.12, uvicorn with four worker processes) serves FastAPI on port 8000; Celery worker, Celery beat and the Upstox feed worker run alongside; PostgreSQL 16 with TimescaleDB 2.28 and Redis 7 keep their data in named volumes.</w:t>
      </w:r>
    </w:p>
    <w:p>
      <w:pPr>
        <w:keepNext/>
        <w:spacing w:before="120"/>
        <w:jc w:val="center"/>
      </w:pPr>
      <w:r>
        <w:drawing>
          <wp:inline distT="0" distB="0" distL="0" distR="0">
            <wp:extent cx="5334000" cy="35909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5909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11</w:t>
        </w:r>
      </w:fldSimple>
      <w:r>
        <w:rPr>
          <w:rFonts w:ascii="Times New Roman" w:cs="Times New Roman" w:eastAsia="Times New Roman" w:hAnsi="Times New Roman"/>
        </w:rPr>
        <w:t xml:space="preserve">: Deployment diagram (Docker Compose)</w:t>
      </w:r>
    </w:p>
    <w:p>
      <w:pPr>
        <w:pStyle w:val="Heading2"/>
        <w:keepNext/>
      </w:pPr>
      <w:bookmarkStart w:name="_Toc43" w:id="43"/>
      <w:r>
        <w:rPr>
          <w:rFonts w:ascii="Times New Roman" w:cs="Times New Roman" w:eastAsia="Times New Roman" w:hAnsi="Times New Roman"/>
        </w:rPr>
        <w:t xml:space="preserve">4.6 Database Design</w:t>
      </w:r>
      <w:bookmarkEnd w:id="43"/>
    </w:p>
    <w:p>
      <w:pPr>
        <w:pStyle w:val="Heading3"/>
        <w:keepNext/>
      </w:pPr>
      <w:r>
        <w:rPr>
          <w:rFonts w:ascii="Times New Roman" w:cs="Times New Roman" w:eastAsia="Times New Roman" w:hAnsi="Times New Roman"/>
        </w:rPr>
        <w:t xml:space="preserve">4.6.1 Entity-Relationship Diagram</w:t>
      </w:r>
    </w:p>
    <w:p>
      <w:pPr>
        <w:spacing w:after="120" w:line="360"/>
        <w:jc w:val="both"/>
      </w:pPr>
      <w:r>
        <w:rPr>
          <w:rFonts w:ascii="Times New Roman" w:cs="Times New Roman" w:eastAsia="Times New Roman" w:hAnsi="Times New Roman"/>
        </w:rPr>
        <w:t xml:space="preserve">The conceptual ER diagram models users, investor profiles, scheme selections, schemes, transactions, holdings, market data, analysis results, reports and the external Upstox connection with their keys and cardinalities.</w:t>
      </w:r>
    </w:p>
    <w:p>
      <w:pPr>
        <w:keepNext/>
        <w:spacing w:before="120"/>
        <w:jc w:val="center"/>
      </w:pPr>
      <w:r>
        <w:drawing>
          <wp:inline distT="0" distB="0" distL="0" distR="0">
            <wp:extent cx="5334000" cy="35528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528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4.</w:t>
      </w:r>
      <w:fldSimple w:instr="SEQ Figure \* ARABIC \s 1">
        <w:r>
          <w:t xml:space="preserve">12</w:t>
        </w:r>
      </w:fldSimple>
      <w:r>
        <w:rPr>
          <w:rFonts w:ascii="Times New Roman" w:cs="Times New Roman" w:eastAsia="Times New Roman" w:hAnsi="Times New Roman"/>
        </w:rPr>
        <w:t xml:space="preserve">: Entity-Relationship Diagram (conceptual)</w:t>
      </w:r>
    </w:p>
    <w:p>
      <w:pPr>
        <w:spacing w:after="120" w:line="360"/>
        <w:jc w:val="both"/>
      </w:pPr>
      <w:r>
        <w:rPr>
          <w:rFonts w:ascii="Times New Roman" w:cs="Times New Roman" w:eastAsia="Times New Roman" w:hAnsi="Times New Roman"/>
        </w:rPr>
        <w:t xml:space="preserve">In the implementation, three of the conceptual entities are not database tables. Scheme metadata and factsheet holdings are versioned data files (schemes_metadata.json and sample_holdings.json) loaded into memory, because they change only when factsheets are re-imported; holdings positions are computed from the transaction ledger (Section 5.2) instead of being stored as running balances, so a back-dated correction cannot make them drift; and analysis results are computed on request rather than persisted. Market data is stored in the TimescaleDB tables listed below.</w:t>
      </w:r>
    </w:p>
    <w:p>
      <w:pPr>
        <w:pStyle w:val="Heading3"/>
        <w:keepNext/>
      </w:pPr>
      <w:r>
        <w:rPr>
          <w:rFonts w:ascii="Times New Roman" w:cs="Times New Roman" w:eastAsia="Times New Roman" w:hAnsi="Times New Roman"/>
        </w:rPr>
        <w:t xml:space="preserve">4.6.2 Relational Schema with Keys</w:t>
      </w:r>
    </w:p>
    <w:p>
      <w:pPr>
        <w:pStyle w:val="Caption"/>
        <w:spacing w:after="240" w:before="80"/>
        <w:jc w:val="center"/>
      </w:pPr>
      <w:r>
        <w:rPr>
          <w:rFonts w:ascii="Times New Roman" w:cs="Times New Roman" w:eastAsia="Times New Roman" w:hAnsi="Times New Roman"/>
          <w:b/>
          <w:bCs/>
        </w:rPr>
        <w:t xml:space="preserve">Table 4.</w:t>
      </w:r>
      <w:fldSimple w:instr="SEQ Table \* ARABIC \s 1">
        <w:r>
          <w:t xml:space="preserve">2</w:t>
        </w:r>
      </w:fldSimple>
      <w:r>
        <w:rPr>
          <w:rFonts w:ascii="Times New Roman" w:cs="Times New Roman" w:eastAsia="Times New Roman" w:hAnsi="Times New Roman"/>
        </w:rPr>
        <w:t xml:space="preserve">: Relational schema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1246"/>
        <w:gridCol w:w="2180"/>
        <w:gridCol w:w="3219"/>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Table</w:t>
            </w:r>
          </w:p>
        </w:tc>
        <w:tc>
          <w:tcPr>
            <w:tcW w:type="dxa" w:w="1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Primary key</w:t>
            </w:r>
          </w:p>
        </w:tc>
        <w:tc>
          <w:tcPr>
            <w:tcW w:type="dxa" w:w="21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Foreign keys</w:t>
            </w:r>
          </w:p>
        </w:tc>
        <w:tc>
          <w:tcPr>
            <w:tcW w:type="dxa" w:w="32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Other columns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 (UUID)</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email (unique), hashed_password, full_name, role, is_active, created_at, updated_at</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refresh_tokens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user_id → users.id (cascade)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jti (unique), expires_at, revoked_at, created_at</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investor_profiles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user_id → users.id (unique, cascade)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date_of_birth, occupation, monthly_income, total_corpus, investment_amount, goal, risk_appetite, target_retirement_age, monthly_expenses_in_retirement, monthly_sip, sip_step_up_pct</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scheme_selections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user_id → users.id (unique, cascade)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selected_scheme_ids (JSON), weights (JSON)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user_id → users.id (cascade)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scheme_id, txn_type, units NUMERIC(18,4), nav NUMERIC(14,4), amount NUMERIC(18,2), txn_date, external_ref</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reports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user_id → users.id (cascade)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status, scheme_ids (JSON), file_path, file_size_bytes, error_message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notifications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investor_user_id → users.id (cascade); rm_user_id → users.id (set null)</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notification_type, subject, body, delivery_channel, is_read, related_object_type/id</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upstox_connections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user_id → users.id (unique, cascade)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upstox_user_id (unique), user name, email, exchanges, products, has_extended_token, last_connected_at</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tsdb.stock_prices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(ticker, date)</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open, high, low, close, volume, daily_return, source — hypertable on date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tsdb.fund_nav_history</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(scheme_id, date)</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nav — hypertable on date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tsdb.corporate_actions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(ticker, date, action_type)</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value</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4.6.3 Integrity Constraints</w:t>
      </w:r>
    </w:p>
    <w:p>
      <w:pPr>
        <w:pStyle w:val="ListParagraph"/>
        <w:numPr>
          <w:ilvl w:val="0"/>
          <w:numId w:val="3"/>
        </w:numPr>
        <w:spacing w:after="60" w:line="360"/>
        <w:jc w:val="both"/>
      </w:pPr>
      <w:r>
        <w:rPr>
          <w:rFonts w:ascii="Times New Roman" w:cs="Times New Roman" w:eastAsia="Times New Roman" w:hAnsi="Times New Roman"/>
          <w:b/>
          <w:bCs/>
        </w:rPr>
        <w:t xml:space="preserve">Entity integrity:</w:t>
      </w:r>
      <w:r>
        <w:rPr>
          <w:rFonts w:ascii="Times New Roman" w:cs="Times New Roman" w:eastAsia="Times New Roman" w:hAnsi="Times New Roman"/>
        </w:rPr>
        <w:t xml:space="preserve"> every table has a primary key; application tables use random UUIDs so identifiers cannot be guessed or enumerated.</w:t>
      </w:r>
    </w:p>
    <w:p>
      <w:pPr>
        <w:pStyle w:val="ListParagraph"/>
        <w:numPr>
          <w:ilvl w:val="0"/>
          <w:numId w:val="3"/>
        </w:numPr>
        <w:spacing w:after="60" w:line="360"/>
        <w:jc w:val="both"/>
      </w:pPr>
      <w:r>
        <w:rPr>
          <w:rFonts w:ascii="Times New Roman" w:cs="Times New Roman" w:eastAsia="Times New Roman" w:hAnsi="Times New Roman"/>
          <w:b/>
          <w:bCs/>
        </w:rPr>
        <w:t xml:space="preserve">Referential integrity:</w:t>
      </w:r>
      <w:r>
        <w:rPr>
          <w:rFonts w:ascii="Times New Roman" w:cs="Times New Roman" w:eastAsia="Times New Roman" w:hAnsi="Times New Roman"/>
        </w:rPr>
        <w:t xml:space="preserve"> every user-owned row references users.id with ON DELETE CASCADE, so deleting an account removes its data; the relationship manager on a notification uses ON DELETE SET NULL so the investor keeps the message.</w:t>
      </w:r>
    </w:p>
    <w:p>
      <w:pPr>
        <w:pStyle w:val="ListParagraph"/>
        <w:numPr>
          <w:ilvl w:val="0"/>
          <w:numId w:val="3"/>
        </w:numPr>
        <w:spacing w:after="60" w:line="360"/>
        <w:jc w:val="both"/>
      </w:pPr>
      <w:r>
        <w:rPr>
          <w:rFonts w:ascii="Times New Roman" w:cs="Times New Roman" w:eastAsia="Times New Roman" w:hAnsi="Times New Roman"/>
          <w:b/>
          <w:bCs/>
        </w:rPr>
        <w:t xml:space="preserve">Uniqueness:</w:t>
      </w:r>
      <w:r>
        <w:rPr>
          <w:rFonts w:ascii="Times New Roman" w:cs="Times New Roman" w:eastAsia="Times New Roman" w:hAnsi="Times New Roman"/>
        </w:rPr>
        <w:t xml:space="preserve"> users.email, refresh_tokens.jti and upstox_connections.upstox_user_id are unique; investor_profiles, scheme_selections and upstox_connections have a unique user_id (one-to-one); transactions have UNIQUE (user_id, external_ref), which makes an imported transaction idempotent.</w:t>
      </w:r>
    </w:p>
    <w:p>
      <w:pPr>
        <w:pStyle w:val="ListParagraph"/>
        <w:numPr>
          <w:ilvl w:val="0"/>
          <w:numId w:val="3"/>
        </w:numPr>
        <w:spacing w:after="60" w:line="360"/>
        <w:jc w:val="both"/>
      </w:pPr>
      <w:r>
        <w:rPr>
          <w:rFonts w:ascii="Times New Roman" w:cs="Times New Roman" w:eastAsia="Times New Roman" w:hAnsi="Times New Roman"/>
          <w:b/>
          <w:bCs/>
        </w:rPr>
        <w:t xml:space="preserve">Domain integrity:</w:t>
      </w:r>
      <w:r>
        <w:rPr>
          <w:rFonts w:ascii="Times New Roman" w:cs="Times New Roman" w:eastAsia="Times New Roman" w:hAnsi="Times New Roman"/>
        </w:rPr>
        <w:t xml:space="preserve"> NOT NULL on required columns; exact NUMERIC types for money and units (never floating point); value ranges, date logic and weight sums are validated by Pydantic before any write.</w:t>
      </w:r>
    </w:p>
    <w:p>
      <w:pPr>
        <w:pStyle w:val="Heading3"/>
        <w:keepNext/>
      </w:pPr>
      <w:r>
        <w:rPr>
          <w:rFonts w:ascii="Times New Roman" w:cs="Times New Roman" w:eastAsia="Times New Roman" w:hAnsi="Times New Roman"/>
        </w:rPr>
        <w:t xml:space="preserve">4.6.4 Normalisation</w:t>
      </w:r>
    </w:p>
    <w:p>
      <w:pPr>
        <w:spacing w:after="120" w:line="360"/>
        <w:jc w:val="both"/>
      </w:pPr>
      <w:r>
        <w:rPr>
          <w:rFonts w:ascii="Times New Roman" w:cs="Times New Roman" w:eastAsia="Times New Roman" w:hAnsi="Times New Roman"/>
        </w:rPr>
        <w:t xml:space="preserve">The transactional schema is in third normal form: every non-key attribute depends on the whole key and on nothing else (for example, a transaction stores units, NAV and amount but not the scheme’s name, which is looked up from scheme metadata). Two deliberate exceptions are documented: scheme_selections stores the selected IDs and weights as JSON, because they are always read and written together as one allocation and never queried individually; and transactions store amount alongside units and NAV, because the amount actually paid (including rounding by the fund house) is the legal record for tax and must not be recomputed.</w:t>
      </w:r>
    </w:p>
    <w:p>
      <w:pPr>
        <w:pStyle w:val="Heading3"/>
        <w:keepNext/>
      </w:pPr>
      <w:r>
        <w:rPr>
          <w:rFonts w:ascii="Times New Roman" w:cs="Times New Roman" w:eastAsia="Times New Roman" w:hAnsi="Times New Roman"/>
        </w:rPr>
        <w:t xml:space="preserve">4.6.5 Indexing Strategy</w:t>
      </w:r>
    </w:p>
    <w:p>
      <w:pPr>
        <w:pStyle w:val="Caption"/>
        <w:spacing w:after="240" w:before="80"/>
        <w:jc w:val="center"/>
      </w:pPr>
      <w:r>
        <w:rPr>
          <w:rFonts w:ascii="Times New Roman" w:cs="Times New Roman" w:eastAsia="Times New Roman" w:hAnsi="Times New Roman"/>
          <w:b/>
          <w:bCs/>
        </w:rPr>
        <w:t xml:space="preserve">Table 4.</w:t>
      </w:r>
      <w:fldSimple w:instr="SEQ Table \* ARABIC \s 1">
        <w:r>
          <w:t xml:space="preserve">3</w:t>
        </w:r>
      </w:fldSimple>
      <w:r>
        <w:rPr>
          <w:rFonts w:ascii="Times New Roman" w:cs="Times New Roman" w:eastAsia="Times New Roman" w:hAnsi="Times New Roman"/>
        </w:rPr>
        <w:t xml:space="preserve">: Indexing strategy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96"/>
        <w:gridCol w:w="2492"/>
        <w:gridCol w:w="3218"/>
      </w:tblGrid>
      <w:tr>
        <w:trPr>
          <w:tblHeader/>
        </w:trPr>
        <w:tc>
          <w:tcPr>
            <w:tcW w:type="dxa" w:w="259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Index</w:t>
            </w:r>
          </w:p>
        </w:tc>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Columns</w:t>
            </w:r>
          </w:p>
        </w:tc>
        <w:tc>
          <w:tcPr>
            <w:tcW w:type="dxa" w:w="321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Query served</w:t>
            </w:r>
          </w:p>
        </w:tc>
      </w:tr>
      <w:tr>
        <w:trPr>
          <w:cantSplit/>
        </w:trPr>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ix_users_email (unique)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users(email)</w:t>
            </w:r>
          </w:p>
        </w:tc>
        <w:tc>
          <w:tcPr>
            <w:tcW w:type="dxa" w:w="32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Login lookup by email</w:t>
            </w:r>
          </w:p>
        </w:tc>
      </w:tr>
      <w:tr>
        <w:trPr>
          <w:cantSplit/>
        </w:trPr>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ix_refresh_tokens_jti (unique)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refresh_tokens(jti)</w:t>
            </w:r>
          </w:p>
        </w:tc>
        <w:tc>
          <w:tcPr>
            <w:tcW w:type="dxa" w:w="32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Token rotation and reuse check</w:t>
            </w:r>
          </w:p>
        </w:tc>
      </w:tr>
      <w:tr>
        <w:trPr>
          <w:cantSplit/>
        </w:trPr>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idx_txn_user_scheme_date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transactions(user_id, scheme_id, txn_date)</w:t>
            </w:r>
          </w:p>
        </w:tc>
        <w:tc>
          <w:tcPr>
            <w:tcW w:type="dxa" w:w="32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FIFO lot matching: one user’s ledger for one scheme, oldest first — a single ordered index scan (verified with EXPLAIN)</w:t>
            </w:r>
          </w:p>
        </w:tc>
      </w:tr>
      <w:tr>
        <w:trPr>
          <w:cantSplit/>
        </w:trPr>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uq_txn_user_external_ref</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transactions(user_id, external_ref)</w:t>
            </w:r>
          </w:p>
        </w:tc>
        <w:tc>
          <w:tcPr>
            <w:tcW w:type="dxa" w:w="32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Idempotent import of broker transactions</w:t>
            </w:r>
          </w:p>
        </w:tc>
      </w:tr>
      <w:tr>
        <w:trPr>
          <w:cantSplit/>
        </w:trPr>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idx_notifications_investor_created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notifications(investor_user_id, created_at)</w:t>
            </w:r>
          </w:p>
        </w:tc>
        <w:tc>
          <w:tcPr>
            <w:tcW w:type="dxa" w:w="32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Inbox, newest first</w:t>
            </w:r>
          </w:p>
        </w:tc>
      </w:tr>
      <w:tr>
        <w:trPr>
          <w:cantSplit/>
        </w:trPr>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Foreign-key indexes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user_id on each user-owned table</w:t>
            </w:r>
          </w:p>
        </w:tc>
        <w:tc>
          <w:tcPr>
            <w:tcW w:type="dxa" w:w="32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Per-user reads and cascade deletes</w:t>
            </w:r>
          </w:p>
        </w:tc>
      </w:tr>
      <w:tr>
        <w:trPr>
          <w:cantSplit/>
        </w:trPr>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idx_stock_prices_date, idx_fund_nav_date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date DESC</w:t>
            </w:r>
          </w:p>
        </w:tc>
        <w:tc>
          <w:tcPr>
            <w:tcW w:type="dxa" w:w="32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Latest prices and NAVs</w:t>
            </w:r>
          </w:p>
        </w:tc>
      </w:tr>
      <w:tr>
        <w:trPr>
          <w:cantSplit/>
        </w:trPr>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Hypertable chunks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Time partitions on date</w:t>
            </w:r>
          </w:p>
        </w:tc>
        <w:tc>
          <w:tcPr>
            <w:tcW w:type="dxa" w:w="321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Range scans touch only the relevant chunks (277 chunks for 233,258 price rows)</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4.6.6 Sample Records</w:t>
      </w:r>
    </w:p>
    <w:p>
      <w:pPr>
        <w:spacing w:after="120" w:line="360"/>
        <w:jc w:val="both"/>
      </w:pPr>
      <w:r>
        <w:rPr>
          <w:rFonts w:ascii="Times New Roman" w:cs="Times New Roman" w:eastAsia="Times New Roman" w:hAnsi="Times New Roman"/>
        </w:rPr>
        <w:t xml:space="preserve">The first three records below were read from the running development database (the selection belongs to a benchmark account created for Chapter 8). The development ledger contained no transactions, so the last row is an illustrative example of the stored format.</w:t>
      </w:r>
    </w:p>
    <w:p>
      <w:pPr>
        <w:pStyle w:val="Caption"/>
        <w:spacing w:after="240" w:before="80"/>
        <w:jc w:val="center"/>
      </w:pPr>
      <w:r>
        <w:rPr>
          <w:rFonts w:ascii="Times New Roman" w:cs="Times New Roman" w:eastAsia="Times New Roman" w:hAnsi="Times New Roman"/>
          <w:b/>
          <w:bCs/>
        </w:rPr>
        <w:t xml:space="preserve">Table 4.</w:t>
      </w:r>
      <w:fldSimple w:instr="SEQ Table \* ARABIC \s 1">
        <w:r>
          <w:t xml:space="preserve">4</w:t>
        </w:r>
      </w:fldSimple>
      <w:r>
        <w:rPr>
          <w:rFonts w:ascii="Times New Roman" w:cs="Times New Roman" w:eastAsia="Times New Roman" w:hAnsi="Times New Roman"/>
        </w:rPr>
        <w:t xml:space="preserve">: Sample records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7"/>
        <w:gridCol w:w="6229"/>
      </w:tblGrid>
      <w:tr>
        <w:trPr>
          <w:tblHeader/>
        </w:trPr>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Table</w:t>
            </w:r>
          </w:p>
        </w:tc>
        <w:tc>
          <w:tcPr>
            <w:tcW w:type="dxa" w:w="622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Representative record</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scheme_selections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selected_scheme_ids = [nippon-large-cap-fund, nippon-flexi-cap-fund, nippon-small-cap-fund, nippon-corporate-bond-fund]; weights = {0.35, 0.25, 0.20, 0.20}</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tsdb.stock_prices</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ticker = ABB.NS, date = 2026-10-23, close = 6140, daily_return = -0.0515, source = yfinance</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tsdb.fund_nav_history</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scheme_id = nippon-vision-large-mid-cap-fund, date = 2026-10-21, nav = 77.33</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transactions (illustrative)</w:t>
            </w:r>
          </w:p>
        </w:tc>
        <w:tc>
          <w:tcPr>
            <w:tcW w:type="dxa" w:w="62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txn_type = sip, units = 52.3412, nav = 95.5300, amount = 5000.00, txn_date = 2026-04-05, external_ref = null</w:t>
            </w:r>
          </w:p>
        </w:tc>
      </w:tr>
    </w:tbl>
    <w:p>
      <w:pPr>
        <w:spacing w:after="120"/>
      </w:pPr>
      <w:r>
        <w:rPr>
          <w:rFonts w:ascii="Times New Roman" w:cs="Times New Roman" w:eastAsia="Times New Roman" w:hAnsi="Times New Roman"/>
        </w:rPr>
        <w:t xml:space="preserve"/>
      </w:r>
    </w:p>
    <w:p>
      <w:pPr>
        <w:pStyle w:val="Heading2"/>
        <w:keepNext/>
      </w:pPr>
      <w:bookmarkStart w:name="_Toc44" w:id="44"/>
      <w:r>
        <w:rPr>
          <w:rFonts w:ascii="Times New Roman" w:cs="Times New Roman" w:eastAsia="Times New Roman" w:hAnsi="Times New Roman"/>
        </w:rPr>
        <w:t xml:space="preserve">4.7 Security and Error Handling Design</w:t>
      </w:r>
      <w:bookmarkEnd w:id="44"/>
    </w:p>
    <w:p>
      <w:pPr>
        <w:pStyle w:val="ListParagraph"/>
        <w:numPr>
          <w:ilvl w:val="0"/>
          <w:numId w:val="3"/>
        </w:numPr>
        <w:spacing w:after="60" w:line="360"/>
        <w:jc w:val="both"/>
      </w:pPr>
      <w:r>
        <w:rPr>
          <w:rFonts w:ascii="Times New Roman" w:cs="Times New Roman" w:eastAsia="Times New Roman" w:hAnsi="Times New Roman"/>
          <w:b/>
          <w:bCs/>
        </w:rPr>
        <w:t xml:space="preserve">Authentication:</w:t>
      </w:r>
      <w:r>
        <w:rPr>
          <w:rFonts w:ascii="Times New Roman" w:cs="Times New Roman" w:eastAsia="Times New Roman" w:hAnsi="Times New Roman"/>
        </w:rPr>
        <w:t xml:space="preserve"> passwords are pre-hashed with SHA-256 (so bcrypt’s 72-byte limit can never truncate them) and stored with bcrypt at cost 12. Access tokens are HS256 JWTs valid for 30 minutes; refresh tokens are valid for 14 days, stored by their unique jti, rotated on every use, and reuse of a rotated token revokes all of the user’s tokens.</w:t>
      </w:r>
    </w:p>
    <w:p>
      <w:pPr>
        <w:pStyle w:val="ListParagraph"/>
        <w:numPr>
          <w:ilvl w:val="0"/>
          <w:numId w:val="3"/>
        </w:numPr>
        <w:spacing w:after="60" w:line="360"/>
        <w:jc w:val="both"/>
      </w:pPr>
      <w:r>
        <w:rPr>
          <w:rFonts w:ascii="Times New Roman" w:cs="Times New Roman" w:eastAsia="Times New Roman" w:hAnsi="Times New Roman"/>
          <w:b/>
          <w:bCs/>
        </w:rPr>
        <w:t xml:space="preserve">Authorisation:</w:t>
      </w:r>
      <w:r>
        <w:rPr>
          <w:rFonts w:ascii="Times New Roman" w:cs="Times New Roman" w:eastAsia="Times New Roman" w:hAnsi="Times New Roman"/>
        </w:rPr>
        <w:t xml:space="preserve"> every query for user data is filtered by the authenticated user’s ID, so one user cannot read another’s profile, selection, transactions or reports (tested as IDOR cases); relationship-manager functions require the RM role.</w:t>
      </w:r>
    </w:p>
    <w:p>
      <w:pPr>
        <w:pStyle w:val="ListParagraph"/>
        <w:numPr>
          <w:ilvl w:val="0"/>
          <w:numId w:val="3"/>
        </w:numPr>
        <w:spacing w:after="60" w:line="360"/>
        <w:jc w:val="both"/>
      </w:pPr>
      <w:r>
        <w:rPr>
          <w:rFonts w:ascii="Times New Roman" w:cs="Times New Roman" w:eastAsia="Times New Roman" w:hAnsi="Times New Roman"/>
          <w:b/>
          <w:bCs/>
        </w:rPr>
        <w:t xml:space="preserve">Input validation:</w:t>
      </w:r>
      <w:r>
        <w:rPr>
          <w:rFonts w:ascii="Times New Roman" w:cs="Times New Roman" w:eastAsia="Times New Roman" w:hAnsi="Times New Roman"/>
        </w:rPr>
        <w:t xml:space="preserve"> all request bodies are Pydantic models with types, ranges and custom validators (for example, no duplicate scheme IDs, weights that sum to 1, between 100 and 5,000 simulation paths).</w:t>
      </w:r>
    </w:p>
    <w:p>
      <w:pPr>
        <w:pStyle w:val="ListParagraph"/>
        <w:numPr>
          <w:ilvl w:val="0"/>
          <w:numId w:val="3"/>
        </w:numPr>
        <w:spacing w:after="60" w:line="360"/>
        <w:jc w:val="both"/>
      </w:pPr>
      <w:r>
        <w:rPr>
          <w:rFonts w:ascii="Times New Roman" w:cs="Times New Roman" w:eastAsia="Times New Roman" w:hAnsi="Times New Roman"/>
          <w:b/>
          <w:bCs/>
        </w:rPr>
        <w:t xml:space="preserve">Rate limiting:</w:t>
      </w:r>
      <w:r>
        <w:rPr>
          <w:rFonts w:ascii="Times New Roman" w:cs="Times New Roman" w:eastAsia="Times New Roman" w:hAnsi="Times New Roman"/>
        </w:rPr>
        <w:t xml:space="preserve"> a Redis sliding-window limiter, executed atomically as a Lua script, allows 10 requests per minute on authentication routes, 12 on analysis routes, 6 on reports and 120 elsewhere; if Redis is down it falls back to an in-process limiter rather than rejecting traffic.</w:t>
      </w:r>
    </w:p>
    <w:p>
      <w:pPr>
        <w:pStyle w:val="ListParagraph"/>
        <w:numPr>
          <w:ilvl w:val="0"/>
          <w:numId w:val="3"/>
        </w:numPr>
        <w:spacing w:after="60" w:line="360"/>
        <w:jc w:val="both"/>
      </w:pPr>
      <w:r>
        <w:rPr>
          <w:rFonts w:ascii="Times New Roman" w:cs="Times New Roman" w:eastAsia="Times New Roman" w:hAnsi="Times New Roman"/>
          <w:b/>
          <w:bCs/>
        </w:rPr>
        <w:t xml:space="preserve">Error handling:</w:t>
      </w:r>
      <w:r>
        <w:rPr>
          <w:rFonts w:ascii="Times New Roman" w:cs="Times New Roman" w:eastAsia="Times New Roman" w:hAnsi="Times New Roman"/>
        </w:rPr>
        <w:t xml:space="preserve"> domain errors (not found, forbidden, insufficient data, rate limited) map to consistent JSON error bodies with the right status codes; unexpected exceptions return a generic 500 message without internal details; NaN values are converted to null so responses are always valid JSON.</w:t>
      </w:r>
    </w:p>
    <w:p>
      <w:pPr>
        <w:pStyle w:val="ListParagraph"/>
        <w:numPr>
          <w:ilvl w:val="0"/>
          <w:numId w:val="3"/>
        </w:numPr>
        <w:spacing w:after="60" w:line="360"/>
        <w:jc w:val="both"/>
      </w:pPr>
      <w:r>
        <w:rPr>
          <w:rFonts w:ascii="Times New Roman" w:cs="Times New Roman" w:eastAsia="Times New Roman" w:hAnsi="Times New Roman"/>
          <w:b/>
          <w:bCs/>
        </w:rPr>
        <w:t xml:space="preserve">Logging:</w:t>
      </w:r>
      <w:r>
        <w:rPr>
          <w:rFonts w:ascii="Times New Roman" w:cs="Times New Roman" w:eastAsia="Times New Roman" w:hAnsi="Times New Roman"/>
        </w:rPr>
        <w:t xml:space="preserve"> every request gets an X-Request-ID that appears in structured JSON logs with method, path, status and duration, so a user-reported error can be traced.</w:t>
      </w:r>
    </w:p>
    <w:p>
      <w:pPr>
        <w:pStyle w:val="ListParagraph"/>
        <w:numPr>
          <w:ilvl w:val="0"/>
          <w:numId w:val="3"/>
        </w:numPr>
        <w:spacing w:after="60" w:line="360"/>
        <w:jc w:val="both"/>
      </w:pPr>
      <w:r>
        <w:rPr>
          <w:rFonts w:ascii="Times New Roman" w:cs="Times New Roman" w:eastAsia="Times New Roman" w:hAnsi="Times New Roman"/>
          <w:b/>
          <w:bCs/>
        </w:rPr>
        <w:t xml:space="preserve">Protection of secrets and data:</w:t>
      </w:r>
      <w:r>
        <w:rPr>
          <w:rFonts w:ascii="Times New Roman" w:cs="Times New Roman" w:eastAsia="Times New Roman" w:hAnsi="Times New Roman"/>
        </w:rPr>
        <w:t xml:space="preserve"> keys and passwords live only in an environment file that is excluded from version control, and a CI job fails if an environment file is ever committed; CORS allows only the configured frontend origins; containers run as non-root users.</w:t>
      </w:r>
    </w:p>
    <w:p>
      <w:pPr>
        <w:pStyle w:val="ListParagraph"/>
        <w:numPr>
          <w:ilvl w:val="0"/>
          <w:numId w:val="3"/>
        </w:numPr>
        <w:spacing w:after="60" w:line="360"/>
        <w:jc w:val="both"/>
      </w:pPr>
      <w:r>
        <w:rPr>
          <w:rFonts w:ascii="Times New Roman" w:cs="Times New Roman" w:eastAsia="Times New Roman" w:hAnsi="Times New Roman"/>
          <w:b/>
          <w:bCs/>
        </w:rPr>
        <w:t xml:space="preserve">Resilience:</w:t>
      </w:r>
      <w:r>
        <w:rPr>
          <w:rFonts w:ascii="Times New Roman" w:cs="Times New Roman" w:eastAsia="Times New Roman" w:hAnsi="Times New Roman"/>
        </w:rPr>
        <w:t xml:space="preserve"> every external data source has a fallback (Section 5.2, Algorithm 9), and engines report which data source they used.</w:t>
      </w:r>
    </w:p>
    <w:p>
      <w:pPr>
        <w:pageBreakBefore/>
        <w:spacing w:after="120"/>
        <w:jc w:val="center"/>
      </w:pPr>
      <w:r>
        <w:rPr>
          <w:rFonts w:ascii="Times New Roman" w:cs="Times New Roman" w:eastAsia="Times New Roman" w:hAnsi="Times New Roman"/>
          <w:b/>
          <w:bCs/>
          <w:sz w:val="28"/>
          <w:szCs w:val="28"/>
        </w:rPr>
        <w:t xml:space="preserve">CHAPTER 5</w:t>
      </w:r>
    </w:p>
    <w:p>
      <w:pPr>
        <w:pStyle w:val="Heading1"/>
        <w:jc w:val="center"/>
      </w:pPr>
      <w:bookmarkStart w:name="_Toc45" w:id="45"/>
      <w:r>
        <w:rPr>
          <w:rFonts w:ascii="Times New Roman" w:cs="Times New Roman" w:eastAsia="Times New Roman" w:hAnsi="Times New Roman"/>
        </w:rPr>
        <w:t xml:space="preserve">ALGORITHM DESIGN AND DATA STRUCTURES</w:t>
      </w:r>
      <w:bookmarkEnd w:id="45"/>
    </w:p>
    <w:p>
      <w:pPr>
        <w:pStyle w:val="Heading2"/>
        <w:keepNext/>
      </w:pPr>
      <w:bookmarkStart w:name="_Toc46" w:id="46"/>
      <w:r>
        <w:rPr>
          <w:rFonts w:ascii="Times New Roman" w:cs="Times New Roman" w:eastAsia="Times New Roman" w:hAnsi="Times New Roman"/>
        </w:rPr>
        <w:t xml:space="preserve">5.1 Identification of Critical Operations</w:t>
      </w:r>
      <w:bookmarkEnd w:id="46"/>
    </w:p>
    <w:p>
      <w:pPr>
        <w:pStyle w:val="Caption"/>
        <w:spacing w:after="240" w:before="80"/>
        <w:jc w:val="center"/>
      </w:pPr>
      <w:r>
        <w:rPr>
          <w:rFonts w:ascii="Times New Roman" w:cs="Times New Roman" w:eastAsia="Times New Roman" w:hAnsi="Times New Roman"/>
          <w:b/>
          <w:bCs/>
        </w:rPr>
        <w:t xml:space="preserve">Table 5.</w:t>
      </w:r>
      <w:fldSimple w:instr="SEQ Table \* ARABIC \s 1">
        <w:r>
          <w:t xml:space="preserve">1</w:t>
        </w:r>
      </w:fldSimple>
      <w:r>
        <w:rPr>
          <w:rFonts w:ascii="Times New Roman" w:cs="Times New Roman" w:eastAsia="Times New Roman" w:hAnsi="Times New Roman"/>
        </w:rPr>
        <w:t xml:space="preserve">: Critical operations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23"/>
        <w:gridCol w:w="2907"/>
        <w:gridCol w:w="2077"/>
        <w:gridCol w:w="2699"/>
      </w:tblGrid>
      <w:tr>
        <w:trPr>
          <w:tblHeader/>
        </w:trPr>
        <w:tc>
          <w:tcPr>
            <w:tcW w:type="dxa" w:w="62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w:t>
            </w:r>
          </w:p>
        </w:tc>
        <w:tc>
          <w:tcPr>
            <w:tcW w:type="dxa" w:w="290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Operation</w:t>
            </w:r>
          </w:p>
        </w:tc>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Trigger</w:t>
            </w:r>
          </w:p>
        </w:tc>
        <w:tc>
          <w:tcPr>
            <w:tcW w:type="dxa" w:w="269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Why critical</w:t>
            </w:r>
          </w:p>
        </w:tc>
      </w:tr>
      <w:tr>
        <w:trPr>
          <w:cantSplit/>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O1</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eligibility filtering</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discovery screen</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Runs on every visit; must explain every exclusion</w:t>
            </w:r>
          </w:p>
        </w:tc>
      </w:tr>
      <w:tr>
        <w:trPr>
          <w:cantSplit/>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O2</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Pairwise overlap (Jaccard, weighted)</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 screen, dashboard</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Quadratic in the number of schemes</w:t>
            </w:r>
          </w:p>
        </w:tc>
      </w:tr>
      <w:tr>
        <w:trPr>
          <w:cantSplit/>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O3</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scoring, Shapley explanation, N_eff and clustering</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screen, dashboard</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Exponential explanation step; model must be monotone</w:t>
            </w:r>
          </w:p>
        </w:tc>
      </w:tr>
      <w:tr>
        <w:trPr>
          <w:cantSplit/>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O4</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Volatility forecast and VaR/ES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screen, dashboard</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Most CPU-intensive interactive request</w:t>
            </w:r>
          </w:p>
        </w:tc>
      </w:tr>
      <w:tr>
        <w:trPr>
          <w:cantSplit/>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O5</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Monte Carlo retirement simulation</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screen</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Thousands of 40–60-year paths per request</w:t>
            </w:r>
          </w:p>
        </w:tc>
      </w:tr>
      <w:tr>
        <w:trPr>
          <w:cantSplit/>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O6</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FIFO lot matching and capital-gains tax</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Ledger, P&amp;L, holdings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Must be exact to the paisa</w:t>
            </w:r>
          </w:p>
        </w:tc>
      </w:tr>
      <w:tr>
        <w:trPr>
          <w:cantSplit/>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O7</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Distributed rate limiting</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Every request</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Must be atomic across processes</w:t>
            </w:r>
          </w:p>
        </w:tc>
      </w:tr>
      <w:tr>
        <w:trPr>
          <w:cantSplit/>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O8</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Return-series retrieval with fallback</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Every analysis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External sources fail or return wrong data</w:t>
            </w:r>
          </w:p>
        </w:tc>
      </w:tr>
      <w:tr>
        <w:trPr>
          <w:cantSplit/>
        </w:trPr>
        <w:tc>
          <w:tcPr>
            <w:tcW w:type="dxa" w:w="62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O9</w:t>
            </w:r>
          </w:p>
        </w:tc>
        <w:tc>
          <w:tcPr>
            <w:tcW w:type="dxa" w:w="290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Token rotation with reuse detection</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Every session refresh</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Security-critical state change</w:t>
            </w:r>
          </w:p>
        </w:tc>
      </w:tr>
    </w:tbl>
    <w:p>
      <w:pPr>
        <w:spacing w:after="120"/>
      </w:pPr>
      <w:r>
        <w:rPr>
          <w:rFonts w:ascii="Times New Roman" w:cs="Times New Roman" w:eastAsia="Times New Roman" w:hAnsi="Times New Roman"/>
        </w:rPr>
        <w:t xml:space="preserve"/>
      </w:r>
    </w:p>
    <w:p>
      <w:pPr>
        <w:pStyle w:val="Heading2"/>
        <w:keepNext/>
      </w:pPr>
      <w:bookmarkStart w:name="_Toc47" w:id="47"/>
      <w:r>
        <w:rPr>
          <w:rFonts w:ascii="Times New Roman" w:cs="Times New Roman" w:eastAsia="Times New Roman" w:hAnsi="Times New Roman"/>
        </w:rPr>
        <w:t xml:space="preserve">5.2 Algorithm Design</w:t>
      </w:r>
      <w:bookmarkEnd w:id="47"/>
    </w:p>
    <w:p>
      <w:pPr>
        <w:spacing w:after="120" w:line="360"/>
        <w:jc w:val="both"/>
      </w:pPr>
      <w:r>
        <w:rPr>
          <w:rFonts w:ascii="Times New Roman" w:cs="Times New Roman" w:eastAsia="Times New Roman" w:hAnsi="Times New Roman"/>
        </w:rPr>
        <w:t xml:space="preserve">This section presents each major operation as pseudocode, together with the mathematical definitions it implements.</w:t>
      </w:r>
    </w:p>
    <w:p>
      <w:pPr>
        <w:pStyle w:val="Heading3"/>
        <w:keepNext/>
      </w:pPr>
      <w:r>
        <w:rPr>
          <w:rFonts w:ascii="Times New Roman" w:cs="Times New Roman" w:eastAsia="Times New Roman" w:hAnsi="Times New Roman"/>
        </w:rPr>
        <w:t xml:space="preserve">Algorithm 1: Eligibility filter (O1)</w:t>
      </w:r>
    </w:p>
    <w:p>
      <w:pPr>
        <w:shd w:fill="F2F2F2" w:color="auto" w:val="clear"/>
        <w:spacing w:after="0" w:line="240"/>
        <w:ind w:left="200"/>
      </w:pPr>
      <w:r>
        <w:rPr>
          <w:rFonts w:ascii="Courier New" w:cs="Courier New" w:eastAsia="Courier New" w:hAnsi="Courier New"/>
          <w:sz w:val="17"/>
          <w:szCs w:val="17"/>
        </w:rPr>
        <w:t xml:space="preserve">FILTER(profile, schemes, held):</w:t>
      </w:r>
    </w:p>
    <w:p>
      <w:pPr>
        <w:shd w:fill="F2F2F2" w:color="auto" w:val="clear"/>
        <w:spacing w:after="0" w:line="240"/>
        <w:ind w:left="200"/>
      </w:pPr>
      <w:r>
        <w:rPr>
          <w:rFonts w:ascii="Courier New" w:cs="Courier New" w:eastAsia="Courier New" w:hAnsi="Courier New"/>
          <w:sz w:val="17"/>
          <w:szCs w:val="17"/>
        </w:rPr>
        <w:t xml:space="preserve">  for each scheme s in schemes:                       # all 35 are always returned</w:t>
      </w:r>
    </w:p>
    <w:p>
      <w:pPr>
        <w:shd w:fill="F2F2F2" w:color="auto" w:val="clear"/>
        <w:spacing w:after="0" w:line="240"/>
        <w:ind w:left="200"/>
      </w:pPr>
      <w:r>
        <w:rPr>
          <w:rFonts w:ascii="Courier New" w:cs="Courier New" w:eastAsia="Courier New" w:hAnsi="Courier New"/>
          <w:sz w:val="17"/>
          <w:szCs w:val="17"/>
        </w:rPr>
        <w:t xml:space="preserve">    hard ← [], soft ← []</w:t>
      </w:r>
    </w:p>
    <w:p>
      <w:pPr>
        <w:shd w:fill="F2F2F2" w:color="auto" w:val="clear"/>
        <w:spacing w:after="0" w:line="240"/>
        <w:ind w:left="200"/>
      </w:pPr>
      <w:r>
        <w:rPr>
          <w:rFonts w:ascii="Courier New" w:cs="Courier New" w:eastAsia="Courier New" w:hAnsi="Courier New"/>
          <w:sz w:val="17"/>
          <w:szCs w:val="17"/>
        </w:rPr>
        <w:t xml:space="preserve">    if age &lt; s.min_age or age &gt; s.max_age:      hard.add(age reason)</w:t>
      </w:r>
    </w:p>
    <w:p>
      <w:pPr>
        <w:shd w:fill="F2F2F2" w:color="auto" w:val="clear"/>
        <w:spacing w:after="0" w:line="240"/>
        <w:ind w:left="200"/>
      </w:pPr>
      <w:r>
        <w:rPr>
          <w:rFonts w:ascii="Courier New" w:cs="Courier New" w:eastAsia="Courier New" w:hAnsi="Courier New"/>
          <w:sz w:val="17"/>
          <w:szCs w:val="17"/>
        </w:rPr>
        <w:t xml:space="preserve">    if income &lt; s.min_monthly_income:           hard.add(income reason)</w:t>
      </w:r>
    </w:p>
    <w:p>
      <w:pPr>
        <w:shd w:fill="F2F2F2" w:color="auto" w:val="clear"/>
        <w:spacing w:after="0" w:line="240"/>
        <w:ind w:left="200"/>
      </w:pPr>
      <w:r>
        <w:rPr>
          <w:rFonts w:ascii="Courier New" w:cs="Courier New" w:eastAsia="Courier New" w:hAnsi="Courier New"/>
          <w:sz w:val="17"/>
          <w:szCs w:val="17"/>
        </w:rPr>
        <w:t xml:space="preserve">    if amount outside [s.min_inv, s.max_inv]:   hard.add(amount reason)</w:t>
      </w:r>
    </w:p>
    <w:p>
      <w:pPr>
        <w:shd w:fill="F2F2F2" w:color="auto" w:val="clear"/>
        <w:spacing w:after="0" w:line="240"/>
        <w:ind w:left="200"/>
      </w:pPr>
      <w:r>
        <w:rPr>
          <w:rFonts w:ascii="Courier New" w:cs="Courier New" w:eastAsia="Courier New" w:hAnsi="Courier New"/>
          <w:sz w:val="17"/>
          <w:szCs w:val="17"/>
        </w:rPr>
        <w:t xml:space="preserve">    if s in held:                               hard.add(already held)</w:t>
      </w:r>
    </w:p>
    <w:p>
      <w:pPr>
        <w:shd w:fill="F2F2F2" w:color="auto" w:val="clear"/>
        <w:spacing w:after="0" w:line="240"/>
        <w:ind w:left="200"/>
      </w:pPr>
      <w:r>
        <w:rPr>
          <w:rFonts w:ascii="Courier New" w:cs="Courier New" w:eastAsia="Courier New" w:hAnsi="Courier New"/>
          <w:sz w:val="17"/>
          <w:szCs w:val="17"/>
        </w:rPr>
        <w:t xml:space="preserve">    if goal = tax_saving and s is not ELSS:     hard.add(Section 80C reason)</w:t>
      </w:r>
    </w:p>
    <w:p>
      <w:pPr>
        <w:shd w:fill="F2F2F2" w:color="auto" w:val="clear"/>
        <w:spacing w:after="0" w:line="240"/>
        <w:ind w:left="200"/>
      </w:pPr>
      <w:r>
        <w:rPr>
          <w:rFonts w:ascii="Courier New" w:cs="Courier New" w:eastAsia="Courier New" w:hAnsi="Courier New"/>
          <w:sz w:val="17"/>
          <w:szCs w:val="17"/>
        </w:rPr>
        <w:t xml:space="preserve">    if s.risk_score not allowed for risk_appetite:</w:t>
      </w:r>
    </w:p>
    <w:p>
      <w:pPr>
        <w:shd w:fill="F2F2F2" w:color="auto" w:val="clear"/>
        <w:spacing w:after="0" w:line="240"/>
        <w:ind w:left="200"/>
      </w:pPr>
      <w:r>
        <w:rPr>
          <w:rFonts w:ascii="Courier New" w:cs="Courier New" w:eastAsia="Courier New" w:hAnsi="Courier New"/>
          <w:sz w:val="17"/>
          <w:szCs w:val="17"/>
        </w:rPr>
        <w:t xml:space="preserve">        soft.add(risk note with real volatility);  level ← mild or strong</w:t>
      </w:r>
    </w:p>
    <w:p>
      <w:pPr>
        <w:shd w:fill="F2F2F2" w:color="auto" w:val="clear"/>
        <w:spacing w:after="0" w:line="240"/>
        <w:ind w:left="200"/>
      </w:pPr>
      <w:r>
        <w:rPr>
          <w:rFonts w:ascii="Courier New" w:cs="Courier New" w:eastAsia="Courier New" w:hAnsi="Courier New"/>
          <w:sz w:val="17"/>
          <w:szCs w:val="17"/>
        </w:rPr>
        <w:t xml:space="preserve">    if goal not compatible with s.suitable_for: soft.add(goal note)</w:t>
      </w:r>
    </w:p>
    <w:p>
      <w:pPr>
        <w:shd w:fill="F2F2F2" w:color="auto" w:val="clear"/>
        <w:spacing w:after="160" w:line="240"/>
        <w:ind w:left="200"/>
      </w:pPr>
      <w:r>
        <w:rPr>
          <w:rFonts w:ascii="Courier New" w:cs="Courier New" w:eastAsia="Courier New" w:hAnsi="Courier New"/>
          <w:sz w:val="17"/>
          <w:szCs w:val="17"/>
        </w:rPr>
        <w:t xml:space="preserve">    emit (s, eligible = hard is empty, hard, soft, level)</w:t>
      </w:r>
    </w:p>
    <w:p>
      <w:pPr>
        <w:spacing w:after="120" w:line="360"/>
        <w:jc w:val="both"/>
      </w:pPr>
      <w:r>
        <w:rPr>
          <w:rFonts w:ascii="Times New Roman" w:cs="Times New Roman" w:eastAsia="Times New Roman" w:hAnsi="Times New Roman"/>
        </w:rPr>
        <w:t xml:space="preserve">Hard blocks are reserved for objective or legal facts; risk and goal mismatches are flags with reasons, because every Nippon India equity scheme carries the highest SEBI riskometer level and hiding them would remove all equity from a moderate investor’s view.</w:t>
      </w:r>
    </w:p>
    <w:p>
      <w:pPr>
        <w:pStyle w:val="Heading3"/>
        <w:keepNext/>
      </w:pPr>
      <w:r>
        <w:rPr>
          <w:rFonts w:ascii="Times New Roman" w:cs="Times New Roman" w:eastAsia="Times New Roman" w:hAnsi="Times New Roman"/>
        </w:rPr>
        <w:t xml:space="preserve">Algorithm 2: Pairwise overlap (O2)</w:t>
      </w:r>
    </w:p>
    <w:p>
      <w:pPr>
        <w:spacing w:after="120" w:line="360"/>
        <w:jc w:val="both"/>
      </w:pPr>
      <w:r>
        <w:rPr>
          <w:rFonts w:ascii="Times New Roman" w:cs="Times New Roman" w:eastAsia="Times New Roman" w:hAnsi="Times New Roman"/>
        </w:rPr>
        <w:t xml:space="preserve">For schemes A and B with normalised holding-name sets (names lower-cased, footnote marks removed, and the rows “equity less than 1% of corpus” and “cash and other receivables” excluded), the name overlap and money overlap are:</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1066800" cy="40005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66800" cy="400050"/>
                    </a:xfrm>
                    <a:prstGeom prst="rect">
                      <a:avLst/>
                    </a:prstGeom>
                  </pic:spPr>
                </pic:pic>
              </a:graphicData>
            </a:graphic>
          </wp:inline>
        </w:drawing>
      </w:r>
      <w:r>
        <w:rPr>
          <w:rFonts w:ascii="Times New Roman" w:cs="Times New Roman" w:eastAsia="Times New Roman" w:hAnsi="Times New Roman"/>
        </w:rPr>
        <w:t xml:space="preserve">	(5.1)</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228850" cy="3238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28850" cy="323850"/>
                    </a:xfrm>
                    <a:prstGeom prst="rect">
                      <a:avLst/>
                    </a:prstGeom>
                  </pic:spPr>
                </pic:pic>
              </a:graphicData>
            </a:graphic>
          </wp:inline>
        </w:drawing>
      </w:r>
      <w:r>
        <w:rPr>
          <w:rFonts w:ascii="Times New Roman" w:cs="Times New Roman" w:eastAsia="Times New Roman" w:hAnsi="Times New Roman"/>
        </w:rPr>
        <w:t xml:space="preserve">	(5.2)</w:t>
      </w:r>
    </w:p>
    <w:p>
      <w:pPr>
        <w:shd w:fill="F2F2F2" w:color="auto" w:val="clear"/>
        <w:spacing w:after="0" w:line="240"/>
        <w:ind w:left="200"/>
      </w:pPr>
      <w:r>
        <w:rPr>
          <w:rFonts w:ascii="Courier New" w:cs="Courier New" w:eastAsia="Courier New" w:hAnsi="Courier New"/>
          <w:sz w:val="17"/>
          <w:szCs w:val="17"/>
        </w:rPr>
        <w:t xml:space="preserve">OVERLAP(ids):</w:t>
      </w:r>
    </w:p>
    <w:p>
      <w:pPr>
        <w:shd w:fill="F2F2F2" w:color="auto" w:val="clear"/>
        <w:spacing w:after="0" w:line="240"/>
        <w:ind w:left="200"/>
      </w:pPr>
      <w:r>
        <w:rPr>
          <w:rFonts w:ascii="Courier New" w:cs="Courier New" w:eastAsia="Courier New" w:hAnsi="Courier New"/>
          <w:sz w:val="17"/>
          <w:szCs w:val="17"/>
        </w:rPr>
        <w:t xml:space="preserve">  for each scheme a: H[a] ← hash map name → weight     # built once, O(h)</w:t>
      </w:r>
    </w:p>
    <w:p>
      <w:pPr>
        <w:shd w:fill="F2F2F2" w:color="auto" w:val="clear"/>
        <w:spacing w:after="0" w:line="240"/>
        <w:ind w:left="200"/>
      </w:pPr>
      <w:r>
        <w:rPr>
          <w:rFonts w:ascii="Courier New" w:cs="Courier New" w:eastAsia="Courier New" w:hAnsi="Courier New"/>
          <w:sz w:val="17"/>
          <w:szCs w:val="17"/>
        </w:rPr>
        <w:t xml:space="preserve">  for each pair (a, b), a &lt; b:</w:t>
      </w:r>
    </w:p>
    <w:p>
      <w:pPr>
        <w:shd w:fill="F2F2F2" w:color="auto" w:val="clear"/>
        <w:spacing w:after="0" w:line="240"/>
        <w:ind w:left="200"/>
      </w:pPr>
      <w:r>
        <w:rPr>
          <w:rFonts w:ascii="Courier New" w:cs="Courier New" w:eastAsia="Courier New" w:hAnsi="Courier New"/>
          <w:sz w:val="17"/>
          <w:szCs w:val="17"/>
        </w:rPr>
        <w:t xml:space="preserve">    S ← keys(H[a]) ∩ keys(H[b])                       # iterate the smaller map</w:t>
      </w:r>
    </w:p>
    <w:p>
      <w:pPr>
        <w:shd w:fill="F2F2F2" w:color="auto" w:val="clear"/>
        <w:spacing w:after="0" w:line="240"/>
        <w:ind w:left="200"/>
      </w:pPr>
      <w:r>
        <w:rPr>
          <w:rFonts w:ascii="Courier New" w:cs="Courier New" w:eastAsia="Courier New" w:hAnsi="Courier New"/>
          <w:sz w:val="17"/>
          <w:szCs w:val="17"/>
        </w:rPr>
        <w:t xml:space="preserve">    J ← |S| / (|H[a]| + |H[b]| − |S|)</w:t>
      </w:r>
    </w:p>
    <w:p>
      <w:pPr>
        <w:shd w:fill="F2F2F2" w:color="auto" w:val="clear"/>
        <w:spacing w:after="0" w:line="240"/>
        <w:ind w:left="200"/>
      </w:pPr>
      <w:r>
        <w:rPr>
          <w:rFonts w:ascii="Courier New" w:cs="Courier New" w:eastAsia="Courier New" w:hAnsi="Courier New"/>
          <w:sz w:val="17"/>
          <w:szCs w:val="17"/>
        </w:rPr>
        <w:t xml:space="preserve">    WO ← Σ_{s∈S} min(H[a][s], H[b][s])</w:t>
      </w:r>
    </w:p>
    <w:p>
      <w:pPr>
        <w:shd w:fill="F2F2F2" w:color="auto" w:val="clear"/>
        <w:spacing w:after="0" w:line="240"/>
        <w:ind w:left="200"/>
      </w:pPr>
      <w:r>
        <w:rPr>
          <w:rFonts w:ascii="Courier New" w:cs="Courier New" w:eastAsia="Courier New" w:hAnsi="Courier New"/>
          <w:sz w:val="17"/>
          <w:szCs w:val="17"/>
        </w:rPr>
        <w:t xml:space="preserve">    top ← the 10 shared names with the largest min-weight</w:t>
      </w:r>
    </w:p>
    <w:p>
      <w:pPr>
        <w:shd w:fill="F2F2F2" w:color="auto" w:val="clear"/>
        <w:spacing w:after="160" w:line="240"/>
        <w:ind w:left="200"/>
      </w:pPr>
      <w:r>
        <w:rPr>
          <w:rFonts w:ascii="Courier New" w:cs="Courier New" w:eastAsia="Courier New" w:hAnsi="Courier New"/>
          <w:sz w:val="17"/>
          <w:szCs w:val="17"/>
        </w:rPr>
        <w:t xml:space="preserve">  return symmetric matrix (diagonal 1), edges above threshold</w:t>
      </w:r>
    </w:p>
    <w:p>
      <w:pPr>
        <w:pStyle w:val="Heading3"/>
        <w:keepNext/>
      </w:pPr>
      <w:r>
        <w:rPr>
          <w:rFonts w:ascii="Times New Roman" w:cs="Times New Roman" w:eastAsia="Times New Roman" w:hAnsi="Times New Roman"/>
        </w:rPr>
        <w:t xml:space="preserve">Algorithm 3: PLOS scoring and explanation (O3)</w:t>
      </w:r>
    </w:p>
    <w:p>
      <w:pPr>
        <w:spacing w:after="120" w:line="360"/>
        <w:jc w:val="both"/>
      </w:pPr>
      <w:r>
        <w:rPr>
          <w:rFonts w:ascii="Times New Roman" w:cs="Times New Roman" w:eastAsia="Times New Roman" w:hAnsi="Times New Roman"/>
        </w:rPr>
        <w:t xml:space="preserve">PLOS predicts the correlation of two funds’ weekly returns over the next year from ten layers: (1) total return correlation, (2) residual correlation after the Nifty 50 and mid-cap factors, (3) factor-exposure similarity, (4) holdings-implied correlation, (5) sector-style similarity, (6) weighted overlap, (7) Jaccard, (8) top-10 Jaccard, (9) sector cosine and (10) same category. The stock covariance is shrunk (5.3) and combined with each fund’s weights (5.4); correlations are mapped to Fisher-z (5.5); the model is linear and monotone in z (5.6) with weights learned by non-negative ridge regression shrunk toward the hand-set weights (5.7):</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114550" cy="2381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14550" cy="238125"/>
                    </a:xfrm>
                    <a:prstGeom prst="rect">
                      <a:avLst/>
                    </a:prstGeom>
                  </pic:spPr>
                </pic:pic>
              </a:graphicData>
            </a:graphic>
          </wp:inline>
        </w:drawing>
      </w:r>
      <w:r>
        <w:rPr>
          <w:rFonts w:ascii="Times New Roman" w:cs="Times New Roman" w:eastAsia="Times New Roman" w:hAnsi="Times New Roman"/>
        </w:rPr>
        <w:t xml:space="preserve">	(5.3)</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1981200" cy="5715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81200" cy="571500"/>
                    </a:xfrm>
                    <a:prstGeom prst="rect">
                      <a:avLst/>
                    </a:prstGeom>
                  </pic:spPr>
                </pic:pic>
              </a:graphicData>
            </a:graphic>
          </wp:inline>
        </w:drawing>
      </w:r>
      <w:r>
        <w:rPr>
          <w:rFonts w:ascii="Times New Roman" w:cs="Times New Roman" w:eastAsia="Times New Roman" w:hAnsi="Times New Roman"/>
        </w:rPr>
        <w:t xml:space="preserve">	(5.4)</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1609725" cy="42862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609725" cy="428625"/>
                    </a:xfrm>
                    <a:prstGeom prst="rect">
                      <a:avLst/>
                    </a:prstGeom>
                  </pic:spPr>
                </pic:pic>
              </a:graphicData>
            </a:graphic>
          </wp:inline>
        </w:drawing>
      </w:r>
      <w:r>
        <w:rPr>
          <w:rFonts w:ascii="Times New Roman" w:cs="Times New Roman" w:eastAsia="Times New Roman" w:hAnsi="Times New Roman"/>
        </w:rPr>
        <w:t xml:space="preserve">	(5.5)</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428875" cy="7048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28875" cy="704850"/>
                    </a:xfrm>
                    <a:prstGeom prst="rect">
                      <a:avLst/>
                    </a:prstGeom>
                  </pic:spPr>
                </pic:pic>
              </a:graphicData>
            </a:graphic>
          </wp:inline>
        </w:drawing>
      </w:r>
      <w:r>
        <w:rPr>
          <w:rFonts w:ascii="Times New Roman" w:cs="Times New Roman" w:eastAsia="Times New Roman" w:hAnsi="Times New Roman"/>
        </w:rPr>
        <w:t xml:space="preserve">	(5.6)</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3343275" cy="33337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43275" cy="333375"/>
                    </a:xfrm>
                    <a:prstGeom prst="rect">
                      <a:avLst/>
                    </a:prstGeom>
                  </pic:spPr>
                </pic:pic>
              </a:graphicData>
            </a:graphic>
          </wp:inline>
        </w:drawing>
      </w:r>
      <w:r>
        <w:rPr>
          <w:rFonts w:ascii="Times New Roman" w:cs="Times New Roman" w:eastAsia="Times New Roman" w:hAnsi="Times New Roman"/>
        </w:rPr>
        <w:t xml:space="preserve">	(5.7)</w:t>
      </w:r>
    </w:p>
    <w:p>
      <w:pPr>
        <w:spacing w:after="120" w:line="360"/>
        <w:jc w:val="both"/>
      </w:pPr>
      <w:r>
        <w:rPr>
          <w:rFonts w:ascii="Times New Roman" w:cs="Times New Roman" w:eastAsia="Times New Roman" w:hAnsi="Times New Roman"/>
        </w:rPr>
        <w:t xml:space="preserve">Each layer’s contribution is its exact Shapley value (5.8), computed over all 2^10 = 1,024 coalitions, and the effective number of independent funds is (5.9):</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3829050" cy="43815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29050" cy="438150"/>
                    </a:xfrm>
                    <a:prstGeom prst="rect">
                      <a:avLst/>
                    </a:prstGeom>
                  </pic:spPr>
                </pic:pic>
              </a:graphicData>
            </a:graphic>
          </wp:inline>
        </w:drawing>
      </w:r>
      <w:r>
        <w:rPr>
          <w:rFonts w:ascii="Times New Roman" w:cs="Times New Roman" w:eastAsia="Times New Roman" w:hAnsi="Times New Roman"/>
        </w:rPr>
        <w:t xml:space="preserve">	(5.8)</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923925" cy="40957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923925" cy="409575"/>
                    </a:xfrm>
                    <a:prstGeom prst="rect">
                      <a:avLst/>
                    </a:prstGeom>
                  </pic:spPr>
                </pic:pic>
              </a:graphicData>
            </a:graphic>
          </wp:inline>
        </w:drawing>
      </w:r>
      <w:r>
        <w:rPr>
          <w:rFonts w:ascii="Times New Roman" w:cs="Times New Roman" w:eastAsia="Times New Roman" w:hAnsi="Times New Roman"/>
        </w:rPr>
        <w:t xml:space="preserve">	(5.9)</w:t>
      </w:r>
    </w:p>
    <w:p>
      <w:pPr>
        <w:shd w:fill="F2F2F2" w:color="auto" w:val="clear"/>
        <w:spacing w:after="0" w:line="240"/>
        <w:ind w:left="200"/>
      </w:pPr>
      <w:r>
        <w:rPr>
          <w:rFonts w:ascii="Courier New" w:cs="Courier New" w:eastAsia="Courier New" w:hAnsi="Courier New"/>
          <w:sz w:val="17"/>
          <w:szCs w:val="17"/>
        </w:rPr>
        <w:t xml:space="preserve">PLOS(ids, w):</w:t>
      </w:r>
    </w:p>
    <w:p>
      <w:pPr>
        <w:shd w:fill="F2F2F2" w:color="auto" w:val="clear"/>
        <w:spacing w:after="0" w:line="240"/>
        <w:ind w:left="200"/>
      </w:pPr>
      <w:r>
        <w:rPr>
          <w:rFonts w:ascii="Courier New" w:cs="Courier New" w:eastAsia="Courier New" w:hAnsi="Courier New"/>
          <w:sz w:val="17"/>
          <w:szCs w:val="17"/>
        </w:rPr>
        <w:t xml:space="preserve">  for each pair (a, b): x[a,b] ← the ten layer values</w:t>
      </w:r>
    </w:p>
    <w:p>
      <w:pPr>
        <w:shd w:fill="F2F2F2" w:color="auto" w:val="clear"/>
        <w:spacing w:after="0" w:line="240"/>
        <w:ind w:left="200"/>
      </w:pPr>
      <w:r>
        <w:rPr>
          <w:rFonts w:ascii="Courier New" w:cs="Courier New" w:eastAsia="Courier New" w:hAnsi="Courier New"/>
          <w:sz w:val="17"/>
          <w:szCs w:val="17"/>
        </w:rPr>
        <w:t xml:space="preserve">      (holdings layers only for pairs of the same asset type)</w:t>
      </w:r>
    </w:p>
    <w:p>
      <w:pPr>
        <w:shd w:fill="F2F2F2" w:color="auto" w:val="clear"/>
        <w:spacing w:after="0" w:line="240"/>
        <w:ind w:left="200"/>
      </w:pPr>
      <w:r>
        <w:rPr>
          <w:rFonts w:ascii="Courier New" w:cs="Courier New" w:eastAsia="Courier New" w:hAnsi="Courier New"/>
          <w:sz w:val="17"/>
          <w:szCs w:val="17"/>
        </w:rPr>
        <w:t xml:space="preserve">  for each pair: z ← z̄ + β·(x − x̄);  score ← 100·max(0, tanh z)</w:t>
      </w:r>
    </w:p>
    <w:p>
      <w:pPr>
        <w:shd w:fill="F2F2F2" w:color="auto" w:val="clear"/>
        <w:spacing w:after="0" w:line="240"/>
        <w:ind w:left="200"/>
      </w:pPr>
      <w:r>
        <w:rPr>
          <w:rFonts w:ascii="Courier New" w:cs="Courier New" w:eastAsia="Courier New" w:hAnsi="Courier New"/>
          <w:sz w:val="17"/>
          <w:szCs w:val="17"/>
        </w:rPr>
        <w:t xml:space="preserve">  for each pair: φ ← SHAPLEY(model, x, baseline)      # 1,024 masks, vectorised</w:t>
      </w:r>
    </w:p>
    <w:p>
      <w:pPr>
        <w:shd w:fill="F2F2F2" w:color="auto" w:val="clear"/>
        <w:spacing w:after="0" w:line="240"/>
        <w:ind w:left="200"/>
      </w:pPr>
      <w:r>
        <w:rPr>
          <w:rFonts w:ascii="Courier New" w:cs="Courier New" w:eastAsia="Courier New" w:hAnsi="Courier New"/>
          <w:sz w:val="17"/>
          <w:szCs w:val="17"/>
        </w:rPr>
        <w:t xml:space="preserve">  C ← matrix of predicted correlations;  N_eff ← 1 / (wᵀ C w)</w:t>
      </w:r>
    </w:p>
    <w:p>
      <w:pPr>
        <w:shd w:fill="F2F2F2" w:color="auto" w:val="clear"/>
        <w:spacing w:after="160" w:line="240"/>
        <w:ind w:left="200"/>
      </w:pPr>
      <w:r>
        <w:rPr>
          <w:rFonts w:ascii="Courier New" w:cs="Courier New" w:eastAsia="Courier New" w:hAnsi="Courier New"/>
          <w:sz w:val="17"/>
          <w:szCs w:val="17"/>
        </w:rPr>
        <w:t xml:space="preserve">  clusters ← average-linkage on distance 1 − C, cut at the redundancy threshold</w:t>
      </w:r>
    </w:p>
    <w:p>
      <w:pPr>
        <w:pStyle w:val="Heading3"/>
        <w:keepNext/>
      </w:pPr>
      <w:r>
        <w:rPr>
          <w:rFonts w:ascii="Times New Roman" w:cs="Times New Roman" w:eastAsia="Times New Roman" w:hAnsi="Times New Roman"/>
        </w:rPr>
        <w:t xml:space="preserve">Algorithm 4: Volatility forecast and VaR/ES (O4)</w:t>
      </w:r>
    </w:p>
    <w:p>
      <w:pPr>
        <w:spacing w:after="120" w:line="360"/>
        <w:jc w:val="both"/>
      </w:pPr>
      <w:r>
        <w:rPr>
          <w:rFonts w:ascii="Times New Roman" w:cs="Times New Roman" w:eastAsia="Times New Roman" w:hAnsi="Times New Roman"/>
        </w:rPr>
        <w:t xml:space="preserve">Market realised variance is measured with the Garman–Klass estimator (5.10) and forecast with HAR-X (5.11). Each fund’s own GARCH(1,1) variance (5.12) is blended with the HAR-X forecast mapped through the portfolio’s beta (5.13). VaR and ES at 95% use filtered historical simulation (5.14); at 99% a generalised Pareto tail is fitted above the 90th-percentile loss (5.15):</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4371975" cy="3905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71975" cy="390525"/>
                    </a:xfrm>
                    <a:prstGeom prst="rect">
                      <a:avLst/>
                    </a:prstGeom>
                  </pic:spPr>
                </pic:pic>
              </a:graphicData>
            </a:graphic>
          </wp:inline>
        </w:drawing>
      </w:r>
      <w:r>
        <w:rPr>
          <w:rFonts w:ascii="Times New Roman" w:cs="Times New Roman" w:eastAsia="Times New Roman" w:hAnsi="Times New Roman"/>
        </w:rPr>
        <w:t xml:space="preserve">	(5.10)</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4476750" cy="56197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76750" cy="561975"/>
                    </a:xfrm>
                    <a:prstGeom prst="rect">
                      <a:avLst/>
                    </a:prstGeom>
                  </pic:spPr>
                </pic:pic>
              </a:graphicData>
            </a:graphic>
          </wp:inline>
        </w:drawing>
      </w:r>
      <w:r>
        <w:rPr>
          <w:rFonts w:ascii="Times New Roman" w:cs="Times New Roman" w:eastAsia="Times New Roman" w:hAnsi="Times New Roman"/>
        </w:rPr>
        <w:t xml:space="preserve">	(5.11)</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552700" cy="247650"/>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552700" cy="247650"/>
                    </a:xfrm>
                    <a:prstGeom prst="rect">
                      <a:avLst/>
                    </a:prstGeom>
                  </pic:spPr>
                </pic:pic>
              </a:graphicData>
            </a:graphic>
          </wp:inline>
        </w:drawing>
      </w:r>
      <w:r>
        <w:rPr>
          <w:rFonts w:ascii="Times New Roman" w:cs="Times New Roman" w:eastAsia="Times New Roman" w:hAnsi="Times New Roman"/>
        </w:rPr>
        <w:t xml:space="preserve">	(5.12)</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390775" cy="3905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390775" cy="390525"/>
                    </a:xfrm>
                    <a:prstGeom prst="rect">
                      <a:avLst/>
                    </a:prstGeom>
                  </pic:spPr>
                </pic:pic>
              </a:graphicData>
            </a:graphic>
          </wp:inline>
        </w:drawing>
      </w:r>
      <w:r>
        <w:rPr>
          <w:rFonts w:ascii="Times New Roman" w:cs="Times New Roman" w:eastAsia="Times New Roman" w:hAnsi="Times New Roman"/>
        </w:rPr>
        <w:t xml:space="preserve">	(5.13)</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895600" cy="695325"/>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95600" cy="695325"/>
                    </a:xfrm>
                    <a:prstGeom prst="rect">
                      <a:avLst/>
                    </a:prstGeom>
                  </pic:spPr>
                </pic:pic>
              </a:graphicData>
            </a:graphic>
          </wp:inline>
        </w:drawing>
      </w:r>
      <w:r>
        <w:rPr>
          <w:rFonts w:ascii="Times New Roman" w:cs="Times New Roman" w:eastAsia="Times New Roman" w:hAnsi="Times New Roman"/>
        </w:rPr>
        <w:t xml:space="preserve">	(5.14)</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3914775" cy="419100"/>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914775" cy="419100"/>
                    </a:xfrm>
                    <a:prstGeom prst="rect">
                      <a:avLst/>
                    </a:prstGeom>
                  </pic:spPr>
                </pic:pic>
              </a:graphicData>
            </a:graphic>
          </wp:inline>
        </w:drawing>
      </w:r>
      <w:r>
        <w:rPr>
          <w:rFonts w:ascii="Times New Roman" w:cs="Times New Roman" w:eastAsia="Times New Roman" w:hAnsi="Times New Roman"/>
        </w:rPr>
        <w:t xml:space="preserve">	(5.15)</w:t>
      </w:r>
    </w:p>
    <w:p>
      <w:pPr>
        <w:shd w:fill="F2F2F2" w:color="auto" w:val="clear"/>
        <w:spacing w:after="0" w:line="240"/>
        <w:ind w:left="200"/>
      </w:pPr>
      <w:r>
        <w:rPr>
          <w:rFonts w:ascii="Courier New" w:cs="Courier New" w:eastAsia="Courier New" w:hAnsi="Courier New"/>
          <w:sz w:val="17"/>
          <w:szCs w:val="17"/>
        </w:rPr>
        <w:t xml:space="preserve">RISK(ids, w):</w:t>
      </w:r>
    </w:p>
    <w:p>
      <w:pPr>
        <w:shd w:fill="F2F2F2" w:color="auto" w:val="clear"/>
        <w:spacing w:after="0" w:line="240"/>
        <w:ind w:left="200"/>
      </w:pPr>
      <w:r>
        <w:rPr>
          <w:rFonts w:ascii="Courier New" w:cs="Courier New" w:eastAsia="Courier New" w:hAnsi="Courier New"/>
          <w:sz w:val="17"/>
          <w:szCs w:val="17"/>
        </w:rPr>
        <w:t xml:space="preserve">  r ← portfolio daily returns from FALLBACK(ids) and w</w:t>
      </w:r>
    </w:p>
    <w:p>
      <w:pPr>
        <w:shd w:fill="F2F2F2" w:color="auto" w:val="clear"/>
        <w:spacing w:after="0" w:line="240"/>
        <w:ind w:left="200"/>
      </w:pPr>
      <w:r>
        <w:rPr>
          <w:rFonts w:ascii="Courier New" w:cs="Courier New" w:eastAsia="Courier New" w:hAnsi="Courier New"/>
          <w:sz w:val="17"/>
          <w:szCs w:val="17"/>
        </w:rPr>
        <w:t xml:space="preserve">  fit GARCH(1,1) by maximum likelihood → σ²_GARCH,t+1</w:t>
      </w:r>
    </w:p>
    <w:p>
      <w:pPr>
        <w:shd w:fill="F2F2F2" w:color="auto" w:val="clear"/>
        <w:spacing w:after="0" w:line="240"/>
        <w:ind w:left="200"/>
      </w:pPr>
      <w:r>
        <w:rPr>
          <w:rFonts w:ascii="Courier New" w:cs="Courier New" w:eastAsia="Courier New" w:hAnsi="Courier New"/>
          <w:sz w:val="17"/>
          <w:szCs w:val="17"/>
        </w:rPr>
        <w:t xml:space="preserve">  σ²_HARX ← HAR-X artifact applied to today's Nifty RV, VIX, S&amp;P 500, FX, crude</w:t>
      </w:r>
    </w:p>
    <w:p>
      <w:pPr>
        <w:shd w:fill="F2F2F2" w:color="auto" w:val="clear"/>
        <w:spacing w:after="0" w:line="240"/>
        <w:ind w:left="200"/>
      </w:pPr>
      <w:r>
        <w:rPr>
          <w:rFonts w:ascii="Courier New" w:cs="Courier New" w:eastAsia="Courier New" w:hAnsi="Courier New"/>
          <w:sz w:val="17"/>
          <w:szCs w:val="17"/>
        </w:rPr>
        <w:t xml:space="preserve">  β, σ²_ε ← regression of r on Nifty;  σ²_p ← ½σ²_GARCH + ½(β²σ²_HARX + σ²_ε)</w:t>
      </w:r>
    </w:p>
    <w:p>
      <w:pPr>
        <w:shd w:fill="F2F2F2" w:color="auto" w:val="clear"/>
        <w:spacing w:after="0" w:line="240"/>
        <w:ind w:left="200"/>
      </w:pPr>
      <w:r>
        <w:rPr>
          <w:rFonts w:ascii="Courier New" w:cs="Courier New" w:eastAsia="Courier New" w:hAnsi="Courier New"/>
          <w:sz w:val="17"/>
          <w:szCs w:val="17"/>
        </w:rPr>
        <w:t xml:space="preserve">  z ← standardised residuals;  sort z</w:t>
      </w:r>
    </w:p>
    <w:p>
      <w:pPr>
        <w:shd w:fill="F2F2F2" w:color="auto" w:val="clear"/>
        <w:spacing w:after="0" w:line="240"/>
        <w:ind w:left="200"/>
      </w:pPr>
      <w:r>
        <w:rPr>
          <w:rFonts w:ascii="Courier New" w:cs="Courier New" w:eastAsia="Courier New" w:hAnsi="Courier New"/>
          <w:sz w:val="17"/>
          <w:szCs w:val="17"/>
        </w:rPr>
        <w:t xml:space="preserve">  VaR95, ES95 ← empirical quantile and tail mean of z, rescaled by σ_p</w:t>
      </w:r>
    </w:p>
    <w:p>
      <w:pPr>
        <w:shd w:fill="F2F2F2" w:color="auto" w:val="clear"/>
        <w:spacing w:after="0" w:line="240"/>
        <w:ind w:left="200"/>
      </w:pPr>
      <w:r>
        <w:rPr>
          <w:rFonts w:ascii="Courier New" w:cs="Courier New" w:eastAsia="Courier New" w:hAnsi="Courier New"/>
          <w:sz w:val="17"/>
          <w:szCs w:val="17"/>
        </w:rPr>
        <w:t xml:space="preserve">  fit GPD to the losses above u = 90th percentile → VaR99, ES99</w:t>
      </w:r>
    </w:p>
    <w:p>
      <w:pPr>
        <w:shd w:fill="F2F2F2" w:color="auto" w:val="clear"/>
        <w:spacing w:after="0" w:line="240"/>
        <w:ind w:left="200"/>
      </w:pPr>
      <w:r>
        <w:rPr>
          <w:rFonts w:ascii="Courier New" w:cs="Courier New" w:eastAsia="Courier New" w:hAnsi="Courier New"/>
          <w:sz w:val="17"/>
          <w:szCs w:val="17"/>
        </w:rPr>
        <w:t xml:space="preserve">  10-day: sum daily variances that revert toward the long-run level</w:t>
      </w:r>
    </w:p>
    <w:p>
      <w:pPr>
        <w:shd w:fill="F2F2F2" w:color="auto" w:val="clear"/>
        <w:spacing w:after="160" w:line="240"/>
        <w:ind w:left="200"/>
      </w:pPr>
      <w:r>
        <w:rPr>
          <w:rFonts w:ascii="Courier New" w:cs="Courier New" w:eastAsia="Courier New" w:hAnsi="Courier New"/>
          <w:sz w:val="17"/>
          <w:szCs w:val="17"/>
        </w:rPr>
        <w:t xml:space="preserve">  backtest: Kupiec and Christoffersen on the rolling history</w:t>
      </w:r>
    </w:p>
    <w:p>
      <w:pPr>
        <w:pStyle w:val="Heading3"/>
        <w:keepNext/>
      </w:pPr>
      <w:r>
        <w:rPr>
          <w:rFonts w:ascii="Times New Roman" w:cs="Times New Roman" w:eastAsia="Times New Roman" w:hAnsi="Times New Roman"/>
        </w:rPr>
        <w:t xml:space="preserve">Algorithm 5: ARISE Monte Carlo retirement simulation (O5)</w:t>
      </w:r>
    </w:p>
    <w:p>
      <w:pPr>
        <w:spacing w:after="120" w:line="360"/>
        <w:jc w:val="both"/>
      </w:pPr>
      <w:r>
        <w:rPr>
          <w:rFonts w:ascii="Times New Roman" w:cs="Times New Roman" w:eastAsia="Times New Roman" w:hAnsi="Times New Roman"/>
        </w:rPr>
        <w:t xml:space="preserve">Each lifetime j draws its own expected return to represent estimation risk (5.16–5.18); volatility is blended with its long-run level (5.20); a dividend-yield prior (5.21) applies to the first five years; the absence of mean reversion is justified by the variance ratio (5.19); success is reported with a Jeffreys interval (5.22):</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3019425" cy="447675"/>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019425" cy="447675"/>
                    </a:xfrm>
                    <a:prstGeom prst="rect">
                      <a:avLst/>
                    </a:prstGeom>
                  </pic:spPr>
                </pic:pic>
              </a:graphicData>
            </a:graphic>
          </wp:inline>
        </w:drawing>
      </w:r>
      <w:r>
        <w:rPr>
          <w:rFonts w:ascii="Times New Roman" w:cs="Times New Roman" w:eastAsia="Times New Roman" w:hAnsi="Times New Roman"/>
        </w:rPr>
        <w:t xml:space="preserve">	(5.16)</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819400" cy="361950"/>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19400" cy="361950"/>
                    </a:xfrm>
                    <a:prstGeom prst="rect">
                      <a:avLst/>
                    </a:prstGeom>
                  </pic:spPr>
                </pic:pic>
              </a:graphicData>
            </a:graphic>
          </wp:inline>
        </w:drawing>
      </w:r>
      <w:r>
        <w:rPr>
          <w:rFonts w:ascii="Times New Roman" w:cs="Times New Roman" w:eastAsia="Times New Roman" w:hAnsi="Times New Roman"/>
        </w:rPr>
        <w:t xml:space="preserve">	(5.17)</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581275" cy="428625"/>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581275" cy="428625"/>
                    </a:xfrm>
                    <a:prstGeom prst="rect">
                      <a:avLst/>
                    </a:prstGeom>
                  </pic:spPr>
                </pic:pic>
              </a:graphicData>
            </a:graphic>
          </wp:inline>
        </w:drawing>
      </w:r>
      <w:r>
        <w:rPr>
          <w:rFonts w:ascii="Times New Roman" w:cs="Times New Roman" w:eastAsia="Times New Roman" w:hAnsi="Times New Roman"/>
        </w:rPr>
        <w:t xml:space="preserve">	(5.18)</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3990975" cy="428625"/>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990975" cy="428625"/>
                    </a:xfrm>
                    <a:prstGeom prst="rect">
                      <a:avLst/>
                    </a:prstGeom>
                  </pic:spPr>
                </pic:pic>
              </a:graphicData>
            </a:graphic>
          </wp:inline>
        </w:drawing>
      </w:r>
      <w:r>
        <w:rPr>
          <w:rFonts w:ascii="Times New Roman" w:cs="Times New Roman" w:eastAsia="Times New Roman" w:hAnsi="Times New Roman"/>
        </w:rPr>
        <w:t xml:space="preserve">	(5.19)</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1343025" cy="390525"/>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343025" cy="390525"/>
                    </a:xfrm>
                    <a:prstGeom prst="rect">
                      <a:avLst/>
                    </a:prstGeom>
                  </pic:spPr>
                </pic:pic>
              </a:graphicData>
            </a:graphic>
          </wp:inline>
        </w:drawing>
      </w:r>
      <w:r>
        <w:rPr>
          <w:rFonts w:ascii="Times New Roman" w:cs="Times New Roman" w:eastAsia="Times New Roman" w:hAnsi="Times New Roman"/>
        </w:rPr>
        <w:t xml:space="preserve">	(5.20)</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3371850" cy="400050"/>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71850" cy="400050"/>
                    </a:xfrm>
                    <a:prstGeom prst="rect">
                      <a:avLst/>
                    </a:prstGeom>
                  </pic:spPr>
                </pic:pic>
              </a:graphicData>
            </a:graphic>
          </wp:inline>
        </w:drawing>
      </w:r>
      <w:r>
        <w:rPr>
          <w:rFonts w:ascii="Times New Roman" w:cs="Times New Roman" w:eastAsia="Times New Roman" w:hAnsi="Times New Roman"/>
        </w:rPr>
        <w:t xml:space="preserve">	(5.21)</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962275" cy="400050"/>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962275" cy="400050"/>
                    </a:xfrm>
                    <a:prstGeom prst="rect">
                      <a:avLst/>
                    </a:prstGeom>
                  </pic:spPr>
                </pic:pic>
              </a:graphicData>
            </a:graphic>
          </wp:inline>
        </w:drawing>
      </w:r>
      <w:r>
        <w:rPr>
          <w:rFonts w:ascii="Times New Roman" w:cs="Times New Roman" w:eastAsia="Times New Roman" w:hAnsi="Times New Roman"/>
        </w:rPr>
        <w:t xml:space="preserve">	(5.22)</w:t>
      </w:r>
    </w:p>
    <w:p>
      <w:pPr>
        <w:shd w:fill="F2F2F2" w:color="auto" w:val="clear"/>
        <w:spacing w:after="0" w:line="240"/>
        <w:ind w:left="200"/>
      </w:pPr>
      <w:r>
        <w:rPr>
          <w:rFonts w:ascii="Courier New" w:cs="Courier New" w:eastAsia="Courier New" w:hAnsi="Courier New"/>
          <w:sz w:val="17"/>
          <w:szCs w:val="17"/>
        </w:rPr>
        <w:t xml:space="preserve">ARISE(profile, w, N paths, strategy):</w:t>
      </w:r>
    </w:p>
    <w:p>
      <w:pPr>
        <w:shd w:fill="F2F2F2" w:color="auto" w:val="clear"/>
        <w:spacing w:after="0" w:line="240"/>
        <w:ind w:left="200"/>
      </w:pPr>
      <w:r>
        <w:rPr>
          <w:rFonts w:ascii="Courier New" w:cs="Courier New" w:eastAsia="Courier New" w:hAnsi="Courier New"/>
          <w:sz w:val="17"/>
          <w:szCs w:val="17"/>
        </w:rPr>
        <w:t xml:space="preserve">  μ, σ ← shrunk portfolio statistics;  rng ← seeded generator</w:t>
      </w:r>
    </w:p>
    <w:p>
      <w:pPr>
        <w:shd w:fill="F2F2F2" w:color="auto" w:val="clear"/>
        <w:spacing w:after="0" w:line="240"/>
        <w:ind w:left="200"/>
      </w:pPr>
      <w:r>
        <w:rPr>
          <w:rFonts w:ascii="Courier New" w:cs="Courier New" w:eastAsia="Courier New" w:hAnsi="Courier New"/>
          <w:sz w:val="17"/>
          <w:szCs w:val="17"/>
        </w:rPr>
        <w:t xml:space="preserve">  for j in 1..N:</w:t>
      </w:r>
    </w:p>
    <w:p>
      <w:pPr>
        <w:shd w:fill="F2F2F2" w:color="auto" w:val="clear"/>
        <w:spacing w:after="0" w:line="240"/>
        <w:ind w:left="200"/>
      </w:pPr>
      <w:r>
        <w:rPr>
          <w:rFonts w:ascii="Courier New" w:cs="Courier New" w:eastAsia="Courier New" w:hAnsi="Courier New"/>
          <w:sz w:val="17"/>
          <w:szCs w:val="17"/>
        </w:rPr>
        <w:t xml:space="preserve">    μ_j ← μ + draw(σ / √(n + τ));  lifespan_j ← Gompertz draw (to 105)</w:t>
      </w:r>
    </w:p>
    <w:p>
      <w:pPr>
        <w:shd w:fill="F2F2F2" w:color="auto" w:val="clear"/>
        <w:spacing w:after="0" w:line="240"/>
        <w:ind w:left="200"/>
      </w:pPr>
      <w:r>
        <w:rPr>
          <w:rFonts w:ascii="Courier New" w:cs="Courier New" w:eastAsia="Courier New" w:hAnsi="Courier New"/>
          <w:sz w:val="17"/>
          <w:szCs w:val="17"/>
        </w:rPr>
        <w:t xml:space="preserve">    shocks ← unit-variance Student-t(5) for every year</w:t>
      </w:r>
    </w:p>
    <w:p>
      <w:pPr>
        <w:shd w:fill="F2F2F2" w:color="auto" w:val="clear"/>
        <w:spacing w:after="0" w:line="240"/>
        <w:ind w:left="200"/>
      </w:pPr>
      <w:r>
        <w:rPr>
          <w:rFonts w:ascii="Courier New" w:cs="Courier New" w:eastAsia="Courier New" w:hAnsi="Courier New"/>
          <w:sz w:val="17"/>
          <w:szCs w:val="17"/>
        </w:rPr>
        <w:t xml:space="preserve">    inflation ← block bootstrap of historical CPI</w:t>
      </w:r>
    </w:p>
    <w:p>
      <w:pPr>
        <w:shd w:fill="F2F2F2" w:color="auto" w:val="clear"/>
        <w:spacing w:after="0" w:line="240"/>
        <w:ind w:left="200"/>
      </w:pPr>
      <w:r>
        <w:rPr>
          <w:rFonts w:ascii="Courier New" w:cs="Courier New" w:eastAsia="Courier New" w:hAnsi="Courier New"/>
          <w:sz w:val="17"/>
          <w:szCs w:val="17"/>
        </w:rPr>
        <w:t xml:space="preserve">    for each year y until lifespan_j:</w:t>
      </w:r>
    </w:p>
    <w:p>
      <w:pPr>
        <w:shd w:fill="F2F2F2" w:color="auto" w:val="clear"/>
        <w:spacing w:after="0" w:line="240"/>
        <w:ind w:left="200"/>
      </w:pPr>
      <w:r>
        <w:rPr>
          <w:rFonts w:ascii="Courier New" w:cs="Courier New" w:eastAsia="Courier New" w:hAnsi="Courier New"/>
          <w:sz w:val="17"/>
          <w:szCs w:val="17"/>
        </w:rPr>
        <w:t xml:space="preserve">      if working: corpus ← corpus·(1 + r_y) + SIP·(1 + step-up)^y</w:t>
      </w:r>
    </w:p>
    <w:p>
      <w:pPr>
        <w:shd w:fill="F2F2F2" w:color="auto" w:val="clear"/>
        <w:spacing w:after="0" w:line="240"/>
        <w:ind w:left="200"/>
      </w:pPr>
      <w:r>
        <w:rPr>
          <w:rFonts w:ascii="Courier New" w:cs="Courier New" w:eastAsia="Courier New" w:hAnsi="Courier New"/>
          <w:sz w:val="17"/>
          <w:szCs w:val="17"/>
        </w:rPr>
        <w:t xml:space="preserve">      else:      withdrawal ← STRATEGY(corpus, spending, guardrails); tax on gains</w:t>
      </w:r>
    </w:p>
    <w:p>
      <w:pPr>
        <w:shd w:fill="F2F2F2" w:color="auto" w:val="clear"/>
        <w:spacing w:after="0" w:line="240"/>
        <w:ind w:left="200"/>
      </w:pPr>
      <w:r>
        <w:rPr>
          <w:rFonts w:ascii="Courier New" w:cs="Courier New" w:eastAsia="Courier New" w:hAnsi="Courier New"/>
          <w:sz w:val="17"/>
          <w:szCs w:val="17"/>
        </w:rPr>
        <w:t xml:space="preserve">                 corpus ← (corpus − withdrawal)·(1 + r_y)</w:t>
      </w:r>
    </w:p>
    <w:p>
      <w:pPr>
        <w:shd w:fill="F2F2F2" w:color="auto" w:val="clear"/>
        <w:spacing w:after="0" w:line="240"/>
        <w:ind w:left="200"/>
      </w:pPr>
      <w:r>
        <w:rPr>
          <w:rFonts w:ascii="Courier New" w:cs="Courier New" w:eastAsia="Courier New" w:hAnsi="Courier New"/>
          <w:sz w:val="17"/>
          <w:szCs w:val="17"/>
        </w:rPr>
        <w:t xml:space="preserve">                 if corpus ≤ 0: mark path as failed</w:t>
      </w:r>
    </w:p>
    <w:p>
      <w:pPr>
        <w:shd w:fill="F2F2F2" w:color="auto" w:val="clear"/>
        <w:spacing w:after="0" w:line="240"/>
        <w:ind w:left="200"/>
      </w:pPr>
      <w:r>
        <w:rPr>
          <w:rFonts w:ascii="Courier New" w:cs="Courier New" w:eastAsia="Courier New" w:hAnsi="Courier New"/>
          <w:sz w:val="17"/>
          <w:szCs w:val="17"/>
        </w:rPr>
        <w:t xml:space="preserve">  k ← successful paths;  report (k + ½)/(N + 1) with Beta(k + ½, N − k + ½) interval</w:t>
      </w:r>
    </w:p>
    <w:p>
      <w:pPr>
        <w:shd w:fill="F2F2F2" w:color="auto" w:val="clear"/>
        <w:spacing w:after="160" w:line="240"/>
        <w:ind w:left="200"/>
      </w:pPr>
      <w:r>
        <w:rPr>
          <w:rFonts w:ascii="Courier New" w:cs="Courier New" w:eastAsia="Courier New" w:hAnsi="Courier New"/>
          <w:sz w:val="17"/>
          <w:szCs w:val="17"/>
        </w:rPr>
        <w:t xml:space="preserve">  repeat with common random numbers for the other strategies (leaderboard)</w:t>
      </w:r>
    </w:p>
    <w:p>
      <w:pPr>
        <w:pStyle w:val="Heading3"/>
        <w:keepNext/>
      </w:pPr>
      <w:r>
        <w:rPr>
          <w:rFonts w:ascii="Times New Roman" w:cs="Times New Roman" w:eastAsia="Times New Roman" w:hAnsi="Times New Roman"/>
        </w:rPr>
        <w:t xml:space="preserve">Algorithm 6: FIFO lot matching and capital-gains tax (O6)</w:t>
      </w:r>
    </w:p>
    <w:p>
      <w:pPr>
        <w:shd w:fill="F2F2F2" w:color="auto" w:val="clear"/>
        <w:spacing w:after="0" w:line="240"/>
        <w:ind w:left="200"/>
      </w:pPr>
      <w:r>
        <w:rPr>
          <w:rFonts w:ascii="Courier New" w:cs="Courier New" w:eastAsia="Courier New" w:hAnsi="Courier New"/>
          <w:sz w:val="17"/>
          <w:szCs w:val="17"/>
        </w:rPr>
        <w:t xml:space="preserve">REDEEM(lots, sell_units, sell_nav, sell_date):</w:t>
      </w:r>
    </w:p>
    <w:p>
      <w:pPr>
        <w:shd w:fill="F2F2F2" w:color="auto" w:val="clear"/>
        <w:spacing w:after="0" w:line="240"/>
        <w:ind w:left="200"/>
      </w:pPr>
      <w:r>
        <w:rPr>
          <w:rFonts w:ascii="Courier New" w:cs="Courier New" w:eastAsia="Courier New" w:hAnsi="Courier New"/>
          <w:sz w:val="17"/>
          <w:szCs w:val="17"/>
        </w:rPr>
        <w:t xml:space="preserve">  Q ← deque(lots sorted by (txn_date, txn_id))        # oldest first</w:t>
      </w:r>
    </w:p>
    <w:p>
      <w:pPr>
        <w:shd w:fill="F2F2F2" w:color="auto" w:val="clear"/>
        <w:spacing w:after="0" w:line="240"/>
        <w:ind w:left="200"/>
      </w:pPr>
      <w:r>
        <w:rPr>
          <w:rFonts w:ascii="Courier New" w:cs="Courier New" w:eastAsia="Courier New" w:hAnsi="Courier New"/>
          <w:sz w:val="17"/>
          <w:szCs w:val="17"/>
        </w:rPr>
        <w:t xml:space="preserve">  if sell_units &gt; Σ units in Q: raise InsufficientUnits</w:t>
      </w:r>
    </w:p>
    <w:p>
      <w:pPr>
        <w:shd w:fill="F2F2F2" w:color="auto" w:val="clear"/>
        <w:spacing w:after="0" w:line="240"/>
        <w:ind w:left="200"/>
      </w:pPr>
      <w:r>
        <w:rPr>
          <w:rFonts w:ascii="Courier New" w:cs="Courier New" w:eastAsia="Courier New" w:hAnsi="Courier New"/>
          <w:sz w:val="17"/>
          <w:szCs w:val="17"/>
        </w:rPr>
        <w:t xml:space="preserve">  while sell_units &gt; 0:</w:t>
      </w:r>
    </w:p>
    <w:p>
      <w:pPr>
        <w:shd w:fill="F2F2F2" w:color="auto" w:val="clear"/>
        <w:spacing w:after="0" w:line="240"/>
        <w:ind w:left="200"/>
      </w:pPr>
      <w:r>
        <w:rPr>
          <w:rFonts w:ascii="Courier New" w:cs="Courier New" w:eastAsia="Courier New" w:hAnsi="Courier New"/>
          <w:sz w:val="17"/>
          <w:szCs w:val="17"/>
        </w:rPr>
        <w:t xml:space="preserve">    lot ← Q.front;  take ← min(lot.units, sell_units)</w:t>
      </w:r>
    </w:p>
    <w:p>
      <w:pPr>
        <w:shd w:fill="F2F2F2" w:color="auto" w:val="clear"/>
        <w:spacing w:after="0" w:line="240"/>
        <w:ind w:left="200"/>
      </w:pPr>
      <w:r>
        <w:rPr>
          <w:rFonts w:ascii="Courier New" w:cs="Courier New" w:eastAsia="Courier New" w:hAnsi="Courier New"/>
          <w:sz w:val="17"/>
          <w:szCs w:val="17"/>
        </w:rPr>
        <w:t xml:space="preserve">    gain ← take·(sell_nav − lot.nav)                   # Decimal arithmetic</w:t>
      </w:r>
    </w:p>
    <w:p>
      <w:pPr>
        <w:shd w:fill="F2F2F2" w:color="auto" w:val="clear"/>
        <w:spacing w:after="0" w:line="240"/>
        <w:ind w:left="200"/>
      </w:pPr>
      <w:r>
        <w:rPr>
          <w:rFonts w:ascii="Courier New" w:cs="Courier New" w:eastAsia="Courier New" w:hAnsi="Courier New"/>
          <w:sz w:val="17"/>
          <w:szCs w:val="17"/>
        </w:rPr>
        <w:t xml:space="preserve">    type ← LTCG if held &gt; 365 days (equity) / 730 days (old debt) else STCG</w:t>
      </w:r>
    </w:p>
    <w:p>
      <w:pPr>
        <w:shd w:fill="F2F2F2" w:color="auto" w:val="clear"/>
        <w:spacing w:after="0" w:line="240"/>
        <w:ind w:left="200"/>
      </w:pPr>
      <w:r>
        <w:rPr>
          <w:rFonts w:ascii="Courier New" w:cs="Courier New" w:eastAsia="Courier New" w:hAnsi="Courier New"/>
          <w:sz w:val="17"/>
          <w:szCs w:val="17"/>
        </w:rPr>
        <w:t xml:space="preserve">    if take = lot.units: Q.popleft()  else: Q.front.units −= take</w:t>
      </w:r>
    </w:p>
    <w:p>
      <w:pPr>
        <w:shd w:fill="F2F2F2" w:color="auto" w:val="clear"/>
        <w:spacing w:after="0" w:line="240"/>
        <w:ind w:left="200"/>
      </w:pPr>
      <w:r>
        <w:rPr>
          <w:rFonts w:ascii="Courier New" w:cs="Courier New" w:eastAsia="Courier New" w:hAnsi="Courier New"/>
          <w:sz w:val="17"/>
          <w:szCs w:val="17"/>
        </w:rPr>
        <w:t xml:space="preserve">    sell_units −= take</w:t>
      </w:r>
    </w:p>
    <w:p>
      <w:pPr>
        <w:shd w:fill="F2F2F2" w:color="auto" w:val="clear"/>
        <w:spacing w:after="160" w:line="240"/>
        <w:ind w:left="200"/>
      </w:pPr>
      <w:r>
        <w:rPr>
          <w:rFonts w:ascii="Courier New" w:cs="Courier New" w:eastAsia="Courier New" w:hAnsi="Courier New"/>
          <w:sz w:val="17"/>
          <w:szCs w:val="17"/>
        </w:rPr>
        <w:t xml:space="preserve">  tax ← 20% of equity STCG + 12.5% of (equity LTCG − ₹1,25,000 annual exemption)</w:t>
      </w:r>
    </w:p>
    <w:p>
      <w:pPr>
        <w:pStyle w:val="Heading3"/>
        <w:keepNext/>
      </w:pPr>
      <w:r>
        <w:rPr>
          <w:rFonts w:ascii="Times New Roman" w:cs="Times New Roman" w:eastAsia="Times New Roman" w:hAnsi="Times New Roman"/>
        </w:rPr>
        <w:t xml:space="preserve">Algorithm 7: Sliding-window rate limiter (O7)</w:t>
      </w:r>
    </w:p>
    <w:p>
      <w:pPr>
        <w:shd w:fill="F2F2F2" w:color="auto" w:val="clear"/>
        <w:spacing w:after="0" w:line="240"/>
        <w:ind w:left="200"/>
      </w:pPr>
      <w:r>
        <w:rPr>
          <w:rFonts w:ascii="Courier New" w:cs="Courier New" w:eastAsia="Courier New" w:hAnsi="Courier New"/>
          <w:sz w:val="17"/>
          <w:szCs w:val="17"/>
        </w:rPr>
        <w:t xml:space="preserve">ALLOW(client, bucket, limit, window):   # one atomic Lua script in Redis</w:t>
      </w:r>
    </w:p>
    <w:p>
      <w:pPr>
        <w:shd w:fill="F2F2F2" w:color="auto" w:val="clear"/>
        <w:spacing w:after="0" w:line="240"/>
        <w:ind w:left="200"/>
      </w:pPr>
      <w:r>
        <w:rPr>
          <w:rFonts w:ascii="Courier New" w:cs="Courier New" w:eastAsia="Courier New" w:hAnsi="Courier New"/>
          <w:sz w:val="17"/>
          <w:szCs w:val="17"/>
        </w:rPr>
        <w:t xml:space="preserve">  key ← client + bucket</w:t>
      </w:r>
    </w:p>
    <w:p>
      <w:pPr>
        <w:shd w:fill="F2F2F2" w:color="auto" w:val="clear"/>
        <w:spacing w:after="0" w:line="240"/>
        <w:ind w:left="200"/>
      </w:pPr>
      <w:r>
        <w:rPr>
          <w:rFonts w:ascii="Courier New" w:cs="Courier New" w:eastAsia="Courier New" w:hAnsi="Courier New"/>
          <w:sz w:val="17"/>
          <w:szCs w:val="17"/>
        </w:rPr>
        <w:t xml:space="preserve">  ZREMRANGEBYSCORE key 0 (now − window)               # forget old requests</w:t>
      </w:r>
    </w:p>
    <w:p>
      <w:pPr>
        <w:shd w:fill="F2F2F2" w:color="auto" w:val="clear"/>
        <w:spacing w:after="0" w:line="240"/>
        <w:ind w:left="200"/>
      </w:pPr>
      <w:r>
        <w:rPr>
          <w:rFonts w:ascii="Courier New" w:cs="Courier New" w:eastAsia="Courier New" w:hAnsi="Courier New"/>
          <w:sz w:val="17"/>
          <w:szCs w:val="17"/>
        </w:rPr>
        <w:t xml:space="preserve">  if ZCARD key ≥ limit: return DENY, retry_after from the oldest score</w:t>
      </w:r>
    </w:p>
    <w:p>
      <w:pPr>
        <w:shd w:fill="F2F2F2" w:color="auto" w:val="clear"/>
        <w:spacing w:after="0" w:line="240"/>
        <w:ind w:left="200"/>
      </w:pPr>
      <w:r>
        <w:rPr>
          <w:rFonts w:ascii="Courier New" w:cs="Courier New" w:eastAsia="Courier New" w:hAnsi="Courier New"/>
          <w:sz w:val="17"/>
          <w:szCs w:val="17"/>
        </w:rPr>
        <w:t xml:space="preserve">  ZADD key now unique_id;  PEXPIRE key window</w:t>
      </w:r>
    </w:p>
    <w:p>
      <w:pPr>
        <w:shd w:fill="F2F2F2" w:color="auto" w:val="clear"/>
        <w:spacing w:after="0" w:line="240"/>
        <w:ind w:left="200"/>
      </w:pPr>
      <w:r>
        <w:rPr>
          <w:rFonts w:ascii="Courier New" w:cs="Courier New" w:eastAsia="Courier New" w:hAnsi="Courier New"/>
          <w:sz w:val="17"/>
          <w:szCs w:val="17"/>
        </w:rPr>
        <w:t xml:space="preserve">  return ALLOW</w:t>
      </w:r>
    </w:p>
    <w:p>
      <w:pPr>
        <w:shd w:fill="F2F2F2" w:color="auto" w:val="clear"/>
        <w:spacing w:after="160" w:line="240"/>
        <w:ind w:left="200"/>
      </w:pPr>
      <w:r>
        <w:rPr>
          <w:rFonts w:ascii="Courier New" w:cs="Courier New" w:eastAsia="Courier New" w:hAnsi="Courier New"/>
          <w:sz w:val="17"/>
          <w:szCs w:val="17"/>
        </w:rPr>
        <w:t xml:space="preserve">  on Redis failure: same algorithm on an in-process deque per key (fail open)</w:t>
      </w:r>
    </w:p>
    <w:p>
      <w:pPr>
        <w:pStyle w:val="Heading3"/>
        <w:keepNext/>
      </w:pPr>
      <w:r>
        <w:rPr>
          <w:rFonts w:ascii="Times New Roman" w:cs="Times New Roman" w:eastAsia="Times New Roman" w:hAnsi="Times New Roman"/>
        </w:rPr>
        <w:t xml:space="preserve">Algorithm 8: Token rotation with reuse detection (O9)</w:t>
      </w:r>
    </w:p>
    <w:p>
      <w:pPr>
        <w:shd w:fill="F2F2F2" w:color="auto" w:val="clear"/>
        <w:spacing w:after="0" w:line="240"/>
        <w:ind w:left="200"/>
      </w:pPr>
      <w:r>
        <w:rPr>
          <w:rFonts w:ascii="Courier New" w:cs="Courier New" w:eastAsia="Courier New" w:hAnsi="Courier New"/>
          <w:sz w:val="17"/>
          <w:szCs w:val="17"/>
        </w:rPr>
        <w:t xml:space="preserve">REFRESH(token):</w:t>
      </w:r>
    </w:p>
    <w:p>
      <w:pPr>
        <w:shd w:fill="F2F2F2" w:color="auto" w:val="clear"/>
        <w:spacing w:after="0" w:line="240"/>
        <w:ind w:left="200"/>
      </w:pPr>
      <w:r>
        <w:rPr>
          <w:rFonts w:ascii="Courier New" w:cs="Courier New" w:eastAsia="Courier New" w:hAnsi="Courier New"/>
          <w:sz w:val="17"/>
          <w:szCs w:val="17"/>
        </w:rPr>
        <w:t xml:space="preserve">  claims ← verify signature and expiry;  row ← refresh_tokens[claims.jti]</w:t>
      </w:r>
    </w:p>
    <w:p>
      <w:pPr>
        <w:shd w:fill="F2F2F2" w:color="auto" w:val="clear"/>
        <w:spacing w:after="0" w:line="240"/>
        <w:ind w:left="200"/>
      </w:pPr>
      <w:r>
        <w:rPr>
          <w:rFonts w:ascii="Courier New" w:cs="Courier New" w:eastAsia="Courier New" w:hAnsi="Courier New"/>
          <w:sz w:val="17"/>
          <w:szCs w:val="17"/>
        </w:rPr>
        <w:t xml:space="preserve">  if row.revoked_at is set:                          # a used token came back</w:t>
      </w:r>
    </w:p>
    <w:p>
      <w:pPr>
        <w:shd w:fill="F2F2F2" w:color="auto" w:val="clear"/>
        <w:spacing w:after="0" w:line="240"/>
        <w:ind w:left="200"/>
      </w:pPr>
      <w:r>
        <w:rPr>
          <w:rFonts w:ascii="Courier New" w:cs="Courier New" w:eastAsia="Courier New" w:hAnsi="Courier New"/>
          <w:sz w:val="17"/>
          <w:szCs w:val="17"/>
        </w:rPr>
        <w:t xml:space="preserve">      revoke every token of row.user_id;  return 401</w:t>
      </w:r>
    </w:p>
    <w:p>
      <w:pPr>
        <w:shd w:fill="F2F2F2" w:color="auto" w:val="clear"/>
        <w:spacing w:after="160" w:line="240"/>
        <w:ind w:left="200"/>
      </w:pPr>
      <w:r>
        <w:rPr>
          <w:rFonts w:ascii="Courier New" w:cs="Courier New" w:eastAsia="Courier New" w:hAnsi="Courier New"/>
          <w:sz w:val="17"/>
          <w:szCs w:val="17"/>
        </w:rPr>
        <w:t xml:space="preserve">  row.revoked_at ← now;  issue new access + refresh pair;  store new jti</w:t>
      </w:r>
    </w:p>
    <w:p>
      <w:pPr>
        <w:pStyle w:val="Heading3"/>
        <w:keepNext/>
      </w:pPr>
      <w:r>
        <w:rPr>
          <w:rFonts w:ascii="Times New Roman" w:cs="Times New Roman" w:eastAsia="Times New Roman" w:hAnsi="Times New Roman"/>
        </w:rPr>
        <w:t xml:space="preserve">Algorithm 9: Return series with fallback (O8)</w:t>
      </w:r>
    </w:p>
    <w:p>
      <w:pPr>
        <w:shd w:fill="F2F2F2" w:color="auto" w:val="clear"/>
        <w:spacing w:after="0" w:line="240"/>
        <w:ind w:left="200"/>
      </w:pPr>
      <w:r>
        <w:rPr>
          <w:rFonts w:ascii="Courier New" w:cs="Courier New" w:eastAsia="Courier New" w:hAnsi="Courier New"/>
          <w:sz w:val="17"/>
          <w:szCs w:val="17"/>
        </w:rPr>
        <w:t xml:space="preserve">RETURNS(scheme, period):</w:t>
      </w:r>
    </w:p>
    <w:p>
      <w:pPr>
        <w:shd w:fill="F2F2F2" w:color="auto" w:val="clear"/>
        <w:spacing w:after="0" w:line="240"/>
        <w:ind w:left="200"/>
      </w:pPr>
      <w:r>
        <w:rPr>
          <w:rFonts w:ascii="Courier New" w:cs="Courier New" w:eastAsia="Courier New" w:hAnsi="Courier New"/>
          <w:sz w:val="17"/>
          <w:szCs w:val="17"/>
        </w:rPr>
        <w:t xml:space="preserve">  if verified NAV file &lt; 30 days old and has scheme:</w:t>
      </w:r>
    </w:p>
    <w:p>
      <w:pPr>
        <w:shd w:fill="F2F2F2" w:color="auto" w:val="clear"/>
        <w:spacing w:after="0" w:line="240"/>
        <w:ind w:left="200"/>
      </w:pPr>
      <w:r>
        <w:rPr>
          <w:rFonts w:ascii="Courier New" w:cs="Courier New" w:eastAsia="Courier New" w:hAnsi="Courier New"/>
          <w:sz w:val="17"/>
          <w:szCs w:val="17"/>
        </w:rPr>
        <w:t xml:space="preserve">      return (returns, 'amfi_nav_verified')</w:t>
      </w:r>
    </w:p>
    <w:p>
      <w:pPr>
        <w:shd w:fill="F2F2F2" w:color="auto" w:val="clear"/>
        <w:spacing w:after="0" w:line="240"/>
        <w:ind w:left="200"/>
      </w:pPr>
      <w:r>
        <w:rPr>
          <w:rFonts w:ascii="Courier New" w:cs="Courier New" w:eastAsia="Courier New" w:hAnsi="Courier New"/>
          <w:sz w:val="17"/>
          <w:szCs w:val="17"/>
        </w:rPr>
        <w:t xml:space="preserve">  if live AMFI NAV for the verified code passes the name check:</w:t>
      </w:r>
    </w:p>
    <w:p>
      <w:pPr>
        <w:shd w:fill="F2F2F2" w:color="auto" w:val="clear"/>
        <w:spacing w:after="0" w:line="240"/>
        <w:ind w:left="200"/>
      </w:pPr>
      <w:r>
        <w:rPr>
          <w:rFonts w:ascii="Courier New" w:cs="Courier New" w:eastAsia="Courier New" w:hAnsi="Courier New"/>
          <w:sz w:val="17"/>
          <w:szCs w:val="17"/>
        </w:rPr>
        <w:t xml:space="preserve">      return (returns, 'amfi_nav')</w:t>
      </w:r>
    </w:p>
    <w:p>
      <w:pPr>
        <w:shd w:fill="F2F2F2" w:color="auto" w:val="clear"/>
        <w:spacing w:after="0" w:line="240"/>
        <w:ind w:left="200"/>
      </w:pPr>
      <w:r>
        <w:rPr>
          <w:rFonts w:ascii="Courier New" w:cs="Courier New" w:eastAsia="Courier New" w:hAnsi="Courier New"/>
          <w:sz w:val="17"/>
          <w:szCs w:val="17"/>
        </w:rPr>
        <w:t xml:space="preserve">  if equity and holdings prices exist:</w:t>
      </w:r>
    </w:p>
    <w:p>
      <w:pPr>
        <w:shd w:fill="F2F2F2" w:color="auto" w:val="clear"/>
        <w:spacing w:after="0" w:line="240"/>
        <w:ind w:left="200"/>
      </w:pPr>
      <w:r>
        <w:rPr>
          <w:rFonts w:ascii="Courier New" w:cs="Courier New" w:eastAsia="Courier New" w:hAnsi="Courier New"/>
          <w:sz w:val="17"/>
          <w:szCs w:val="17"/>
        </w:rPr>
        <w:t xml:space="preserve">      return (Σ weight·stock returns − TER, 'holdings')</w:t>
      </w:r>
    </w:p>
    <w:p>
      <w:pPr>
        <w:shd w:fill="F2F2F2" w:color="auto" w:val="clear"/>
        <w:spacing w:after="0" w:line="240"/>
        <w:ind w:left="200"/>
      </w:pPr>
      <w:r>
        <w:rPr>
          <w:rFonts w:ascii="Courier New" w:cs="Courier New" w:eastAsia="Courier New" w:hAnsi="Courier New"/>
          <w:sz w:val="17"/>
          <w:szCs w:val="17"/>
        </w:rPr>
        <w:t xml:space="preserve">  if debt: return (duration/YTM model, 'debt_model')</w:t>
      </w:r>
    </w:p>
    <w:p>
      <w:pPr>
        <w:shd w:fill="F2F2F2" w:color="auto" w:val="clear"/>
        <w:spacing w:after="160" w:line="240"/>
        <w:ind w:left="200"/>
      </w:pPr>
      <w:r>
        <w:rPr>
          <w:rFonts w:ascii="Courier New" w:cs="Courier New" w:eastAsia="Courier New" w:hAnsi="Courier New"/>
          <w:sz w:val="17"/>
          <w:szCs w:val="17"/>
        </w:rPr>
        <w:t xml:space="preserve">  return (regime-switching synthetic series, 'synthetic')  # 0 years of evidence</w:t>
      </w:r>
    </w:p>
    <w:p>
      <w:pPr>
        <w:pStyle w:val="Heading2"/>
        <w:keepNext/>
      </w:pPr>
      <w:bookmarkStart w:name="_Toc48" w:id="48"/>
      <w:r>
        <w:rPr>
          <w:rFonts w:ascii="Times New Roman" w:cs="Times New Roman" w:eastAsia="Times New Roman" w:hAnsi="Times New Roman"/>
        </w:rPr>
        <w:t xml:space="preserve">5.3 Flowcharts</w:t>
      </w:r>
      <w:bookmarkEnd w:id="48"/>
    </w:p>
    <w:p>
      <w:pPr>
        <w:spacing w:after="120" w:line="360"/>
        <w:jc w:val="both"/>
      </w:pPr>
      <w:r>
        <w:rPr>
          <w:rFonts w:ascii="Times New Roman" w:cs="Times New Roman" w:eastAsia="Times New Roman" w:hAnsi="Times New Roman"/>
        </w:rPr>
        <w:t xml:space="preserve">The two main user-facing processes and the two most complex internal processes are shown as flowcharts.</w:t>
      </w:r>
    </w:p>
    <w:p>
      <w:pPr>
        <w:keepNext/>
        <w:spacing w:before="120"/>
        <w:jc w:val="center"/>
      </w:pPr>
      <w:r>
        <w:drawing>
          <wp:inline distT="0" distB="0" distL="0" distR="0">
            <wp:extent cx="4286250" cy="3914775"/>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286250" cy="391477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5.</w:t>
      </w:r>
      <w:fldSimple w:instr="SEQ Figure \* ARABIC \s 1">
        <w:r>
          <w:t xml:space="preserve">1</w:t>
        </w:r>
      </w:fldSimple>
      <w:r>
        <w:rPr>
          <w:rFonts w:ascii="Times New Roman" w:cs="Times New Roman" w:eastAsia="Times New Roman" w:hAnsi="Times New Roman"/>
        </w:rPr>
        <w:t xml:space="preserve">: Portfolio Creation Flowchart</w:t>
      </w:r>
    </w:p>
    <w:p>
      <w:pPr>
        <w:keepNext/>
        <w:spacing w:before="120"/>
        <w:jc w:val="center"/>
      </w:pPr>
      <w:r>
        <w:drawing>
          <wp:inline distT="0" distB="0" distL="0" distR="0">
            <wp:extent cx="4000500" cy="4962525"/>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49625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5.</w:t>
      </w:r>
      <w:fldSimple w:instr="SEQ Figure \* ARABIC \s 1">
        <w:r>
          <w:t xml:space="preserve">2</w:t>
        </w:r>
      </w:fldSimple>
      <w:r>
        <w:rPr>
          <w:rFonts w:ascii="Times New Roman" w:cs="Times New Roman" w:eastAsia="Times New Roman" w:hAnsi="Times New Roman"/>
        </w:rPr>
        <w:t xml:space="preserve">: Portfolio Analysis Flowchart</w:t>
      </w:r>
    </w:p>
    <w:p>
      <w:pPr>
        <w:keepNext/>
        <w:spacing w:before="120"/>
        <w:jc w:val="center"/>
      </w:pPr>
      <w:r>
        <w:drawing>
          <wp:inline distT="0" distB="0" distL="0" distR="0">
            <wp:extent cx="5334000" cy="3162300"/>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1623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5.</w:t>
      </w:r>
      <w:fldSimple w:instr="SEQ Figure \* ARABIC \s 1">
        <w:r>
          <w:t xml:space="preserve">3</w:t>
        </w:r>
      </w:fldSimple>
      <w:r>
        <w:rPr>
          <w:rFonts w:ascii="Times New Roman" w:cs="Times New Roman" w:eastAsia="Times New Roman" w:hAnsi="Times New Roman"/>
        </w:rPr>
        <w:t xml:space="preserve">: Flowchart of the return-data fallback chain (Algorithm 9)</w:t>
      </w:r>
    </w:p>
    <w:p>
      <w:pPr>
        <w:keepNext/>
        <w:spacing w:before="120"/>
        <w:jc w:val="center"/>
      </w:pPr>
      <w:r>
        <w:drawing>
          <wp:inline distT="0" distB="0" distL="0" distR="0">
            <wp:extent cx="5334000" cy="3962400"/>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9624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5.</w:t>
      </w:r>
      <w:fldSimple w:instr="SEQ Figure \* ARABIC \s 1">
        <w:r>
          <w:t xml:space="preserve">4</w:t>
        </w:r>
      </w:fldSimple>
      <w:r>
        <w:rPr>
          <w:rFonts w:ascii="Times New Roman" w:cs="Times New Roman" w:eastAsia="Times New Roman" w:hAnsi="Times New Roman"/>
        </w:rPr>
        <w:t xml:space="preserve">: Model training and selection pipeline, one lane per engine</w:t>
      </w:r>
    </w:p>
    <w:p>
      <w:pPr>
        <w:pStyle w:val="Heading2"/>
        <w:keepNext/>
      </w:pPr>
      <w:bookmarkStart w:name="_Toc49" w:id="49"/>
      <w:r>
        <w:rPr>
          <w:rFonts w:ascii="Times New Roman" w:cs="Times New Roman" w:eastAsia="Times New Roman" w:hAnsi="Times New Roman"/>
        </w:rPr>
        <w:t xml:space="preserve">5.4 Data Structure Selection</w:t>
      </w:r>
      <w:bookmarkEnd w:id="49"/>
    </w:p>
    <w:p>
      <w:pPr>
        <w:pStyle w:val="Caption"/>
        <w:spacing w:after="240" w:before="80"/>
        <w:jc w:val="center"/>
      </w:pPr>
      <w:r>
        <w:rPr>
          <w:rFonts w:ascii="Times New Roman" w:cs="Times New Roman" w:eastAsia="Times New Roman" w:hAnsi="Times New Roman"/>
          <w:b/>
          <w:bCs/>
        </w:rPr>
        <w:t xml:space="preserve">Table 5.</w:t>
      </w:r>
      <w:fldSimple w:instr="SEQ Table \* ARABIC \s 1">
        <w:r>
          <w:t xml:space="preserve">2</w:t>
        </w:r>
      </w:fldSimple>
      <w:r>
        <w:rPr>
          <w:rFonts w:ascii="Times New Roman" w:cs="Times New Roman" w:eastAsia="Times New Roman" w:hAnsi="Times New Roman"/>
        </w:rPr>
        <w:t xml:space="preserve">: Data structures and their use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80"/>
        <w:gridCol w:w="3115"/>
        <w:gridCol w:w="3011"/>
      </w:tblGrid>
      <w:tr>
        <w:trPr>
          <w:tblHeader/>
        </w:trPr>
        <w:tc>
          <w:tcPr>
            <w:tcW w:type="dxa" w:w="21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Data structure</w:t>
            </w:r>
          </w:p>
        </w:tc>
        <w:tc>
          <w:tcPr>
            <w:tcW w:type="dxa" w:w="311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Where used</w:t>
            </w:r>
          </w:p>
        </w:tc>
        <w:tc>
          <w:tcPr>
            <w:tcW w:type="dxa" w:w="301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Reason</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Hash map (dict) and hash set</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Holdings name → weight per scheme; engine registry; schemes by ID</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O(1) average lookup makes set intersection linear in the smaller set</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Double-ended queue (deque)</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Open FIFO lots; in-process rate-limit timestamps</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O(1) removal from the front (oldest lot, oldest request)</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Sorted set (Redis skip list)</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Distributed rate-limit window</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Range deletion by score and count in O(log n + m)</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Dense matrices (NumPy arrays)</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Covariance, correlation, overlap and simulation paths</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Vectorised arithmetic in compiled code; contiguous memory</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Bit masks (Boolean array)</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Shapley coalitions (1,024 × 10)</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All coalitions evaluated in one vectorised call</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Tree (dendrogram)</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Average-linkage clustering of funds (PLOS), HRP ordering</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Hierarchical grouping of redundant funds</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Graph (nodes and weighted edges)</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 network view</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Funds as nodes, overlap above threshold as edges</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B-tree index</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PostgreSQL indexes (Section 4.6.5)</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Ordered range scans, e.g. one user’s ledger by date</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Time-partitioned table (hypertable)</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stock_prices, fund_nav_history</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Range queries touch only the relevant time chunks</w:t>
            </w:r>
          </w:p>
        </w:tc>
      </w:tr>
      <w:tr>
        <w:trPr>
          <w:cantSplit/>
        </w:trPr>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LRU cache (size 1)</w:t>
            </w:r>
          </w:p>
        </w:tc>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Settings, assumptions, model and data files</w:t>
            </w:r>
          </w:p>
        </w:tc>
        <w:tc>
          <w:tcPr>
            <w:tcW w:type="dxa" w:w="301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Load once per process; constant-time reuse</w:t>
            </w:r>
          </w:p>
        </w:tc>
      </w:tr>
    </w:tbl>
    <w:p>
      <w:pPr>
        <w:spacing w:after="120"/>
      </w:pPr>
      <w:r>
        <w:rPr>
          <w:rFonts w:ascii="Times New Roman" w:cs="Times New Roman" w:eastAsia="Times New Roman" w:hAnsi="Times New Roman"/>
        </w:rPr>
        <w:t xml:space="preserve"/>
      </w:r>
    </w:p>
    <w:p>
      <w:pPr>
        <w:pStyle w:val="Heading2"/>
        <w:keepNext/>
      </w:pPr>
      <w:bookmarkStart w:name="_Toc50" w:id="50"/>
      <w:r>
        <w:rPr>
          <w:rFonts w:ascii="Times New Roman" w:cs="Times New Roman" w:eastAsia="Times New Roman" w:hAnsi="Times New Roman"/>
        </w:rPr>
        <w:t xml:space="preserve">5.5 Algorithm Selection and Justification</w:t>
      </w:r>
      <w:bookmarkEnd w:id="50"/>
    </w:p>
    <w:p>
      <w:pPr>
        <w:pStyle w:val="Caption"/>
        <w:spacing w:after="240" w:before="80"/>
        <w:jc w:val="center"/>
      </w:pPr>
      <w:r>
        <w:rPr>
          <w:rFonts w:ascii="Times New Roman" w:cs="Times New Roman" w:eastAsia="Times New Roman" w:hAnsi="Times New Roman"/>
          <w:b/>
          <w:bCs/>
        </w:rPr>
        <w:t xml:space="preserve">Table 5.</w:t>
      </w:r>
      <w:fldSimple w:instr="SEQ Table \* ARABIC \s 1">
        <w:r>
          <w:t xml:space="preserve">3</w:t>
        </w:r>
      </w:fldSimple>
      <w:r>
        <w:rPr>
          <w:rFonts w:ascii="Times New Roman" w:cs="Times New Roman" w:eastAsia="Times New Roman" w:hAnsi="Times New Roman"/>
        </w:rPr>
        <w:t xml:space="preserve">: Algorithm selection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54"/>
        <w:gridCol w:w="2596"/>
        <w:gridCol w:w="1765"/>
        <w:gridCol w:w="2491"/>
      </w:tblGrid>
      <w:tr>
        <w:trPr>
          <w:tblHeader/>
        </w:trPr>
        <w:tc>
          <w:tcPr>
            <w:tcW w:type="dxa" w:w="145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Problem</w:t>
            </w:r>
          </w:p>
        </w:tc>
        <w:tc>
          <w:tcPr>
            <w:tcW w:type="dxa" w:w="259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Alternatives compared</w:t>
            </w:r>
          </w:p>
        </w:tc>
        <w:tc>
          <w:tcPr>
            <w:tcW w:type="dxa" w:w="176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Selected</w:t>
            </w:r>
          </w:p>
        </w:tc>
        <w:tc>
          <w:tcPr>
            <w:tcW w:type="dxa" w:w="249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Justification</w:t>
            </w:r>
          </w:p>
        </w:tc>
      </w:tr>
      <w:tr>
        <w:trPr>
          <w:cantSplit/>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Set overlap</w:t>
            </w:r>
          </w:p>
        </w:tc>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Nested loops O(h_a·h_b); sorting O(h log h); hashing</w:t>
            </w:r>
          </w:p>
        </w:tc>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Hashing</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Linear time; holdings lists are small and unsorted</w:t>
            </w:r>
          </w:p>
        </w:tc>
      </w:tr>
      <w:tr>
        <w:trPr>
          <w:cantSplit/>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model</w:t>
            </w:r>
          </w:p>
        </w:tc>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Hand weights; learned linear (z); gradient-boosted trees</w:t>
            </w:r>
          </w:p>
        </w:tc>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Learned linear, ridge-shrunk to hand weights</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Best forward-in-time R² (0.626); monotone; explainable; trees overfit (0.575)</w:t>
            </w:r>
          </w:p>
        </w:tc>
      </w:tr>
      <w:tr>
        <w:trPr>
          <w:cantSplit/>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explanation</w:t>
            </w:r>
          </w:p>
        </w:tc>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Permutation importance; sampled Shapley; exact Shapley</w:t>
            </w:r>
          </w:p>
        </w:tc>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Exact Shapley</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Additive and exact; 1,024 evaluations of a linear model is cheap</w:t>
            </w:r>
          </w:p>
        </w:tc>
      </w:tr>
      <w:tr>
        <w:trPr>
          <w:cantSplit/>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Volatility</w:t>
            </w:r>
          </w:p>
        </w:tc>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GARCH-t, GJR, HAR, HAR-X, boosted HAR-X</w:t>
            </w:r>
          </w:p>
        </w:tc>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GARCH + HAR-X blend</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Lowest QLIKE; DM p &lt; 0.00001; blend passes backtests</w:t>
            </w:r>
          </w:p>
        </w:tc>
      </w:tr>
      <w:tr>
        <w:trPr>
          <w:cantSplit/>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Tail risk</w:t>
            </w:r>
          </w:p>
        </w:tc>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Normal VaR; historical; FHS; GARCH-EVT</w:t>
            </w:r>
          </w:p>
        </w:tc>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FHS at 95%, EVT at 99%</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Empirical shape where data is ample, GPD where it is scarce</w:t>
            </w:r>
          </w:p>
        </w:tc>
      </w:tr>
      <w:tr>
        <w:trPr>
          <w:cantSplit/>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Retirement</w:t>
            </w:r>
          </w:p>
        </w:tc>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Deterministic; bootstrap; regime-switching; Student-t</w:t>
            </w:r>
          </w:p>
        </w:tc>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Student-t with estimation risk</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Best calibration on 390 real outcomes; HMM kept as stress test</w:t>
            </w:r>
          </w:p>
        </w:tc>
      </w:tr>
      <w:tr>
        <w:trPr>
          <w:cantSplit/>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Lot matching</w:t>
            </w:r>
          </w:p>
        </w:tc>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Average cost; FIFO; LIFO</w:t>
            </w:r>
          </w:p>
        </w:tc>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FIFO</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Required by Indian registrars and the Income Tax Act</w:t>
            </w:r>
          </w:p>
        </w:tc>
      </w:tr>
      <w:tr>
        <w:trPr>
          <w:cantSplit/>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Rate limiting</w:t>
            </w:r>
          </w:p>
        </w:tc>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Fixed window; token bucket; sliding window</w:t>
            </w:r>
          </w:p>
        </w:tc>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Sliding window</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 2× burst at window edges; exact count</w:t>
            </w:r>
          </w:p>
        </w:tc>
      </w:tr>
      <w:tr>
        <w:trPr>
          <w:cantSplit/>
        </w:trPr>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Diversification count</w:t>
            </w:r>
          </w:p>
        </w:tc>
        <w:tc>
          <w:tcPr>
            <w:tcW w:type="dxa" w:w="259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Count of funds; minimum-torsion bets; diversification ratio</w:t>
            </w:r>
          </w:p>
        </w:tc>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Squared diversification ratio</w:t>
            </w:r>
          </w:p>
        </w:tc>
        <w:tc>
          <w:tcPr>
            <w:tcW w:type="dxa" w:w="249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Gives 1.7 for two near-identical funds plus one independent fund; minimum torsion gives 2.9</w:t>
            </w:r>
          </w:p>
        </w:tc>
      </w:tr>
    </w:tbl>
    <w:p>
      <w:pPr>
        <w:spacing w:after="120"/>
      </w:pPr>
      <w:r>
        <w:rPr>
          <w:rFonts w:ascii="Times New Roman" w:cs="Times New Roman" w:eastAsia="Times New Roman" w:hAnsi="Times New Roman"/>
        </w:rPr>
        <w:t xml:space="preserve"/>
      </w:r>
    </w:p>
    <w:p>
      <w:pPr>
        <w:pStyle w:val="Heading2"/>
        <w:keepNext/>
      </w:pPr>
      <w:bookmarkStart w:name="_Toc51" w:id="51"/>
      <w:r>
        <w:rPr>
          <w:rFonts w:ascii="Times New Roman" w:cs="Times New Roman" w:eastAsia="Times New Roman" w:hAnsi="Times New Roman"/>
        </w:rPr>
        <w:t xml:space="preserve">5.6 Time Complexity Analysis</w:t>
      </w:r>
      <w:bookmarkEnd w:id="51"/>
    </w:p>
    <w:p>
      <w:pPr>
        <w:spacing w:after="120" w:line="360"/>
        <w:jc w:val="both"/>
      </w:pPr>
      <w:r>
        <w:rPr>
          <w:rFonts w:ascii="Times New Roman" w:cs="Times New Roman" w:eastAsia="Times New Roman" w:hAnsi="Times New Roman"/>
        </w:rPr>
        <w:t xml:space="preserve">Let n be the number of selected schemes, h the holdings per scheme (about 30–60), S the number of distinct stocks in the covariance (about 190), T the number of daily observations (about 3,000), M = 10 the PLOS layers, N the Monte Carlo paths, Y the simulated years (40–70) and K = 4 withdrawal strategies.</w:t>
      </w:r>
    </w:p>
    <w:p>
      <w:pPr>
        <w:pStyle w:val="Caption"/>
        <w:spacing w:after="240" w:before="80"/>
        <w:jc w:val="center"/>
      </w:pPr>
      <w:r>
        <w:rPr>
          <w:rFonts w:ascii="Times New Roman" w:cs="Times New Roman" w:eastAsia="Times New Roman" w:hAnsi="Times New Roman"/>
          <w:b/>
          <w:bCs/>
        </w:rPr>
        <w:t xml:space="preserve">Table 5.</w:t>
      </w:r>
      <w:fldSimple w:instr="SEQ Table \* ARABIC \s 1">
        <w:r>
          <w:t xml:space="preserve">4</w:t>
        </w:r>
      </w:fldSimple>
      <w:r>
        <w:rPr>
          <w:rFonts w:ascii="Times New Roman" w:cs="Times New Roman" w:eastAsia="Times New Roman" w:hAnsi="Times New Roman"/>
        </w:rPr>
        <w:t xml:space="preserve">: Time complexity of critical operations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65"/>
        <w:gridCol w:w="2077"/>
        <w:gridCol w:w="1661"/>
        <w:gridCol w:w="2803"/>
      </w:tblGrid>
      <w:tr>
        <w:trPr>
          <w:tblHeader/>
        </w:trPr>
        <w:tc>
          <w:tcPr>
            <w:tcW w:type="dxa" w:w="176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Operation</w:t>
            </w:r>
          </w:p>
        </w:tc>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Best / average case</w:t>
            </w:r>
          </w:p>
        </w:tc>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Worst case</w:t>
            </w:r>
          </w:p>
        </w:tc>
        <w:tc>
          <w:tcPr>
            <w:tcW w:type="dxa" w:w="280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Dominant term</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O1 Filter</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Θ(35 · r)</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Θ(35 · r)</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Fixed rules r per scheme</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O2 Overlap</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Θ(n² · h)</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Θ(n² · h)</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Hash intersection per pair</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O3 PLOS layers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Θ(n·S² + n²·(S + T))</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same</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Holdings-implied wᵀΣw and return correlations</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O3 Shapley</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Θ(n² · M · 2^M)</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same</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1,024 coalitions per pair (constant for M = 10)</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O3 N_eff</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Θ(n²)</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Θ(n²)</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Quadratic form wᵀCw</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O3 Clustering</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Θ(n² log n)</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Θ(n³)</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Average linkage</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O4 GARCH fit</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Θ(I · T)</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Θ(I · T)</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 optimiser iterations over T days</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O4 FHS quantiles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Θ(T log T)</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Θ(T log T)</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Sorting residuals</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O5 ARISE</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Θ(K · N · Y)</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Θ(K · N · Y)</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Paths × years × strategies</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O6 FIFO redeem</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Θ(1) amortised per lot</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Θ(L log L)</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Initial sort of L lots, then deque pops</w:t>
            </w:r>
          </w:p>
        </w:tc>
      </w:tr>
      <w:tr>
        <w:trPr>
          <w:cantSplit/>
        </w:trPr>
        <w:tc>
          <w:tcPr>
            <w:tcW w:type="dxa" w:w="176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O7 Rate limit</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Θ(log m)</w:t>
            </w:r>
          </w:p>
        </w:tc>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Θ(log m + e)</w:t>
            </w:r>
          </w:p>
        </w:tc>
        <w:tc>
          <w:tcPr>
            <w:tcW w:type="dxa" w:w="280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Skip-list operations; e expired entries removed</w:t>
            </w:r>
          </w:p>
        </w:tc>
      </w:tr>
    </w:tbl>
    <w:p>
      <w:pPr>
        <w:spacing w:after="12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rPr>
        <w:t xml:space="preserve">The complexity analysis was checked empirically against the benchmark container (Section 8.6) by timing each analysis while the portfolio size and the number of Monte Carlo paths were increased. Each value is the median of three warm requests.</w:t>
      </w:r>
    </w:p>
    <w:p>
      <w:pPr>
        <w:pStyle w:val="Caption"/>
        <w:spacing w:after="240" w:before="80"/>
        <w:jc w:val="center"/>
      </w:pPr>
      <w:r>
        <w:rPr>
          <w:rFonts w:ascii="Times New Roman" w:cs="Times New Roman" w:eastAsia="Times New Roman" w:hAnsi="Times New Roman"/>
          <w:b/>
          <w:bCs/>
        </w:rPr>
        <w:t xml:space="preserve">Table 5.</w:t>
      </w:r>
      <w:fldSimple w:instr="SEQ Table \* ARABIC \s 1">
        <w:r>
          <w:t xml:space="preserve">5</w:t>
        </w:r>
      </w:fldSimple>
      <w:r>
        <w:rPr>
          <w:rFonts w:ascii="Times New Roman" w:cs="Times New Roman" w:eastAsia="Times New Roman" w:hAnsi="Times New Roman"/>
        </w:rPr>
        <w:t xml:space="preserve">: Measured response time against portfolio size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46"/>
        <w:gridCol w:w="1246"/>
        <w:gridCol w:w="1869"/>
        <w:gridCol w:w="1869"/>
        <w:gridCol w:w="2076"/>
      </w:tblGrid>
      <w:tr>
        <w:trPr>
          <w:tblHeader/>
        </w:trPr>
        <w:tc>
          <w:tcPr>
            <w:tcW w:type="dxa" w:w="1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Schemes n</w:t>
            </w:r>
          </w:p>
        </w:tc>
        <w:tc>
          <w:tcPr>
            <w:tcW w:type="dxa" w:w="1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Pairs</w:t>
            </w:r>
          </w:p>
        </w:tc>
        <w:tc>
          <w:tcPr>
            <w:tcW w:type="dxa" w:w="18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Overlap (ms)</w:t>
            </w:r>
          </w:p>
        </w:tc>
        <w:tc>
          <w:tcPr>
            <w:tcW w:type="dxa" w:w="18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PLOS (ms)</w:t>
            </w:r>
          </w:p>
        </w:tc>
        <w:tc>
          <w:tcPr>
            <w:tcW w:type="dxa" w:w="207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Risk (ms)</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5.8</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11.4</w:t>
            </w:r>
          </w:p>
        </w:tc>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1029.7</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42.9</w:t>
            </w:r>
          </w:p>
        </w:tc>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1171.0</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15</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4.7</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100.6</w:t>
            </w:r>
          </w:p>
        </w:tc>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1380.6</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28</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5.4</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185.6</w:t>
            </w:r>
          </w:p>
        </w:tc>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1354.6</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45</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8.0</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287.8</w:t>
            </w:r>
          </w:p>
        </w:tc>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1589.5</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12</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66</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10.7</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431.8</w:t>
            </w:r>
          </w:p>
        </w:tc>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1736.4</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16</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120</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8.7</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772.6</w:t>
            </w:r>
          </w:p>
        </w:tc>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1423.2</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190</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11.9</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1184.8</w:t>
            </w:r>
          </w:p>
        </w:tc>
        <w:tc>
          <w:tcPr>
            <w:tcW w:type="dxa" w:w="20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1455.4</w:t>
            </w:r>
          </w:p>
        </w:tc>
      </w:tr>
    </w:tbl>
    <w:p>
      <w:pPr>
        <w:spacing w:after="120"/>
      </w:pPr>
      <w:r>
        <w:rPr>
          <w:rFonts w:ascii="Times New Roman" w:cs="Times New Roman" w:eastAsia="Times New Roman" w:hAnsi="Times New Roman"/>
        </w:rPr>
        <w:t xml:space="preserve"/>
      </w:r>
    </w:p>
    <w:p>
      <w:pPr>
        <w:pStyle w:val="Caption"/>
        <w:spacing w:after="240" w:before="80"/>
        <w:jc w:val="center"/>
      </w:pPr>
      <w:r>
        <w:rPr>
          <w:rFonts w:ascii="Times New Roman" w:cs="Times New Roman" w:eastAsia="Times New Roman" w:hAnsi="Times New Roman"/>
          <w:b/>
          <w:bCs/>
        </w:rPr>
        <w:t xml:space="preserve">Table 5.</w:t>
      </w:r>
      <w:fldSimple w:instr="SEQ Table \* ARABIC \s 1">
        <w:r>
          <w:t xml:space="preserve">6</w:t>
        </w:r>
      </w:fldSimple>
      <w:r>
        <w:rPr>
          <w:rFonts w:ascii="Times New Roman" w:cs="Times New Roman" w:eastAsia="Times New Roman" w:hAnsi="Times New Roman"/>
        </w:rPr>
        <w:t xml:space="preserve">: Measured ARISE response time against number of paths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9"/>
        <w:gridCol w:w="2769"/>
        <w:gridCol w:w="2768"/>
      </w:tblGrid>
      <w:tr>
        <w:trPr>
          <w:tblHeader/>
        </w:trPr>
        <w:tc>
          <w:tcPr>
            <w:tcW w:type="dxa" w:w="27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Monte Carlo paths N</w:t>
            </w:r>
          </w:p>
        </w:tc>
        <w:tc>
          <w:tcPr>
            <w:tcW w:type="dxa" w:w="27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ARISE response (ms)</w:t>
            </w:r>
          </w:p>
        </w:tc>
        <w:tc>
          <w:tcPr>
            <w:tcW w:type="dxa" w:w="276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Time per path (ms)</w:t>
            </w:r>
          </w:p>
        </w:tc>
      </w:tr>
      <w:tr>
        <w:trPr>
          <w:cantSplit/>
        </w:trPr>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350.3</w:t>
            </w:r>
          </w:p>
        </w:tc>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3.50</w:t>
            </w:r>
          </w:p>
        </w:tc>
      </w:tr>
      <w:tr>
        <w:trPr>
          <w:cantSplit/>
        </w:trPr>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250</w:t>
            </w:r>
          </w:p>
        </w:tc>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794.1</w:t>
            </w:r>
          </w:p>
        </w:tc>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3.18</w:t>
            </w:r>
          </w:p>
        </w:tc>
      </w:tr>
      <w:tr>
        <w:trPr>
          <w:cantSplit/>
        </w:trPr>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500</w:t>
            </w:r>
          </w:p>
        </w:tc>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1570.5</w:t>
            </w:r>
          </w:p>
        </w:tc>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3.14</w:t>
            </w:r>
          </w:p>
        </w:tc>
      </w:tr>
      <w:tr>
        <w:trPr>
          <w:cantSplit/>
        </w:trPr>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1,000</w:t>
            </w:r>
          </w:p>
        </w:tc>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3139.3</w:t>
            </w:r>
          </w:p>
        </w:tc>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3.14</w:t>
            </w:r>
          </w:p>
        </w:tc>
      </w:tr>
      <w:tr>
        <w:trPr>
          <w:cantSplit/>
        </w:trPr>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2,000</w:t>
            </w:r>
          </w:p>
        </w:tc>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6200.4</w:t>
            </w:r>
          </w:p>
        </w:tc>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3.10</w:t>
            </w:r>
          </w:p>
        </w:tc>
      </w:tr>
      <w:tr>
        <w:trPr>
          <w:cantSplit/>
        </w:trPr>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5,000</w:t>
            </w:r>
          </w:p>
        </w:tc>
        <w:tc>
          <w:tcPr>
            <w:tcW w:type="dxa" w:w="27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15276.8</w:t>
            </w:r>
          </w:p>
        </w:tc>
        <w:tc>
          <w:tcPr>
            <w:tcW w:type="dxa" w:w="27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3.06</w:t>
            </w:r>
          </w:p>
        </w:tc>
      </w:tr>
    </w:tbl>
    <w:p>
      <w:pPr>
        <w:spacing w:after="120"/>
      </w:pPr>
      <w:r>
        <w:rPr>
          <w:rFonts w:ascii="Times New Roman" w:cs="Times New Roman" w:eastAsia="Times New Roman" w:hAnsi="Times New Roman"/>
        </w:rPr>
        <w:t xml:space="preserve"/>
      </w:r>
    </w:p>
    <w:p>
      <w:pPr>
        <w:keepNext/>
        <w:spacing w:before="120"/>
        <w:jc w:val="center"/>
      </w:pPr>
      <w:r>
        <w:drawing>
          <wp:inline distT="0" distB="0" distL="0" distR="0">
            <wp:extent cx="4953000" cy="1924050"/>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53000" cy="192405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5.</w:t>
      </w:r>
      <w:fldSimple w:instr="SEQ Figure \* ARABIC \s 1">
        <w:r>
          <w:t xml:space="preserve">5</w:t>
        </w:r>
      </w:fldSimple>
      <w:r>
        <w:rPr>
          <w:rFonts w:ascii="Times New Roman" w:cs="Times New Roman" w:eastAsia="Times New Roman" w:hAnsi="Times New Roman"/>
        </w:rPr>
        <w:t xml:space="preserve">: Empirical growth of response time with input size</w:t>
      </w:r>
    </w:p>
    <w:p>
      <w:pPr>
        <w:spacing w:after="120" w:line="360"/>
        <w:jc w:val="both"/>
      </w:pPr>
      <w:r>
        <w:rPr>
          <w:rFonts w:ascii="Times New Roman" w:cs="Times New Roman" w:eastAsia="Times New Roman" w:hAnsi="Times New Roman"/>
        </w:rPr>
        <w:t xml:space="preserve">Overlap time grows slowly because each pair costs only a hash intersection, and request overheads dominate at this size. PLOS grows with the number of pairs, as predicted by the n² terms. Risk time grows roughly linearly with n because a GARCH model is fitted for each fund. ARISE time grows linearly with N after a fixed overhead for loading statistics and running the stress test and calibration, confirming the Θ(K·N·Y) analysis.</w:t>
      </w:r>
    </w:p>
    <w:p>
      <w:pPr>
        <w:pStyle w:val="Heading2"/>
        <w:keepNext/>
      </w:pPr>
      <w:bookmarkStart w:name="_Toc52" w:id="52"/>
      <w:r>
        <w:rPr>
          <w:rFonts w:ascii="Times New Roman" w:cs="Times New Roman" w:eastAsia="Times New Roman" w:hAnsi="Times New Roman"/>
        </w:rPr>
        <w:t xml:space="preserve">5.7 Space Complexity Analysis</w:t>
      </w:r>
      <w:bookmarkEnd w:id="52"/>
    </w:p>
    <w:p>
      <w:pPr>
        <w:pStyle w:val="Caption"/>
        <w:spacing w:after="240" w:before="80"/>
        <w:jc w:val="center"/>
      </w:pPr>
      <w:r>
        <w:rPr>
          <w:rFonts w:ascii="Times New Roman" w:cs="Times New Roman" w:eastAsia="Times New Roman" w:hAnsi="Times New Roman"/>
          <w:b/>
          <w:bCs/>
        </w:rPr>
        <w:t xml:space="preserve">Table 5.</w:t>
      </w:r>
      <w:fldSimple w:instr="SEQ Table \* ARABIC \s 1">
        <w:r>
          <w:t xml:space="preserve">7</w:t>
        </w:r>
      </w:fldSimple>
      <w:r>
        <w:rPr>
          <w:rFonts w:ascii="Times New Roman" w:cs="Times New Roman" w:eastAsia="Times New Roman" w:hAnsi="Times New Roman"/>
        </w:rPr>
        <w:t xml:space="preserve">: Space complexity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69"/>
        <w:gridCol w:w="2699"/>
        <w:gridCol w:w="3738"/>
      </w:tblGrid>
      <w:tr>
        <w:trPr>
          <w:tblHeader/>
        </w:trPr>
        <w:tc>
          <w:tcPr>
            <w:tcW w:type="dxa" w:w="18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Operation</w:t>
            </w:r>
          </w:p>
        </w:tc>
        <w:tc>
          <w:tcPr>
            <w:tcW w:type="dxa" w:w="269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Extra space</w:t>
            </w:r>
          </w:p>
        </w:tc>
        <w:tc>
          <w:tcPr>
            <w:tcW w:type="dxa" w:w="3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Notes</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O2 Overlap</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 · h + n²)</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Hash maps plus the pair matrix</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O3 PLOS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Θ(S² + n² · M + 2^M · M)</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190 × 190 covariance (≈ 0.3 MB), layer tensor, coalition masks</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O4 Risk</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 · T)</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Return matrix (≈ 3,000 days × n funds)</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O5 ARISE</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Θ(N · Y)</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Per-path yearly records for percentile bands; 1,000 × 60 floats ≈ 0.5 MB per strategy</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O6 FIFO</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Θ(L)</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Open lots</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 baseline</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 120 MB per uvicorn worker</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Holdings, metadata, NAV files and model artifacts, loaded once</w:t>
            </w:r>
          </w:p>
        </w:tc>
      </w:tr>
    </w:tbl>
    <w:p>
      <w:pPr>
        <w:spacing w:after="120"/>
      </w:pPr>
      <w:r>
        <w:rPr>
          <w:rFonts w:ascii="Times New Roman" w:cs="Times New Roman" w:eastAsia="Times New Roman" w:hAnsi="Times New Roman"/>
        </w:rPr>
        <w:t xml:space="preserve"/>
      </w:r>
    </w:p>
    <w:p>
      <w:pPr>
        <w:pStyle w:val="Heading2"/>
        <w:keepNext/>
      </w:pPr>
      <w:bookmarkStart w:name="_Toc53" w:id="53"/>
      <w:r>
        <w:rPr>
          <w:rFonts w:ascii="Times New Roman" w:cs="Times New Roman" w:eastAsia="Times New Roman" w:hAnsi="Times New Roman"/>
        </w:rPr>
        <w:t xml:space="preserve">5.8 Optimisation Opportunities</w:t>
      </w:r>
      <w:bookmarkEnd w:id="53"/>
    </w:p>
    <w:p>
      <w:pPr>
        <w:pStyle w:val="ListParagraph"/>
        <w:numPr>
          <w:ilvl w:val="0"/>
          <w:numId w:val="3"/>
        </w:numPr>
        <w:spacing w:after="60" w:line="360"/>
        <w:jc w:val="both"/>
      </w:pPr>
      <w:r>
        <w:rPr>
          <w:rFonts w:ascii="Times New Roman" w:cs="Times New Roman" w:eastAsia="Times New Roman" w:hAnsi="Times New Roman"/>
          <w:b/>
          <w:bCs/>
        </w:rPr>
        <w:t xml:space="preserve">Cache analysis results per (selection, weights, data date).</w:t>
      </w:r>
      <w:r>
        <w:rPr>
          <w:rFonts w:ascii="Times New Roman" w:cs="Times New Roman" w:eastAsia="Times New Roman" w:hAnsi="Times New Roman"/>
        </w:rPr>
        <w:t xml:space="preserve"> The same portfolio is analysed repeatedly (dashboard, then detail page); a Redis cache keyed by a hash of the selection would make repeat Risk requests near-instant.</w:t>
      </w:r>
    </w:p>
    <w:p>
      <w:pPr>
        <w:pStyle w:val="ListParagraph"/>
        <w:numPr>
          <w:ilvl w:val="0"/>
          <w:numId w:val="3"/>
        </w:numPr>
        <w:spacing w:after="60" w:line="360"/>
        <w:jc w:val="both"/>
      </w:pPr>
      <w:r>
        <w:rPr>
          <w:rFonts w:ascii="Times New Roman" w:cs="Times New Roman" w:eastAsia="Times New Roman" w:hAnsi="Times New Roman"/>
          <w:b/>
          <w:bCs/>
        </w:rPr>
        <w:t xml:space="preserve">Fit per-fund GARCH models in the nightly job</w:t>
      </w:r>
      <w:r>
        <w:rPr>
          <w:rFonts w:ascii="Times New Roman" w:cs="Times New Roman" w:eastAsia="Times New Roman" w:hAnsi="Times New Roman"/>
        </w:rPr>
        <w:t xml:space="preserve"> instead of on request; request-time work would then be a few matrix operations.</w:t>
      </w:r>
    </w:p>
    <w:p>
      <w:pPr>
        <w:pStyle w:val="ListParagraph"/>
        <w:numPr>
          <w:ilvl w:val="0"/>
          <w:numId w:val="3"/>
        </w:numPr>
        <w:spacing w:after="60" w:line="360"/>
        <w:jc w:val="both"/>
      </w:pPr>
      <w:r>
        <w:rPr>
          <w:rFonts w:ascii="Times New Roman" w:cs="Times New Roman" w:eastAsia="Times New Roman" w:hAnsi="Times New Roman"/>
          <w:b/>
          <w:bCs/>
        </w:rPr>
        <w:t xml:space="preserve">Bound CPU-heavy work per process</w:t>
      </w:r>
      <w:r>
        <w:rPr>
          <w:rFonts w:ascii="Times New Roman" w:cs="Times New Roman" w:eastAsia="Times New Roman" w:hAnsi="Times New Roman"/>
        </w:rPr>
        <w:t xml:space="preserve"> with a small worker pool and one numerical-library thread per worker, so that concurrent requests queue instead of competing for the same cores (measured in Section 8.9).</w:t>
      </w:r>
    </w:p>
    <w:p>
      <w:pPr>
        <w:pStyle w:val="ListParagraph"/>
        <w:numPr>
          <w:ilvl w:val="0"/>
          <w:numId w:val="3"/>
        </w:numPr>
        <w:spacing w:after="60" w:line="360"/>
        <w:jc w:val="both"/>
      </w:pPr>
      <w:r>
        <w:rPr>
          <w:rFonts w:ascii="Times New Roman" w:cs="Times New Roman" w:eastAsia="Times New Roman" w:hAnsi="Times New Roman"/>
          <w:b/>
          <w:bCs/>
        </w:rPr>
        <w:t xml:space="preserve">Vectorise ARISE across paths</w:t>
      </w:r>
      <w:r>
        <w:rPr>
          <w:rFonts w:ascii="Times New Roman" w:cs="Times New Roman" w:eastAsia="Times New Roman" w:hAnsi="Times New Roman"/>
        </w:rPr>
        <w:t xml:space="preserve"> (years in the outer loop, paths as array lanes) to replace the Python inner loop.</w:t>
      </w:r>
    </w:p>
    <w:p>
      <w:pPr>
        <w:pStyle w:val="ListParagraph"/>
        <w:numPr>
          <w:ilvl w:val="0"/>
          <w:numId w:val="3"/>
        </w:numPr>
        <w:spacing w:after="60" w:line="360"/>
        <w:jc w:val="both"/>
      </w:pPr>
      <w:r>
        <w:rPr>
          <w:rFonts w:ascii="Times New Roman" w:cs="Times New Roman" w:eastAsia="Times New Roman" w:hAnsi="Times New Roman"/>
          <w:b/>
          <w:bCs/>
        </w:rPr>
        <w:t xml:space="preserve">Precompute wᵀΣ for every fund</w:t>
      </w:r>
      <w:r>
        <w:rPr>
          <w:rFonts w:ascii="Times New Roman" w:cs="Times New Roman" w:eastAsia="Times New Roman" w:hAnsi="Times New Roman"/>
        </w:rPr>
        <w:t xml:space="preserve"> once per data refresh, reducing holdings-implied correlation per pair from Θ(S²) to Θ(S).</w:t>
      </w:r>
    </w:p>
    <w:p>
      <w:pPr>
        <w:pageBreakBefore/>
        <w:spacing w:after="120"/>
        <w:jc w:val="center"/>
      </w:pPr>
      <w:r>
        <w:rPr>
          <w:rFonts w:ascii="Times New Roman" w:cs="Times New Roman" w:eastAsia="Times New Roman" w:hAnsi="Times New Roman"/>
          <w:b/>
          <w:bCs/>
          <w:sz w:val="28"/>
          <w:szCs w:val="28"/>
        </w:rPr>
        <w:t xml:space="preserve">CHAPTER 6</w:t>
      </w:r>
    </w:p>
    <w:p>
      <w:pPr>
        <w:pStyle w:val="Heading1"/>
        <w:jc w:val="center"/>
      </w:pPr>
      <w:bookmarkStart w:name="_Toc54" w:id="54"/>
      <w:r>
        <w:rPr>
          <w:rFonts w:ascii="Times New Roman" w:cs="Times New Roman" w:eastAsia="Times New Roman" w:hAnsi="Times New Roman"/>
        </w:rPr>
        <w:t xml:space="preserve">SUBJECT-WISE ENGINEERING CONCEPTS AND APNI LEAP ALIGNMENT</w:t>
      </w:r>
      <w:bookmarkEnd w:id="54"/>
    </w:p>
    <w:p>
      <w:pPr>
        <w:spacing w:after="120" w:line="360"/>
        <w:jc w:val="both"/>
      </w:pPr>
      <w:r>
        <w:rPr>
          <w:rFonts w:ascii="Times New Roman" w:cs="Times New Roman" w:eastAsia="Times New Roman" w:hAnsi="Times New Roman"/>
        </w:rPr>
        <w:t xml:space="preserve">This chapter identifies the Computer Engineering subjects of Semesters I–IV that are genuinely used in the project and shows where each concept appears in the implementation, with the evidence. Subjects or concepts that the project does not use are stated as such rather than claimed.</w:t>
      </w:r>
    </w:p>
    <w:p>
      <w:pPr>
        <w:pStyle w:val="Heading2"/>
        <w:keepNext/>
      </w:pPr>
      <w:bookmarkStart w:name="_Toc55" w:id="55"/>
      <w:r>
        <w:rPr>
          <w:rFonts w:ascii="Times New Roman" w:cs="Times New Roman" w:eastAsia="Times New Roman" w:hAnsi="Times New Roman"/>
        </w:rPr>
        <w:t xml:space="preserve">6.1 Software Engineering</w:t>
      </w:r>
      <w:bookmarkEnd w:id="55"/>
    </w:p>
    <w:p>
      <w:pPr>
        <w:pStyle w:val="ListParagraph"/>
        <w:numPr>
          <w:ilvl w:val="0"/>
          <w:numId w:val="3"/>
        </w:numPr>
        <w:spacing w:after="60" w:line="360"/>
        <w:jc w:val="both"/>
      </w:pPr>
      <w:r>
        <w:rPr>
          <w:rFonts w:ascii="Times New Roman" w:cs="Times New Roman" w:eastAsia="Times New Roman" w:hAnsi="Times New Roman"/>
          <w:b/>
          <w:bCs/>
        </w:rPr>
        <w:t xml:space="preserve">Process:</w:t>
      </w:r>
      <w:r>
        <w:rPr>
          <w:rFonts w:ascii="Times New Roman" w:cs="Times New Roman" w:eastAsia="Times New Roman" w:hAnsi="Times New Roman"/>
        </w:rPr>
        <w:t xml:space="preserve"> iterative development across the four evaluation phases — requirements and design, backend engines, frontend and integration, then models and testing — with each phase ending in a working system.</w:t>
      </w:r>
    </w:p>
    <w:p>
      <w:pPr>
        <w:pStyle w:val="ListParagraph"/>
        <w:numPr>
          <w:ilvl w:val="0"/>
          <w:numId w:val="3"/>
        </w:numPr>
        <w:spacing w:after="60" w:line="360"/>
        <w:jc w:val="both"/>
      </w:pPr>
      <w:r>
        <w:rPr>
          <w:rFonts w:ascii="Times New Roman" w:cs="Times New Roman" w:eastAsia="Times New Roman" w:hAnsi="Times New Roman"/>
          <w:b/>
          <w:bCs/>
        </w:rPr>
        <w:t xml:space="preserve">Requirement traceability:</w:t>
      </w:r>
      <w:r>
        <w:rPr>
          <w:rFonts w:ascii="Times New Roman" w:cs="Times New Roman" w:eastAsia="Times New Roman" w:hAnsi="Times New Roman"/>
        </w:rPr>
        <w:t xml:space="preserve"> functional requirements FR-01 to FR-12 (Chapter 3) are mapped to modules (Chapter 7) and to test cases (Table 9.2).</w:t>
      </w:r>
    </w:p>
    <w:p>
      <w:pPr>
        <w:pStyle w:val="ListParagraph"/>
        <w:numPr>
          <w:ilvl w:val="0"/>
          <w:numId w:val="3"/>
        </w:numPr>
        <w:spacing w:after="60" w:line="360"/>
        <w:jc w:val="both"/>
      </w:pPr>
      <w:r>
        <w:rPr>
          <w:rFonts w:ascii="Times New Roman" w:cs="Times New Roman" w:eastAsia="Times New Roman" w:hAnsi="Times New Roman"/>
          <w:b/>
          <w:bCs/>
        </w:rPr>
        <w:t xml:space="preserve">Modularity and cohesion:</w:t>
      </w:r>
      <w:r>
        <w:rPr>
          <w:rFonts w:ascii="Times New Roman" w:cs="Times New Roman" w:eastAsia="Times New Roman" w:hAnsi="Times New Roman"/>
        </w:rPr>
        <w:t xml:space="preserve"> routers only translate HTTP to service calls; services coordinate; engines are pure functions of their inputs; data access is isolated behind loaders and repositories. Each engine is replaceable (the registry builds it once per process).</w:t>
      </w:r>
    </w:p>
    <w:p>
      <w:pPr>
        <w:pStyle w:val="ListParagraph"/>
        <w:numPr>
          <w:ilvl w:val="0"/>
          <w:numId w:val="3"/>
        </w:numPr>
        <w:spacing w:after="60" w:line="360"/>
        <w:jc w:val="both"/>
      </w:pPr>
      <w:r>
        <w:rPr>
          <w:rFonts w:ascii="Times New Roman" w:cs="Times New Roman" w:eastAsia="Times New Roman" w:hAnsi="Times New Roman"/>
          <w:b/>
          <w:bCs/>
        </w:rPr>
        <w:t xml:space="preserve">State management:</w:t>
      </w:r>
      <w:r>
        <w:rPr>
          <w:rFonts w:ascii="Times New Roman" w:cs="Times New Roman" w:eastAsia="Times New Roman" w:hAnsi="Times New Roman"/>
        </w:rPr>
        <w:t xml:space="preserve"> server state lives only in PostgreSQL and Redis, so API processes are stateless; client state is held by TanStack Query (server cache) and a small store for UI state.</w:t>
      </w:r>
    </w:p>
    <w:p>
      <w:pPr>
        <w:pStyle w:val="ListParagraph"/>
        <w:numPr>
          <w:ilvl w:val="0"/>
          <w:numId w:val="3"/>
        </w:numPr>
        <w:spacing w:after="60" w:line="360"/>
        <w:jc w:val="both"/>
      </w:pPr>
      <w:r>
        <w:rPr>
          <w:rFonts w:ascii="Times New Roman" w:cs="Times New Roman" w:eastAsia="Times New Roman" w:hAnsi="Times New Roman"/>
          <w:b/>
          <w:bCs/>
        </w:rPr>
        <w:t xml:space="preserve">Exception handling:</w:t>
      </w:r>
      <w:r>
        <w:rPr>
          <w:rFonts w:ascii="Times New Roman" w:cs="Times New Roman" w:eastAsia="Times New Roman" w:hAnsi="Times New Roman"/>
        </w:rPr>
        <w:t xml:space="preserve"> domain exceptions (NotFound, Forbidden, InsufficientData, RateLimited) are raised in services and translated to HTTP responses in one place; unexpected errors are logged with a request ID and returned as a generic message.</w:t>
      </w:r>
    </w:p>
    <w:p>
      <w:pPr>
        <w:pStyle w:val="ListParagraph"/>
        <w:numPr>
          <w:ilvl w:val="0"/>
          <w:numId w:val="3"/>
        </w:numPr>
        <w:spacing w:after="60" w:line="360"/>
        <w:jc w:val="both"/>
      </w:pPr>
      <w:r>
        <w:rPr>
          <w:rFonts w:ascii="Times New Roman" w:cs="Times New Roman" w:eastAsia="Times New Roman" w:hAnsi="Times New Roman"/>
          <w:b/>
          <w:bCs/>
        </w:rPr>
        <w:t xml:space="preserve">Quality practices:</w:t>
      </w:r>
      <w:r>
        <w:rPr>
          <w:rFonts w:ascii="Times New Roman" w:cs="Times New Roman" w:eastAsia="Times New Roman" w:hAnsi="Times New Roman"/>
        </w:rPr>
        <w:t xml:space="preserve"> 449 automated tests, static analysis (ruff, ESLint, TypeScript), continuous integration on every push, Dependabot dependency updates, architecture decision records, and a CHANGELOG.</w:t>
      </w:r>
    </w:p>
    <w:p>
      <w:pPr>
        <w:pStyle w:val="ListParagraph"/>
        <w:numPr>
          <w:ilvl w:val="0"/>
          <w:numId w:val="3"/>
        </w:numPr>
        <w:spacing w:after="60" w:line="360"/>
        <w:jc w:val="both"/>
      </w:pPr>
      <w:r>
        <w:rPr>
          <w:rFonts w:ascii="Times New Roman" w:cs="Times New Roman" w:eastAsia="Times New Roman" w:hAnsi="Times New Roman"/>
          <w:b/>
          <w:bCs/>
        </w:rPr>
        <w:t xml:space="preserve">Version control:</w:t>
      </w:r>
      <w:r>
        <w:rPr>
          <w:rFonts w:ascii="Times New Roman" w:cs="Times New Roman" w:eastAsia="Times New Roman" w:hAnsi="Times New Roman"/>
        </w:rPr>
        <w:t xml:space="preserve"> Git with GitHub (Section 7.8).</w:t>
      </w:r>
    </w:p>
    <w:p>
      <w:pPr>
        <w:pStyle w:val="Heading2"/>
        <w:keepNext/>
      </w:pPr>
      <w:bookmarkStart w:name="_Toc56" w:id="56"/>
      <w:r>
        <w:rPr>
          <w:rFonts w:ascii="Times New Roman" w:cs="Times New Roman" w:eastAsia="Times New Roman" w:hAnsi="Times New Roman"/>
        </w:rPr>
        <w:t xml:space="preserve">6.2 Computer Networks</w:t>
      </w:r>
      <w:bookmarkEnd w:id="56"/>
    </w:p>
    <w:p>
      <w:pPr>
        <w:pStyle w:val="ListParagraph"/>
        <w:numPr>
          <w:ilvl w:val="0"/>
          <w:numId w:val="3"/>
        </w:numPr>
        <w:spacing w:after="60" w:line="360"/>
        <w:jc w:val="both"/>
      </w:pPr>
      <w:r>
        <w:rPr>
          <w:rFonts w:ascii="Times New Roman" w:cs="Times New Roman" w:eastAsia="Times New Roman" w:hAnsi="Times New Roman"/>
          <w:b/>
          <w:bCs/>
        </w:rPr>
        <w:t xml:space="preserve">Architecture:</w:t>
      </w:r>
      <w:r>
        <w:rPr>
          <w:rFonts w:ascii="Times New Roman" w:cs="Times New Roman" w:eastAsia="Times New Roman" w:hAnsi="Times New Roman"/>
        </w:rPr>
        <w:t xml:space="preserve"> client–server over TCP/IP. Browsers connect to the Next.js server and to the API with HTTP/1.1 over TCP; inside Docker, containers communicate over a private bridge network by service name (api, db, redis).</w:t>
      </w:r>
    </w:p>
    <w:p>
      <w:pPr>
        <w:pStyle w:val="ListParagraph"/>
        <w:numPr>
          <w:ilvl w:val="0"/>
          <w:numId w:val="3"/>
        </w:numPr>
        <w:spacing w:after="60" w:line="360"/>
        <w:jc w:val="both"/>
      </w:pPr>
      <w:r>
        <w:rPr>
          <w:rFonts w:ascii="Times New Roman" w:cs="Times New Roman" w:eastAsia="Times New Roman" w:hAnsi="Times New Roman"/>
          <w:b/>
          <w:bCs/>
        </w:rPr>
        <w:t xml:space="preserve">Protocols and message formats:</w:t>
      </w:r>
      <w:r>
        <w:rPr>
          <w:rFonts w:ascii="Times New Roman" w:cs="Times New Roman" w:eastAsia="Times New Roman" w:hAnsi="Times New Roman"/>
        </w:rPr>
        <w:t xml:space="preserve"> REST over HTTP with JSON bodies; JWT bearer tokens in the Authorization header; PostgreSQL wire protocol to the database; RESP (Redis serialisation protocol) to Redis; a WebSocket connection (HTTP upgrade, then full-duplex frames carrying Protocol Buffers messages) from the feed worker to the Upstox market feed.</w:t>
      </w:r>
    </w:p>
    <w:p>
      <w:pPr>
        <w:pStyle w:val="ListParagraph"/>
        <w:numPr>
          <w:ilvl w:val="0"/>
          <w:numId w:val="3"/>
        </w:numPr>
        <w:spacing w:after="60" w:line="360"/>
        <w:jc w:val="both"/>
      </w:pPr>
      <w:r>
        <w:rPr>
          <w:rFonts w:ascii="Times New Roman" w:cs="Times New Roman" w:eastAsia="Times New Roman" w:hAnsi="Times New Roman"/>
          <w:b/>
          <w:bCs/>
        </w:rPr>
        <w:t xml:space="preserve">Connection management:</w:t>
      </w:r>
      <w:r>
        <w:rPr>
          <w:rFonts w:ascii="Times New Roman" w:cs="Times New Roman" w:eastAsia="Times New Roman" w:hAnsi="Times New Roman"/>
        </w:rPr>
        <w:t xml:space="preserve"> connection pooling for PostgreSQL (SQLAlchemy async pool) and HTTP keep-alive for outbound data requests (a shared httpx client); uvicorn serves many concurrent connections per process with an asynchronous event loop.</w:t>
      </w:r>
    </w:p>
    <w:p>
      <w:pPr>
        <w:pStyle w:val="ListParagraph"/>
        <w:numPr>
          <w:ilvl w:val="0"/>
          <w:numId w:val="3"/>
        </w:numPr>
        <w:spacing w:after="60" w:line="360"/>
        <w:jc w:val="both"/>
      </w:pPr>
      <w:r>
        <w:rPr>
          <w:rFonts w:ascii="Times New Roman" w:cs="Times New Roman" w:eastAsia="Times New Roman" w:hAnsi="Times New Roman"/>
          <w:b/>
          <w:bCs/>
        </w:rPr>
        <w:t xml:space="preserve">Concurrency and multiple clients:</w:t>
      </w:r>
      <w:r>
        <w:rPr>
          <w:rFonts w:ascii="Times New Roman" w:cs="Times New Roman" w:eastAsia="Times New Roman" w:hAnsi="Times New Roman"/>
        </w:rPr>
        <w:t xml:space="preserve"> the API serves many clients simultaneously; Chapter 8 measures up to 50 concurrent clients. Live prices are distributed from one feed connection to all API processes through Redis publish/subscribe.</w:t>
      </w:r>
    </w:p>
    <w:p>
      <w:pPr>
        <w:pStyle w:val="ListParagraph"/>
        <w:numPr>
          <w:ilvl w:val="0"/>
          <w:numId w:val="3"/>
        </w:numPr>
        <w:spacing w:after="60" w:line="360"/>
        <w:jc w:val="both"/>
      </w:pPr>
      <w:r>
        <w:rPr>
          <w:rFonts w:ascii="Times New Roman" w:cs="Times New Roman" w:eastAsia="Times New Roman" w:hAnsi="Times New Roman"/>
          <w:b/>
          <w:bCs/>
        </w:rPr>
        <w:t xml:space="preserve">Error recovery:</w:t>
      </w:r>
      <w:r>
        <w:rPr>
          <w:rFonts w:ascii="Times New Roman" w:cs="Times New Roman" w:eastAsia="Times New Roman" w:hAnsi="Times New Roman"/>
        </w:rPr>
        <w:t xml:space="preserve"> outbound requests use timeouts; failed data sources fall back to the next tier; the feed worker reconnects after a dropped WebSocket; rate limiting answers 429 with a Retry-After value.</w:t>
      </w:r>
    </w:p>
    <w:p>
      <w:pPr>
        <w:pStyle w:val="ListParagraph"/>
        <w:numPr>
          <w:ilvl w:val="0"/>
          <w:numId w:val="3"/>
        </w:numPr>
        <w:spacing w:after="60" w:line="360"/>
        <w:jc w:val="both"/>
      </w:pPr>
      <w:r>
        <w:rPr>
          <w:rFonts w:ascii="Times New Roman" w:cs="Times New Roman" w:eastAsia="Times New Roman" w:hAnsi="Times New Roman"/>
          <w:b/>
          <w:bCs/>
        </w:rPr>
        <w:t xml:space="preserve">Not used:</w:t>
      </w:r>
      <w:r>
        <w:rPr>
          <w:rFonts w:ascii="Times New Roman" w:cs="Times New Roman" w:eastAsia="Times New Roman" w:hAnsi="Times New Roman"/>
        </w:rPr>
        <w:t xml:space="preserve"> raw socket programming and custom application protocols; the system relies on standard protocols and libraries.</w:t>
      </w:r>
    </w:p>
    <w:p>
      <w:pPr>
        <w:pStyle w:val="Heading2"/>
        <w:keepNext/>
      </w:pPr>
      <w:bookmarkStart w:name="_Toc57" w:id="57"/>
      <w:r>
        <w:rPr>
          <w:rFonts w:ascii="Times New Roman" w:cs="Times New Roman" w:eastAsia="Times New Roman" w:hAnsi="Times New Roman"/>
        </w:rPr>
        <w:t xml:space="preserve">6.3 Database Management Systems</w:t>
      </w:r>
      <w:bookmarkEnd w:id="57"/>
    </w:p>
    <w:p>
      <w:pPr>
        <w:pStyle w:val="ListParagraph"/>
        <w:numPr>
          <w:ilvl w:val="0"/>
          <w:numId w:val="3"/>
        </w:numPr>
        <w:spacing w:after="60" w:line="360"/>
        <w:jc w:val="both"/>
      </w:pPr>
      <w:r>
        <w:rPr>
          <w:rFonts w:ascii="Times New Roman" w:cs="Times New Roman" w:eastAsia="Times New Roman" w:hAnsi="Times New Roman"/>
          <w:b/>
          <w:bCs/>
        </w:rPr>
        <w:t xml:space="preserve">Schema design, keys and constraints:</w:t>
      </w:r>
      <w:r>
        <w:rPr>
          <w:rFonts w:ascii="Times New Roman" w:cs="Times New Roman" w:eastAsia="Times New Roman" w:hAnsi="Times New Roman"/>
        </w:rPr>
        <w:t xml:space="preserve"> Section 4.6 — UUID primary keys, cascading foreign keys, unique constraints that enforce one-to-one relations and idempotent imports, NOT NULL and exact NUMERIC types for money.</w:t>
      </w:r>
    </w:p>
    <w:p>
      <w:pPr>
        <w:pStyle w:val="ListParagraph"/>
        <w:numPr>
          <w:ilvl w:val="0"/>
          <w:numId w:val="3"/>
        </w:numPr>
        <w:spacing w:after="60" w:line="360"/>
        <w:jc w:val="both"/>
      </w:pPr>
      <w:r>
        <w:rPr>
          <w:rFonts w:ascii="Times New Roman" w:cs="Times New Roman" w:eastAsia="Times New Roman" w:hAnsi="Times New Roman"/>
          <w:b/>
          <w:bCs/>
        </w:rPr>
        <w:t xml:space="preserve">Normalisation:</w:t>
      </w:r>
      <w:r>
        <w:rPr>
          <w:rFonts w:ascii="Times New Roman" w:cs="Times New Roman" w:eastAsia="Times New Roman" w:hAnsi="Times New Roman"/>
        </w:rPr>
        <w:t xml:space="preserve"> third normal form with two documented, justified exceptions (Section 4.6.4).</w:t>
      </w:r>
    </w:p>
    <w:p>
      <w:pPr>
        <w:pStyle w:val="ListParagraph"/>
        <w:numPr>
          <w:ilvl w:val="0"/>
          <w:numId w:val="3"/>
        </w:numPr>
        <w:spacing w:after="60" w:line="360"/>
        <w:jc w:val="both"/>
      </w:pPr>
      <w:r>
        <w:rPr>
          <w:rFonts w:ascii="Times New Roman" w:cs="Times New Roman" w:eastAsia="Times New Roman" w:hAnsi="Times New Roman"/>
          <w:b/>
          <w:bCs/>
        </w:rPr>
        <w:t xml:space="preserve">Indexing and query optimisation:</w:t>
      </w:r>
      <w:r>
        <w:rPr>
          <w:rFonts w:ascii="Times New Roman" w:cs="Times New Roman" w:eastAsia="Times New Roman" w:hAnsi="Times New Roman"/>
        </w:rPr>
        <w:t xml:space="preserve"> a composite index (user_id, scheme_id, txn_date) serves FIFO lot matching as a single ordered index scan, confirmed with EXPLAIN; time-series tables are hypertables partitioned by date (277 chunks for 233,258 price rows).</w:t>
      </w:r>
    </w:p>
    <w:p>
      <w:pPr>
        <w:pStyle w:val="ListParagraph"/>
        <w:numPr>
          <w:ilvl w:val="0"/>
          <w:numId w:val="3"/>
        </w:numPr>
        <w:spacing w:after="60" w:line="360"/>
        <w:jc w:val="both"/>
      </w:pPr>
      <w:r>
        <w:rPr>
          <w:rFonts w:ascii="Times New Roman" w:cs="Times New Roman" w:eastAsia="Times New Roman" w:hAnsi="Times New Roman"/>
          <w:b/>
          <w:bCs/>
        </w:rPr>
        <w:t xml:space="preserve">Transactions:</w:t>
      </w:r>
      <w:r>
        <w:rPr>
          <w:rFonts w:ascii="Times New Roman" w:cs="Times New Roman" w:eastAsia="Times New Roman" w:hAnsi="Times New Roman"/>
        </w:rPr>
        <w:t xml:space="preserve"> each request runs in one database session; writes such as token rotation (revoke old, insert new) commit atomically or roll back together. Bulk price inserts use INSERT … ON CONFLICT DO NOTHING / DO UPDATE so a repeated nightly job is idempotent.</w:t>
      </w:r>
    </w:p>
    <w:p>
      <w:pPr>
        <w:pStyle w:val="ListParagraph"/>
        <w:numPr>
          <w:ilvl w:val="0"/>
          <w:numId w:val="3"/>
        </w:numPr>
        <w:spacing w:after="60" w:line="360"/>
        <w:jc w:val="both"/>
      </w:pPr>
      <w:r>
        <w:rPr>
          <w:rFonts w:ascii="Times New Roman" w:cs="Times New Roman" w:eastAsia="Times New Roman" w:hAnsi="Times New Roman"/>
          <w:b/>
          <w:bCs/>
        </w:rPr>
        <w:t xml:space="preserve">Schema evolution:</w:t>
      </w:r>
      <w:r>
        <w:rPr>
          <w:rFonts w:ascii="Times New Roman" w:cs="Times New Roman" w:eastAsia="Times New Roman" w:hAnsi="Times New Roman"/>
        </w:rPr>
        <w:t xml:space="preserve"> three Alembic migrations version the schema; the database can be rebuilt from scratch with one command.</w:t>
      </w:r>
    </w:p>
    <w:p>
      <w:pPr>
        <w:pStyle w:val="ListParagraph"/>
        <w:numPr>
          <w:ilvl w:val="0"/>
          <w:numId w:val="3"/>
        </w:numPr>
        <w:spacing w:after="60" w:line="360"/>
        <w:jc w:val="both"/>
      </w:pPr>
      <w:r>
        <w:rPr>
          <w:rFonts w:ascii="Times New Roman" w:cs="Times New Roman" w:eastAsia="Times New Roman" w:hAnsi="Times New Roman"/>
          <w:b/>
          <w:bCs/>
        </w:rPr>
        <w:t xml:space="preserve">Concurrent requests:</w:t>
      </w:r>
      <w:r>
        <w:rPr>
          <w:rFonts w:ascii="Times New Roman" w:cs="Times New Roman" w:eastAsia="Times New Roman" w:hAnsi="Times New Roman"/>
        </w:rPr>
        <w:t xml:space="preserve"> PostgreSQL’s MVCC lets readers and writers proceed without blocking each other; uniqueness constraints, not application checks, guarantee that two concurrent registrations with one email cannot both succeed.</w:t>
      </w:r>
    </w:p>
    <w:p>
      <w:pPr>
        <w:pStyle w:val="ListParagraph"/>
        <w:numPr>
          <w:ilvl w:val="0"/>
          <w:numId w:val="3"/>
        </w:numPr>
        <w:spacing w:after="60" w:line="360"/>
        <w:jc w:val="both"/>
      </w:pPr>
      <w:r>
        <w:rPr>
          <w:rFonts w:ascii="Times New Roman" w:cs="Times New Roman" w:eastAsia="Times New Roman" w:hAnsi="Times New Roman"/>
          <w:b/>
          <w:bCs/>
        </w:rPr>
        <w:t xml:space="preserve">Not used:</w:t>
      </w:r>
      <w:r>
        <w:rPr>
          <w:rFonts w:ascii="Times New Roman" w:cs="Times New Roman" w:eastAsia="Times New Roman" w:hAnsi="Times New Roman"/>
        </w:rPr>
        <w:t xml:space="preserve"> distributed databases or multiple database servers; one PostgreSQL instance is sufficient at the measured scale (Section 8.11).</w:t>
      </w:r>
    </w:p>
    <w:p>
      <w:pPr>
        <w:pStyle w:val="Heading2"/>
        <w:keepNext/>
      </w:pPr>
      <w:bookmarkStart w:name="_Toc58" w:id="58"/>
      <w:r>
        <w:rPr>
          <w:rFonts w:ascii="Times New Roman" w:cs="Times New Roman" w:eastAsia="Times New Roman" w:hAnsi="Times New Roman"/>
        </w:rPr>
        <w:t xml:space="preserve">6.4 Operating Systems</w:t>
      </w:r>
      <w:bookmarkEnd w:id="58"/>
    </w:p>
    <w:p>
      <w:pPr>
        <w:pStyle w:val="ListParagraph"/>
        <w:numPr>
          <w:ilvl w:val="0"/>
          <w:numId w:val="3"/>
        </w:numPr>
        <w:spacing w:after="60" w:line="360"/>
        <w:jc w:val="both"/>
      </w:pPr>
      <w:r>
        <w:rPr>
          <w:rFonts w:ascii="Times New Roman" w:cs="Times New Roman" w:eastAsia="Times New Roman" w:hAnsi="Times New Roman"/>
          <w:b/>
          <w:bCs/>
        </w:rPr>
        <w:t xml:space="preserve">Processes:</w:t>
      </w:r>
      <w:r>
        <w:rPr>
          <w:rFonts w:ascii="Times New Roman" w:cs="Times New Roman" w:eastAsia="Times New Roman" w:hAnsi="Times New Roman"/>
        </w:rPr>
        <w:t xml:space="preserve"> uvicorn runs four worker processes (one per allotted CPU) that the OS schedules independently; Celery worker, Celery beat and the feed worker are separate processes in separate containers.</w:t>
      </w:r>
    </w:p>
    <w:p>
      <w:pPr>
        <w:pStyle w:val="ListParagraph"/>
        <w:numPr>
          <w:ilvl w:val="0"/>
          <w:numId w:val="3"/>
        </w:numPr>
        <w:spacing w:after="60" w:line="360"/>
        <w:jc w:val="both"/>
      </w:pPr>
      <w:r>
        <w:rPr>
          <w:rFonts w:ascii="Times New Roman" w:cs="Times New Roman" w:eastAsia="Times New Roman" w:hAnsi="Times New Roman"/>
          <w:b/>
          <w:bCs/>
        </w:rPr>
        <w:t xml:space="preserve">Threads:</w:t>
      </w:r>
      <w:r>
        <w:rPr>
          <w:rFonts w:ascii="Times New Roman" w:cs="Times New Roman" w:eastAsia="Times New Roman" w:hAnsi="Times New Roman"/>
        </w:rPr>
        <w:t xml:space="preserve"> inside each worker, CPU-bound engine calls are handed to a thread pool (anyio.to_thread.run_sync) so that the event-loop thread keeps serving I/O; NumPy and SciPy release the Python global interpreter lock inside compiled code.</w:t>
      </w:r>
    </w:p>
    <w:p>
      <w:pPr>
        <w:pStyle w:val="ListParagraph"/>
        <w:numPr>
          <w:ilvl w:val="0"/>
          <w:numId w:val="3"/>
        </w:numPr>
        <w:spacing w:after="60" w:line="360"/>
        <w:jc w:val="both"/>
      </w:pPr>
      <w:r>
        <w:rPr>
          <w:rFonts w:ascii="Times New Roman" w:cs="Times New Roman" w:eastAsia="Times New Roman" w:hAnsi="Times New Roman"/>
          <w:b/>
          <w:bCs/>
        </w:rPr>
        <w:t xml:space="preserve">Synchronisation:</w:t>
      </w:r>
      <w:r>
        <w:rPr>
          <w:rFonts w:ascii="Times New Roman" w:cs="Times New Roman" w:eastAsia="Times New Roman" w:hAnsi="Times New Roman"/>
        </w:rPr>
        <w:t xml:space="preserve"> the engine registry uses double-checked locking with a threading.Lock so that two threads cannot build the same engine twice; the rate limiter executes its read-check-write as one atomic Lua script, avoiding a check-then-act race across processes.</w:t>
      </w:r>
    </w:p>
    <w:p>
      <w:pPr>
        <w:pStyle w:val="ListParagraph"/>
        <w:numPr>
          <w:ilvl w:val="0"/>
          <w:numId w:val="3"/>
        </w:numPr>
        <w:spacing w:after="60" w:line="360"/>
        <w:jc w:val="both"/>
      </w:pPr>
      <w:r>
        <w:rPr>
          <w:rFonts w:ascii="Times New Roman" w:cs="Times New Roman" w:eastAsia="Times New Roman" w:hAnsi="Times New Roman"/>
          <w:b/>
          <w:bCs/>
        </w:rPr>
        <w:t xml:space="preserve">Inter-process communication:</w:t>
      </w:r>
      <w:r>
        <w:rPr>
          <w:rFonts w:ascii="Times New Roman" w:cs="Times New Roman" w:eastAsia="Times New Roman" w:hAnsi="Times New Roman"/>
        </w:rPr>
        <w:t xml:space="preserve"> Redis publish/subscribe (live quotes) and a Redis message queue (Celery tasks) connect processes in different containers.</w:t>
      </w:r>
    </w:p>
    <w:p>
      <w:pPr>
        <w:pStyle w:val="ListParagraph"/>
        <w:numPr>
          <w:ilvl w:val="0"/>
          <w:numId w:val="3"/>
        </w:numPr>
        <w:spacing w:after="60" w:line="360"/>
        <w:jc w:val="both"/>
      </w:pPr>
      <w:r>
        <w:rPr>
          <w:rFonts w:ascii="Times New Roman" w:cs="Times New Roman" w:eastAsia="Times New Roman" w:hAnsi="Times New Roman"/>
          <w:b/>
          <w:bCs/>
        </w:rPr>
        <w:t xml:space="preserve">Resource allocation:</w:t>
      </w:r>
      <w:r>
        <w:rPr>
          <w:rFonts w:ascii="Times New Roman" w:cs="Times New Roman" w:eastAsia="Times New Roman" w:hAnsi="Times New Roman"/>
        </w:rPr>
        <w:t xml:space="preserve"> the API container is limited by cgroups to 4 CPUs and 4 GiB; Chapter 8 measures CPU and memory under load and shows the effect of thread oversubscription.</w:t>
      </w:r>
    </w:p>
    <w:p>
      <w:pPr>
        <w:pStyle w:val="ListParagraph"/>
        <w:numPr>
          <w:ilvl w:val="0"/>
          <w:numId w:val="3"/>
        </w:numPr>
        <w:spacing w:after="60" w:line="360"/>
        <w:jc w:val="both"/>
      </w:pPr>
      <w:r>
        <w:rPr>
          <w:rFonts w:ascii="Times New Roman" w:cs="Times New Roman" w:eastAsia="Times New Roman" w:hAnsi="Times New Roman"/>
          <w:b/>
          <w:bCs/>
        </w:rPr>
        <w:t xml:space="preserve">Scheduling:</w:t>
      </w:r>
      <w:r>
        <w:rPr>
          <w:rFonts w:ascii="Times New Roman" w:cs="Times New Roman" w:eastAsia="Times New Roman" w:hAnsi="Times New Roman"/>
        </w:rPr>
        <w:t xml:space="preserve"> periodic jobs are scheduled by Celery beat (time-based); request scheduling across worker processes is done by the OS and the shared listening socket. Explicit Round Robin scheduling was not implemented because the workload does not require it.</w:t>
      </w:r>
    </w:p>
    <w:p>
      <w:pPr>
        <w:pStyle w:val="Heading2"/>
        <w:keepNext/>
      </w:pPr>
      <w:bookmarkStart w:name="_Toc59" w:id="59"/>
      <w:r>
        <w:rPr>
          <w:rFonts w:ascii="Times New Roman" w:cs="Times New Roman" w:eastAsia="Times New Roman" w:hAnsi="Times New Roman"/>
        </w:rPr>
        <w:t xml:space="preserve">6.5 Data Structures</w:t>
      </w:r>
      <w:bookmarkEnd w:id="59"/>
    </w:p>
    <w:p>
      <w:pPr>
        <w:spacing w:after="120" w:line="360"/>
        <w:jc w:val="both"/>
      </w:pPr>
      <w:r>
        <w:rPr>
          <w:rFonts w:ascii="Times New Roman" w:cs="Times New Roman" w:eastAsia="Times New Roman" w:hAnsi="Times New Roman"/>
        </w:rPr>
        <w:t xml:space="preserve">Section 5.4 lists the data structures and their roles: hash maps and sets for overlap (linear-time intersection), a deque for FIFO lots and in-process rate-limit windows (constant-time removal of the oldest item), a Redis sorted set for the distributed sliding window (logarithmic insert and range delete), dense matrices for covariance and simulation, bit masks for Shapley coalitions, a dendrogram for fund clustering, a graph for the overlap network and B-tree indexes in the database.</w:t>
      </w:r>
    </w:p>
    <w:p>
      <w:pPr>
        <w:pStyle w:val="Heading2"/>
        <w:keepNext/>
      </w:pPr>
      <w:bookmarkStart w:name="_Toc60" w:id="60"/>
      <w:r>
        <w:rPr>
          <w:rFonts w:ascii="Times New Roman" w:cs="Times New Roman" w:eastAsia="Times New Roman" w:hAnsi="Times New Roman"/>
        </w:rPr>
        <w:t xml:space="preserve">6.6 Design and Analysis of Algorithms</w:t>
      </w:r>
      <w:bookmarkEnd w:id="60"/>
    </w:p>
    <w:p>
      <w:pPr>
        <w:pStyle w:val="ListParagraph"/>
        <w:numPr>
          <w:ilvl w:val="0"/>
          <w:numId w:val="3"/>
        </w:numPr>
        <w:spacing w:after="60" w:line="360"/>
        <w:jc w:val="both"/>
      </w:pPr>
      <w:r>
        <w:rPr>
          <w:rFonts w:ascii="Times New Roman" w:cs="Times New Roman" w:eastAsia="Times New Roman" w:hAnsi="Times New Roman"/>
          <w:b/>
          <w:bCs/>
        </w:rPr>
        <w:t xml:space="preserve">Correctness:</w:t>
      </w:r>
      <w:r>
        <w:rPr>
          <w:rFonts w:ascii="Times New Roman" w:cs="Times New Roman" w:eastAsia="Times New Roman" w:hAnsi="Times New Roman"/>
        </w:rPr>
        <w:t xml:space="preserve"> each algorithm has invariant-based tests — the overlap matrix is symmetric with a unit diagonal; Shapley contributions sum exactly to the score minus the baseline (the efficiency property); FIFO tax equals hand-computed values; GARCH recovers known parameters from simulated data.</w:t>
      </w:r>
    </w:p>
    <w:p>
      <w:pPr>
        <w:pStyle w:val="ListParagraph"/>
        <w:numPr>
          <w:ilvl w:val="0"/>
          <w:numId w:val="3"/>
        </w:numPr>
        <w:spacing w:after="60" w:line="360"/>
        <w:jc w:val="both"/>
      </w:pPr>
      <w:r>
        <w:rPr>
          <w:rFonts w:ascii="Times New Roman" w:cs="Times New Roman" w:eastAsia="Times New Roman" w:hAnsi="Times New Roman"/>
          <w:b/>
          <w:bCs/>
        </w:rPr>
        <w:t xml:space="preserve">Complexity:</w:t>
      </w:r>
      <w:r>
        <w:rPr>
          <w:rFonts w:ascii="Times New Roman" w:cs="Times New Roman" w:eastAsia="Times New Roman" w:hAnsi="Times New Roman"/>
        </w:rPr>
        <w:t xml:space="preserve"> Section 5.6 derives time and space complexity and confirms it empirically.</w:t>
      </w:r>
    </w:p>
    <w:p>
      <w:pPr>
        <w:pStyle w:val="ListParagraph"/>
        <w:numPr>
          <w:ilvl w:val="0"/>
          <w:numId w:val="3"/>
        </w:numPr>
        <w:spacing w:after="60" w:line="360"/>
        <w:jc w:val="both"/>
      </w:pPr>
      <w:r>
        <w:rPr>
          <w:rFonts w:ascii="Times New Roman" w:cs="Times New Roman" w:eastAsia="Times New Roman" w:hAnsi="Times New Roman"/>
          <w:b/>
          <w:bCs/>
        </w:rPr>
        <w:t xml:space="preserve">Paradigms:</w:t>
      </w:r>
      <w:r>
        <w:rPr>
          <w:rFonts w:ascii="Times New Roman" w:cs="Times New Roman" w:eastAsia="Times New Roman" w:hAnsi="Times New Roman"/>
        </w:rPr>
        <w:t xml:space="preserve"> brute-force enumeration with a provable bound (exact Shapley over 2^10 coalitions), greedy consumption (FIFO), divide-and-conquer in hierarchical clustering and HRP, randomised algorithms (Monte Carlo with common random numbers), numerical optimisation (maximum likelihood, non-negative least squares).</w:t>
      </w:r>
    </w:p>
    <w:p>
      <w:pPr>
        <w:pStyle w:val="Heading2"/>
        <w:keepNext/>
      </w:pPr>
      <w:bookmarkStart w:name="_Toc61" w:id="61"/>
      <w:r>
        <w:rPr>
          <w:rFonts w:ascii="Times New Roman" w:cs="Times New Roman" w:eastAsia="Times New Roman" w:hAnsi="Times New Roman"/>
        </w:rPr>
        <w:t xml:space="preserve">6.7 Cloud Computing</w:t>
      </w:r>
      <w:bookmarkEnd w:id="61"/>
    </w:p>
    <w:p>
      <w:pPr>
        <w:pStyle w:val="ListParagraph"/>
        <w:numPr>
          <w:ilvl w:val="0"/>
          <w:numId w:val="3"/>
        </w:numPr>
        <w:spacing w:after="60" w:line="360"/>
        <w:jc w:val="both"/>
      </w:pPr>
      <w:r>
        <w:rPr>
          <w:rFonts w:ascii="Times New Roman" w:cs="Times New Roman" w:eastAsia="Times New Roman" w:hAnsi="Times New Roman"/>
          <w:b/>
          <w:bCs/>
        </w:rPr>
        <w:t xml:space="preserve">Containerisation:</w:t>
      </w:r>
      <w:r>
        <w:rPr>
          <w:rFonts w:ascii="Times New Roman" w:cs="Times New Roman" w:eastAsia="Times New Roman" w:hAnsi="Times New Roman"/>
        </w:rPr>
        <w:t xml:space="preserve"> every component is a Docker image with a health check; one compose file defines the whole stack, so it can be moved unchanged to any cloud virtual machine or container service.</w:t>
      </w:r>
    </w:p>
    <w:p>
      <w:pPr>
        <w:pStyle w:val="ListParagraph"/>
        <w:numPr>
          <w:ilvl w:val="0"/>
          <w:numId w:val="3"/>
        </w:numPr>
        <w:spacing w:after="60" w:line="360"/>
        <w:jc w:val="both"/>
      </w:pPr>
      <w:r>
        <w:rPr>
          <w:rFonts w:ascii="Times New Roman" w:cs="Times New Roman" w:eastAsia="Times New Roman" w:hAnsi="Times New Roman"/>
          <w:b/>
          <w:bCs/>
        </w:rPr>
        <w:t xml:space="preserve">Statelessness and scaling:</w:t>
      </w:r>
      <w:r>
        <w:rPr>
          <w:rFonts w:ascii="Times New Roman" w:cs="Times New Roman" w:eastAsia="Times New Roman" w:hAnsi="Times New Roman"/>
        </w:rPr>
        <w:t xml:space="preserve"> API processes keep no session state, so horizontal scaling only needs more replicas behind a load balancer; the distributed rate limiter was designed for exactly that case.</w:t>
      </w:r>
    </w:p>
    <w:p>
      <w:pPr>
        <w:pStyle w:val="ListParagraph"/>
        <w:numPr>
          <w:ilvl w:val="0"/>
          <w:numId w:val="3"/>
        </w:numPr>
        <w:spacing w:after="60" w:line="360"/>
        <w:jc w:val="both"/>
      </w:pPr>
      <w:r>
        <w:rPr>
          <w:rFonts w:ascii="Times New Roman" w:cs="Times New Roman" w:eastAsia="Times New Roman" w:hAnsi="Times New Roman"/>
          <w:b/>
          <w:bCs/>
        </w:rPr>
        <w:t xml:space="preserve">Honest status:</w:t>
      </w:r>
      <w:r>
        <w:rPr>
          <w:rFonts w:ascii="Times New Roman" w:cs="Times New Roman" w:eastAsia="Times New Roman" w:hAnsi="Times New Roman"/>
        </w:rPr>
        <w:t xml:space="preserve"> the system was </w:t>
      </w:r>
      <w:r>
        <w:rPr>
          <w:rFonts w:ascii="Times New Roman" w:cs="Times New Roman" w:eastAsia="Times New Roman" w:hAnsi="Times New Roman"/>
          <w:b/>
          <w:bCs/>
        </w:rPr>
        <w:t xml:space="preserve">not deployed on a public cloud</w:t>
      </w:r>
      <w:r>
        <w:rPr>
          <w:rFonts w:ascii="Times New Roman" w:cs="Times New Roman" w:eastAsia="Times New Roman" w:hAnsi="Times New Roman"/>
        </w:rPr>
        <w:t xml:space="preserve"> during this project. All measurements in Chapter 8 come from a local Docker host; Section 8.10 describes the intended cloud deployment.</w:t>
      </w:r>
    </w:p>
    <w:p>
      <w:pPr>
        <w:pStyle w:val="Heading2"/>
        <w:keepNext/>
      </w:pPr>
      <w:bookmarkStart w:name="_Toc62" w:id="62"/>
      <w:r>
        <w:rPr>
          <w:rFonts w:ascii="Times New Roman" w:cs="Times New Roman" w:eastAsia="Times New Roman" w:hAnsi="Times New Roman"/>
        </w:rPr>
        <w:t xml:space="preserve">6.8 Engineering Mathematics (Probability and Statistics)</w:t>
      </w:r>
      <w:bookmarkEnd w:id="62"/>
    </w:p>
    <w:p>
      <w:pPr>
        <w:spacing w:after="120" w:line="360"/>
        <w:jc w:val="both"/>
      </w:pPr>
      <w:r>
        <w:rPr>
          <w:rFonts w:ascii="Times New Roman" w:cs="Times New Roman" w:eastAsia="Times New Roman" w:hAnsi="Times New Roman"/>
        </w:rPr>
        <w:t xml:space="preserve">Although not a programming subject, the probability and statistics taught in Engineering Mathematics underpin the analytical engines: correlation and the Fisher-z transform, linear regression with constraints, maximum-likelihood estimation (GARCH, GPD), hypothesis tests (Kupiec, Christoffersen, Diebold–Mariano), the Student-t and Beta distributions, and Monte Carlo estimation with confidence intervals.</w:t>
      </w:r>
    </w:p>
    <w:p>
      <w:pPr>
        <w:pStyle w:val="Heading2"/>
        <w:keepNext/>
      </w:pPr>
      <w:bookmarkStart w:name="_Toc63" w:id="63"/>
      <w:r>
        <w:rPr>
          <w:rFonts w:ascii="Times New Roman" w:cs="Times New Roman" w:eastAsia="Times New Roman" w:hAnsi="Times New Roman"/>
        </w:rPr>
        <w:t xml:space="preserve">6.9 Mapping of Subjects to Project Implementation</w:t>
      </w:r>
      <w:bookmarkEnd w:id="63"/>
    </w:p>
    <w:p>
      <w:pPr>
        <w:pStyle w:val="Caption"/>
        <w:spacing w:after="240" w:before="80"/>
        <w:jc w:val="center"/>
      </w:pPr>
      <w:r>
        <w:rPr>
          <w:rFonts w:ascii="Times New Roman" w:cs="Times New Roman" w:eastAsia="Times New Roman" w:hAnsi="Times New Roman"/>
          <w:b/>
          <w:bCs/>
        </w:rPr>
        <w:t xml:space="preserve">Table 6.</w:t>
      </w:r>
      <w:fldSimple w:instr="SEQ Table \* ARABIC \s 1">
        <w:r>
          <w:t xml:space="preserve">1</w:t>
        </w:r>
      </w:fldSimple>
      <w:r>
        <w:rPr>
          <w:rFonts w:ascii="Times New Roman" w:cs="Times New Roman" w:eastAsia="Times New Roman" w:hAnsi="Times New Roman"/>
        </w:rPr>
        <w:t xml:space="preserve">: Mapping of subjects to project implementation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2699"/>
        <w:gridCol w:w="1973"/>
        <w:gridCol w:w="1973"/>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Subject</w:t>
            </w:r>
          </w:p>
        </w:tc>
        <w:tc>
          <w:tcPr>
            <w:tcW w:type="dxa" w:w="269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Concept applied</w:t>
            </w:r>
          </w:p>
        </w:tc>
        <w:tc>
          <w:tcPr>
            <w:tcW w:type="dxa" w:w="197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Project module</w:t>
            </w:r>
          </w:p>
        </w:tc>
        <w:tc>
          <w:tcPr>
            <w:tcW w:type="dxa" w:w="197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Evidence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Software Engineering</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Layered modular design, traceability, exception handling, CI</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Whole backend; CI workflow</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Tables 4.1 and 9.4; GitHub Actions runs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Computer Networks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Client–server REST over TCP; WebSocket; pub/sub</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 feed worker, Redis</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47 endpoints (Appendix A); load test logs (Chapter 8)</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DBMS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Keys, constraints, 3NF, composite index, ON CONFLICT, migrations</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access, ledger</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Schema (Table 4.2); EXPLAIN output; Alembic versions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DBMS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Time partitioning</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TimescaleDB hypertables</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277 chunks / 233,258 rows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Operating Systems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Processes, thread pool, locks, atomic scripts, cgroup limits</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uvicorn workers, engine registry, rate limiter</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Concurrency tests; CPU/memory measurements (Chapter 8)</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Structures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Hash maps, deque, sorted set, matrices, trees, graph</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 FIFO, rate limiter, PLOS</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Table 5.2; unit tests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Algorithms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Complexity analysis; exact enumeration; Monte Carlo; greedy FIFO</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ARISE, accounting</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Tables 5.4–5.7; scaling measurements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Cloud Computing</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Containerisation, stateless scaling (deployment not done)</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Docker Compose stack</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compose.yaml; Section 8.10</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Engineering Mathematics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Regression, MLE, hypothesis tests, distributions</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PLOS, ARISE models</w:t>
            </w:r>
          </w:p>
        </w:tc>
        <w:tc>
          <w:tcPr>
            <w:tcW w:type="dxa" w:w="197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Chapter 10 validation results</w:t>
            </w:r>
          </w:p>
        </w:tc>
      </w:tr>
    </w:tbl>
    <w:p>
      <w:pPr>
        <w:spacing w:after="120"/>
      </w:pPr>
      <w:r>
        <w:rPr>
          <w:rFonts w:ascii="Times New Roman" w:cs="Times New Roman" w:eastAsia="Times New Roman" w:hAnsi="Times New Roman"/>
        </w:rPr>
        <w:t xml:space="preserve"/>
      </w:r>
    </w:p>
    <w:p>
      <w:pPr>
        <w:pageBreakBefore/>
        <w:spacing w:after="120"/>
        <w:jc w:val="center"/>
      </w:pPr>
      <w:r>
        <w:rPr>
          <w:rFonts w:ascii="Times New Roman" w:cs="Times New Roman" w:eastAsia="Times New Roman" w:hAnsi="Times New Roman"/>
          <w:b/>
          <w:bCs/>
          <w:sz w:val="28"/>
          <w:szCs w:val="28"/>
        </w:rPr>
        <w:t xml:space="preserve">CHAPTER 7</w:t>
      </w:r>
    </w:p>
    <w:p>
      <w:pPr>
        <w:pStyle w:val="Heading1"/>
        <w:jc w:val="center"/>
      </w:pPr>
      <w:bookmarkStart w:name="_Toc64" w:id="64"/>
      <w:r>
        <w:rPr>
          <w:rFonts w:ascii="Times New Roman" w:cs="Times New Roman" w:eastAsia="Times New Roman" w:hAnsi="Times New Roman"/>
        </w:rPr>
        <w:t xml:space="preserve">IMPLEMENTATION AND MODULE-WISE CODING</w:t>
      </w:r>
      <w:bookmarkEnd w:id="64"/>
    </w:p>
    <w:p>
      <w:pPr>
        <w:pStyle w:val="Heading2"/>
        <w:keepNext/>
      </w:pPr>
      <w:bookmarkStart w:name="_Toc65" w:id="65"/>
      <w:r>
        <w:rPr>
          <w:rFonts w:ascii="Times New Roman" w:cs="Times New Roman" w:eastAsia="Times New Roman" w:hAnsi="Times New Roman"/>
        </w:rPr>
        <w:t xml:space="preserve">7.1 Development Environment</w:t>
      </w:r>
      <w:bookmarkEnd w:id="65"/>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1</w:t>
        </w:r>
      </w:fldSimple>
      <w:r>
        <w:rPr>
          <w:rFonts w:ascii="Times New Roman" w:cs="Times New Roman" w:eastAsia="Times New Roman" w:hAnsi="Times New Roman"/>
        </w:rPr>
        <w:t xml:space="preserve">: Development environment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Item</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Details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Languages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Python 3.12 (backend, models, scripts), TypeScript 5 (frontend), SQL, Lua (rate-limit script)</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FastAPI, Pydantic v2, SQLAlchemy 2 (async, asyncpg), Alembic, Celery, uvicorn, httpx, bcrypt, python-jose (JWT)</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Analytics and ML</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NumPy, SciPy, pandas, scikit-learn; models stored as JSON artifacts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Frontend</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Next.js 15 (App Router), React 19, Tailwind CSS v4, TanStack Query, Zustand, three.js / React Three Fiber, GSAP, Lenis, Recharts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stores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PostgreSQL 16.14 with TimescaleDB 2.28.2; Redis 7</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Tools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VS Code, Git and GitHub, Docker Desktop, GitHub Actions, pytest, ruff, ESLint, TypeScript compiler</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Machine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Apple M5 (10 cores), 16 GB RAM, macOS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size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313 tracked files; about 20,800 lines of backend Python, 6,300 lines of tests, 9,200 lines of TypeScript</w:t>
            </w:r>
          </w:p>
        </w:tc>
      </w:tr>
    </w:tbl>
    <w:p>
      <w:pPr>
        <w:spacing w:after="120"/>
      </w:pPr>
      <w:r>
        <w:rPr>
          <w:rFonts w:ascii="Times New Roman" w:cs="Times New Roman" w:eastAsia="Times New Roman" w:hAnsi="Times New Roman"/>
        </w:rPr>
        <w:t xml:space="preserve"/>
      </w:r>
    </w:p>
    <w:p>
      <w:pPr>
        <w:pStyle w:val="Heading2"/>
        <w:keepNext/>
      </w:pPr>
      <w:bookmarkStart w:name="_Toc66" w:id="66"/>
      <w:r>
        <w:rPr>
          <w:rFonts w:ascii="Times New Roman" w:cs="Times New Roman" w:eastAsia="Times New Roman" w:hAnsi="Times New Roman"/>
        </w:rPr>
        <w:t xml:space="preserve">7.2 Overall Implementation Strategy</w:t>
      </w:r>
      <w:bookmarkEnd w:id="66"/>
    </w:p>
    <w:p>
      <w:pPr>
        <w:spacing w:after="120" w:line="360"/>
        <w:jc w:val="both"/>
      </w:pPr>
      <w:r>
        <w:rPr>
          <w:rFonts w:ascii="Times New Roman" w:cs="Times New Roman" w:eastAsia="Times New Roman" w:hAnsi="Times New Roman"/>
        </w:rPr>
        <w:t xml:space="preserve">The design was translated into software from the inside out. First the pure engines were implemented and unit-tested against hand-computed values; then the database schema and services; then the REST API with integration tests that drive the real application over HTTP; then the web client; and finally the offline data and model pipeline, which replaced the engines’ hand-set parameters with validated models without changing their interfaces. Each step left the system runnable, which made it possible to demonstrate progress at every evaluation phase.</w:t>
      </w:r>
    </w:p>
    <w:p>
      <w:pPr>
        <w:pStyle w:val="Heading2"/>
        <w:keepNext/>
      </w:pPr>
      <w:bookmarkStart w:name="_Toc67" w:id="67"/>
      <w:r>
        <w:rPr>
          <w:rFonts w:ascii="Times New Roman" w:cs="Times New Roman" w:eastAsia="Times New Roman" w:hAnsi="Times New Roman"/>
        </w:rPr>
        <w:t xml:space="preserve">7.3 Module-Wise Implementation</w:t>
      </w:r>
      <w:bookmarkEnd w:id="67"/>
    </w:p>
    <w:p>
      <w:pPr>
        <w:pStyle w:val="Heading3"/>
        <w:keepNext/>
      </w:pPr>
      <w:r>
        <w:rPr>
          <w:rFonts w:ascii="Times New Roman" w:cs="Times New Roman" w:eastAsia="Times New Roman" w:hAnsi="Times New Roman"/>
        </w:rPr>
        <w:t xml:space="preserve">7.3.1 Authentication and session management</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2</w:t>
        </w:r>
      </w:fldSimple>
      <w:r>
        <w:rPr>
          <w:rFonts w:ascii="Times New Roman" w:cs="Times New Roman" w:eastAsia="Times New Roman" w:hAnsi="Times New Roman"/>
        </w:rPr>
        <w:t xml:space="preserve">: Module: Authentication and session management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Register, log in, refresh and revoke sessions securely (FR-01, FR-02).</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Credentials or refresh token → JWT access and refresh tokens.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Validate input; check password policy; bcrypt hash; issue tokens; rotate on refresh; revoke family on reuse (Algorithm 8).</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SHA-256 pre-hash before bcrypt (cost 12); case-insensitive email; identical errors for wrong password and unknown user.</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users, refresh_tokens tables; settings.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backend/api/v1/auth.py, backend/services/auth_service.py, backend/core/security.py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tests/test_auth.py (14 tests): rotation, reuse, logout-all, forged and wrong-type tokens.</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7.3.2 Investor profile and scheme filter</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3</w:t>
        </w:r>
      </w:fldSimple>
      <w:r>
        <w:rPr>
          <w:rFonts w:ascii="Times New Roman" w:cs="Times New Roman" w:eastAsia="Times New Roman" w:hAnsi="Times New Roman"/>
        </w:rPr>
        <w:t xml:space="preserve">: Module: Investor profile and scheme filter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Capture the profile and list every scheme with eligibility (FR-03, FR-04).</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 profile fields → stored profile; profile → 35 schemes with flags.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Pydantic validation with cross-field rules; Algorithm 1 for each scheme.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 is an idempotent upsert; PUT is a partial update that still enforces invariants (e.g. retirement age &gt; current age).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investor_profiles; schemes_metadata.json.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backend/api/v1/profile.py, backend/api/v1/schemes.py, backend/engines/filter_engine.py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tests/test_profile_schemes.py (18 tests).</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7.3.3 Selection and allocation</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4</w:t>
        </w:r>
      </w:fldSimple>
      <w:r>
        <w:rPr>
          <w:rFonts w:ascii="Times New Roman" w:cs="Times New Roman" w:eastAsia="Times New Roman" w:hAnsi="Times New Roman"/>
        </w:rPr>
        <w:t xml:space="preserve">: Module: Selection and allocation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Save the chosen schemes and weights (FR-05).</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1–20 scheme IDs and weights → saved selection.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Reject unknown or duplicate IDs; default to equal weights; require weights to cover exactly the selection and sum to 1.</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Weights stored as fractions in JSON; allocation before selection returns 404.</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scheme_selections; filter engine.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backend/api/v1/schemes.py, backend/schemas/schemes.py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tests/test_profile_schemes.py (selection cases).</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7.3.4 Overlap engine</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5</w:t>
        </w:r>
      </w:fldSimple>
      <w:r>
        <w:rPr>
          <w:rFonts w:ascii="Times New Roman" w:cs="Times New Roman" w:eastAsia="Times New Roman" w:hAnsi="Times New Roman"/>
        </w:rPr>
        <w:t xml:space="preserve">: Module: Overlap engine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Measure name and money overlap between selected schemes (FR-06).</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IDs → symmetric matrix, shared holdings, network edges.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Algorithm 2 with hash maps of normalised names.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Only equity schemes have stock holdings; debt and international schemes appear as nodes with zero overlap.</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sample_holdings.json (31 May 2026 factsheets).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backend/engines/overlap_engine.py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tests/test_analysis.py; the frontend generator re-computes 10 published figures and CI fails on any mismatch.</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7.3.5 PLOS v3 engine</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6</w:t>
        </w:r>
      </w:fldSimple>
      <w:r>
        <w:rPr>
          <w:rFonts w:ascii="Times New Roman" w:cs="Times New Roman" w:eastAsia="Times New Roman" w:hAnsi="Times New Roman"/>
        </w:rPr>
        <w:t xml:space="preserve">: Module: PLOS v3 engine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Predict co-movement, explain it and count effective funds (FR-07).</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IDs and weights → pair scores, Shapley contributions, N_eff, clusters, validation evidence.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Algorithm 3: ten layers, learned monotone model in Fisher-z, exact Shapley, N_eff, average-linkage clusters.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Model weights loaded from models/plos3.json; falls back to the v1 hand weights if the artifact is missing.</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Return fallback chain; holdings; Ledoit–Wolf covariance.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backend/engines/plos_engine.py, backend/ml/plos_model.py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tests/test_ml_models.py, tests/test_plos_top5.py: Shapley sum, monotonicity, bond/equity pairs.</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7.3.6 Risk v2 engine</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7</w:t>
        </w:r>
      </w:fldSimple>
      <w:r>
        <w:rPr>
          <w:rFonts w:ascii="Times New Roman" w:cs="Times New Roman" w:eastAsia="Times New Roman" w:hAnsi="Times New Roman"/>
        </w:rPr>
        <w:t xml:space="preserve">: Module: Risk v2 engine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Volatility, VaR/ES and backtests for the actual portfolio (FR-08).</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IDs and weights → risk metrics, VaR/ES at 95% / 99% for 1 and 10 days, backtests, regime.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Algorithm 4: GARCH + HAR-X blend, FHS at 95%, GPD tail at 99%, mean-reverting 10-day variance.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HAR-X coefficients from models/risk2.json; each fund’s data source reported to the dashboard.</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Return fallback chain; factor data.</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backend/engines/risk_engine.py, backend/ml/vol_models.py, backend/ml/garch.py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tests/test_quant_engines.py (29 tests): GARCH parameter recovery, EVT on normal data, Kupiec accept/reject.</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7.3.7 ARISE v5 engine</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8</w:t>
        </w:r>
      </w:fldSimple>
      <w:r>
        <w:rPr>
          <w:rFonts w:ascii="Times New Roman" w:cs="Times New Roman" w:eastAsia="Times New Roman" w:hAnsi="Times New Roman"/>
        </w:rPr>
        <w:t xml:space="preserve">: Module: ARISE v5 engine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Project retirement success probability (FR-09).</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 selection, strategy, paths → success estimate with interval, percentile paths, strategy table, stress test, calibration.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Algorithm 5 with Gompertz lifespans, Student-t shocks, estimation risk, four withdrawal strategies on common random numbers.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Seeded generator for reproducibility; Jeffreys estimate; HMM stress scenario; dividend-yield prior.</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Portfolio statistics builder; CPI data; arise_cal artifact.</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backend/engines/arise_engine.py, backend/ml/arise_models.py, backend/ml/regime.py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tests/test_arise_longevity.py (20), tests/test_estimation_risk.py (11): monotonicity in SIP, never 0% or 100%.</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7.3.8 Portfolio accounting</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9</w:t>
        </w:r>
      </w:fldSimple>
      <w:r>
        <w:rPr>
          <w:rFonts w:ascii="Times New Roman" w:cs="Times New Roman" w:eastAsia="Times New Roman" w:hAnsi="Times New Roman"/>
        </w:rPr>
        <w:t xml:space="preserve">: Module: Portfolio accounting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Ledger, holdings, P&amp;L, XIRR and capital-gains tax (FR-10).</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Transactions and NAVs → holdings, realised and unrealised gains, tax.</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Algorithm 6 (FIFO) with Decimal arithmetic; annual aggregate LTCG exemption.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Holdings are replayed from the ledger, never stored; duplicate external references are ignored.</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transactions; NAV loader.</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backend/analytics/portfolio_accounting.py, backend/api/v1/portfolio.py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tests/test_portfolio.py (38 tests): partial redemptions, tax against hand computation, idempotency.</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7.3.9 Market data loader</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10</w:t>
        </w:r>
      </w:fldSimple>
      <w:r>
        <w:rPr>
          <w:rFonts w:ascii="Times New Roman" w:cs="Times New Roman" w:eastAsia="Times New Roman" w:hAnsi="Times New Roman"/>
        </w:rPr>
        <w:t xml:space="preserve">: Module: Market data loader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Supply return series with a reliable source (all analyses).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ID, period → ReturnsData (returns, source, is_synthetic, expense ratio).</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Algorithm 9: five tiers from verified NAV to synthetic.</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Verified AMFI codes checked against factsheet NAV; legacy codes name-validated.</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files, AMFI (mfapi.in), Yahoo Finance, Upstox.</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backend/data_loaders/market_data.py, backend/data_loaders/amfi_loader.py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tests/test_provenance.py (12), tests/test_timescale_read_path.py (20).</w:t>
            </w:r>
          </w:p>
        </w:tc>
      </w:tr>
    </w:tbl>
    <w:p>
      <w:pPr>
        <w:spacing w:after="120"/>
      </w:pPr>
      <w:r>
        <w:rPr>
          <w:rFonts w:ascii="Times New Roman" w:cs="Times New Roman" w:eastAsia="Times New Roman" w:hAnsi="Times New Roman"/>
        </w:rPr>
        <w:t xml:space="preserve"/>
      </w:r>
    </w:p>
    <w:p>
      <w:pPr>
        <w:pStyle w:val="Heading3"/>
        <w:keepNext/>
      </w:pPr>
      <w:r>
        <w:rPr>
          <w:rFonts w:ascii="Times New Roman" w:cs="Times New Roman" w:eastAsia="Times New Roman" w:hAnsi="Times New Roman"/>
        </w:rPr>
        <w:t xml:space="preserve">7.3.10 Reports, notifications and Upstox integration</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11</w:t>
        </w:r>
      </w:fldSimple>
      <w:r>
        <w:rPr>
          <w:rFonts w:ascii="Times New Roman" w:cs="Times New Roman" w:eastAsia="Times New Roman" w:hAnsi="Times New Roman"/>
        </w:rPr>
        <w:t xml:space="preserve">: Module: Reports, notifications and Upstox integration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Aspect</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Description</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Purpose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PDF reports, RM notifications and live prices (FR-11).</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Input / output</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Selection → PDF; message → inbox; Upstox OAuth → live quotes.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Processing logic</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Report status machine (Figure 4.10c); OAuth authorisation-code flow; WebSocket feed decoded from Protocol Buffers.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Implementation details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Feed worker publishes quotes to Redis; API reads them; system works fully without Upstox.</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Dependencies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reports, notifications, upstox_connections; Redis.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 references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backend/services/report_service.py, backend/integrations/upstox/</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 evidence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tests/test_reports_market.py, tests/test_upstox.py (34), tests/test_feed_decoder.py, tests/test_feed_worker.py.</w:t>
            </w:r>
          </w:p>
        </w:tc>
      </w:tr>
    </w:tbl>
    <w:p>
      <w:pPr>
        <w:spacing w:after="120"/>
      </w:pPr>
      <w:r>
        <w:rPr>
          <w:rFonts w:ascii="Times New Roman" w:cs="Times New Roman" w:eastAsia="Times New Roman" w:hAnsi="Times New Roman"/>
        </w:rPr>
        <w:t xml:space="preserve"/>
      </w:r>
    </w:p>
    <w:p>
      <w:pPr>
        <w:pStyle w:val="Heading2"/>
        <w:keepNext/>
      </w:pPr>
      <w:bookmarkStart w:name="_Toc68" w:id="68"/>
      <w:r>
        <w:rPr>
          <w:rFonts w:ascii="Times New Roman" w:cs="Times New Roman" w:eastAsia="Times New Roman" w:hAnsi="Times New Roman"/>
        </w:rPr>
        <w:t xml:space="preserve">7.4 Front-End Implementation</w:t>
      </w:r>
      <w:bookmarkEnd w:id="68"/>
    </w:p>
    <w:p>
      <w:pPr>
        <w:spacing w:after="120" w:line="360"/>
        <w:jc w:val="both"/>
      </w:pPr>
      <w:r>
        <w:rPr>
          <w:rFonts w:ascii="Times New Roman" w:cs="Times New Roman" w:eastAsia="Times New Roman" w:hAnsi="Times New Roman"/>
        </w:rPr>
        <w:t xml:space="preserve">The web client has eleven screens: landing, login, register, dashboard, profile wizard, scheme list, scheme detail, and the overlap, PLOS, risk and ARISE analysis pages. Forms validate on the client (types, ranges and required fields) and display server validation errors next to the relevant field. Navigation uses the Next.js App Router with an authenticated layout that redirects to login when no valid session exists; access tokens are refreshed automatically. Data is fetched through TanStack Query, which caches responses and shows loading and error states. The landing page uses one persistent WebGL canvas (a 3D ruby “N”) with scroll-driven animation and a reduced-motion path. Colour tokens are generated in the OKLCH colour space, and the build fails unless all 16 text/surface pairs pass WCAG AA contrast in both themes. Screenshots are in Section 10.2.</w:t>
      </w:r>
    </w:p>
    <w:p>
      <w:pPr>
        <w:pStyle w:val="Heading2"/>
        <w:keepNext/>
      </w:pPr>
      <w:bookmarkStart w:name="_Toc69" w:id="69"/>
      <w:r>
        <w:rPr>
          <w:rFonts w:ascii="Times New Roman" w:cs="Times New Roman" w:eastAsia="Times New Roman" w:hAnsi="Times New Roman"/>
        </w:rPr>
        <w:t xml:space="preserve">7.5 Back-End Implementation</w:t>
      </w:r>
      <w:bookmarkEnd w:id="69"/>
    </w:p>
    <w:p>
      <w:pPr>
        <w:spacing w:after="120" w:line="360"/>
        <w:jc w:val="both"/>
      </w:pPr>
      <w:r>
        <w:rPr>
          <w:rFonts w:ascii="Times New Roman" w:cs="Times New Roman" w:eastAsia="Times New Roman" w:hAnsi="Times New Roman"/>
        </w:rPr>
        <w:t xml:space="preserve">Requests pass through middleware (request ID and structured logging, rate limiting, CORS) to versioned routers under /api/v1. Routers validate input with Pydantic models and call services; services enforce ownership, load data and call engines; CPU-heavy engine calls run on worker threads so the event loop remains responsive. Responses are Pydantic models, which also generate the interactive OpenAPI documentation at /docs. Domain exceptions are converted to JSON errors by central handlers. Background work (NAV and price refresh, holdings refresh, ISIN map refresh) runs as Celery tasks triggered by Celery beat or by authenticated API calls that return 202 Accepted.</w:t>
      </w:r>
    </w:p>
    <w:p>
      <w:pPr>
        <w:pStyle w:val="Heading2"/>
        <w:keepNext/>
      </w:pPr>
      <w:bookmarkStart w:name="_Toc70" w:id="70"/>
      <w:r>
        <w:rPr>
          <w:rFonts w:ascii="Times New Roman" w:cs="Times New Roman" w:eastAsia="Times New Roman" w:hAnsi="Times New Roman"/>
        </w:rPr>
        <w:t xml:space="preserve">7.6 Database Implementation</w:t>
      </w:r>
      <w:bookmarkEnd w:id="70"/>
    </w:p>
    <w:p>
      <w:pPr>
        <w:spacing w:after="120" w:line="360"/>
        <w:jc w:val="both"/>
      </w:pPr>
      <w:r>
        <w:rPr>
          <w:rFonts w:ascii="Times New Roman" w:cs="Times New Roman" w:eastAsia="Times New Roman" w:hAnsi="Times New Roman"/>
        </w:rPr>
        <w:t xml:space="preserve">Tables are declared as SQLAlchemy 2 ORM models with typed mapped columns, and the schema is created and evolved by three Alembic migrations (initial schema; transactions and SIP fields; Upstox connections). CI applies the migrations to a fresh database and fails if the ORM models and migrations drift apart. The API uses an asynchronous connection pool (asyncpg); each request receives one session that commits or rolls back as a unit. Time-series tables live in a separate tsdb schema, are converted to hypertables when TimescaleDB is available, and are written with idempotent bulk upserts.</w:t>
      </w:r>
    </w:p>
    <w:p>
      <w:pPr>
        <w:shd w:fill="F2F2F2" w:color="auto" w:val="clear"/>
        <w:spacing w:after="0" w:line="240"/>
        <w:ind w:left="200"/>
      </w:pPr>
      <w:r>
        <w:rPr>
          <w:rFonts w:ascii="Courier New" w:cs="Courier New" w:eastAsia="Courier New" w:hAnsi="Courier New"/>
          <w:sz w:val="17"/>
          <w:szCs w:val="17"/>
        </w:rPr>
        <w:t xml:space="preserve">class Transaction(Base):</w:t>
      </w:r>
    </w:p>
    <w:p>
      <w:pPr>
        <w:shd w:fill="F2F2F2" w:color="auto" w:val="clear"/>
        <w:spacing w:after="0" w:line="240"/>
        <w:ind w:left="200"/>
      </w:pPr>
      <w:r>
        <w:rPr>
          <w:rFonts w:ascii="Courier New" w:cs="Courier New" w:eastAsia="Courier New" w:hAnsi="Courier New"/>
          <w:sz w:val="17"/>
          <w:szCs w:val="17"/>
        </w:rPr>
        <w:t xml:space="preserve">    __tablename__ = "transactions"</w:t>
      </w:r>
    </w:p>
    <w:p>
      <w:pPr>
        <w:shd w:fill="F2F2F2" w:color="auto" w:val="clear"/>
        <w:spacing w:after="0" w:line="240"/>
        <w:ind w:left="200"/>
      </w:pPr>
      <w:r>
        <w:rPr>
          <w:rFonts w:ascii="Courier New" w:cs="Courier New" w:eastAsia="Courier New" w:hAnsi="Courier New"/>
          <w:sz w:val="17"/>
          <w:szCs w:val="17"/>
        </w:rPr>
        <w:t xml:space="preserve">    id: Mapped[uuid.UUID] = mapped_column(Uuid, primary_key=True, default=uuid.uuid4)</w:t>
      </w:r>
    </w:p>
    <w:p>
      <w:pPr>
        <w:shd w:fill="F2F2F2" w:color="auto" w:val="clear"/>
        <w:spacing w:after="0" w:line="240"/>
        <w:ind w:left="200"/>
      </w:pPr>
      <w:r>
        <w:rPr>
          <w:rFonts w:ascii="Courier New" w:cs="Courier New" w:eastAsia="Courier New" w:hAnsi="Courier New"/>
          <w:sz w:val="17"/>
          <w:szCs w:val="17"/>
        </w:rPr>
        <w:t xml:space="preserve">    user_id: Mapped[uuid.UUID] = mapped_column(</w:t>
      </w:r>
    </w:p>
    <w:p>
      <w:pPr>
        <w:shd w:fill="F2F2F2" w:color="auto" w:val="clear"/>
        <w:spacing w:after="0" w:line="240"/>
        <w:ind w:left="200"/>
      </w:pPr>
      <w:r>
        <w:rPr>
          <w:rFonts w:ascii="Courier New" w:cs="Courier New" w:eastAsia="Courier New" w:hAnsi="Courier New"/>
          <w:sz w:val="17"/>
          <w:szCs w:val="17"/>
        </w:rPr>
        <w:t xml:space="preserve">        Uuid, ForeignKey("users.id", ondelete="CASCADE"), index=True)</w:t>
      </w:r>
    </w:p>
    <w:p>
      <w:pPr>
        <w:shd w:fill="F2F2F2" w:color="auto" w:val="clear"/>
        <w:spacing w:after="0" w:line="240"/>
        <w:ind w:left="200"/>
      </w:pPr>
      <w:r>
        <w:rPr>
          <w:rFonts w:ascii="Courier New" w:cs="Courier New" w:eastAsia="Courier New" w:hAnsi="Courier New"/>
          <w:sz w:val="17"/>
          <w:szCs w:val="17"/>
        </w:rPr>
        <w:t xml:space="preserve">    units: Mapped[Decimal] = mapped_column(Numeric(18, 4), nullable=False)</w:t>
      </w:r>
    </w:p>
    <w:p>
      <w:pPr>
        <w:shd w:fill="F2F2F2" w:color="auto" w:val="clear"/>
        <w:spacing w:after="0" w:line="240"/>
        <w:ind w:left="200"/>
      </w:pPr>
      <w:r>
        <w:rPr>
          <w:rFonts w:ascii="Courier New" w:cs="Courier New" w:eastAsia="Courier New" w:hAnsi="Courier New"/>
          <w:sz w:val="17"/>
          <w:szCs w:val="17"/>
        </w:rPr>
        <w:t xml:space="preserve">    nav: Mapped[Decimal] = mapped_column(Numeric(14, 4), nullable=False)</w:t>
      </w:r>
    </w:p>
    <w:p>
      <w:pPr>
        <w:shd w:fill="F2F2F2" w:color="auto" w:val="clear"/>
        <w:spacing w:after="0" w:line="240"/>
        <w:ind w:left="200"/>
      </w:pPr>
      <w:r>
        <w:rPr>
          <w:rFonts w:ascii="Courier New" w:cs="Courier New" w:eastAsia="Courier New" w:hAnsi="Courier New"/>
          <w:sz w:val="17"/>
          <w:szCs w:val="17"/>
        </w:rPr>
        <w:t xml:space="preserve">    __table_args__ = (</w:t>
      </w:r>
    </w:p>
    <w:p>
      <w:pPr>
        <w:shd w:fill="F2F2F2" w:color="auto" w:val="clear"/>
        <w:spacing w:after="0" w:line="240"/>
        <w:ind w:left="200"/>
      </w:pPr>
      <w:r>
        <w:rPr>
          <w:rFonts w:ascii="Courier New" w:cs="Courier New" w:eastAsia="Courier New" w:hAnsi="Courier New"/>
          <w:sz w:val="17"/>
          <w:szCs w:val="17"/>
        </w:rPr>
        <w:t xml:space="preserve">        Index("idx_txn_user_scheme_date", "user_id", "scheme_id", "txn_date"),</w:t>
      </w:r>
    </w:p>
    <w:p>
      <w:pPr>
        <w:shd w:fill="F2F2F2" w:color="auto" w:val="clear"/>
        <w:spacing w:after="0" w:line="240"/>
        <w:ind w:left="200"/>
      </w:pPr>
      <w:r>
        <w:rPr>
          <w:rFonts w:ascii="Courier New" w:cs="Courier New" w:eastAsia="Courier New" w:hAnsi="Courier New"/>
          <w:sz w:val="17"/>
          <w:szCs w:val="17"/>
        </w:rPr>
        <w:t xml:space="preserve">        UniqueConstraint("user_id", "external_ref",</w:t>
      </w:r>
    </w:p>
    <w:p>
      <w:pPr>
        <w:shd w:fill="F2F2F2" w:color="auto" w:val="clear"/>
        <w:spacing w:after="0" w:line="240"/>
        <w:ind w:left="200"/>
      </w:pPr>
      <w:r>
        <w:rPr>
          <w:rFonts w:ascii="Courier New" w:cs="Courier New" w:eastAsia="Courier New" w:hAnsi="Courier New"/>
          <w:sz w:val="17"/>
          <w:szCs w:val="17"/>
        </w:rPr>
        <w:t xml:space="preserve">                         name="uq_txn_user_external_ref"),</w:t>
      </w:r>
    </w:p>
    <w:p>
      <w:pPr>
        <w:shd w:fill="F2F2F2" w:color="auto" w:val="clear"/>
        <w:spacing w:after="160" w:line="240"/>
        <w:ind w:left="200"/>
      </w:pPr>
      <w:r>
        <w:rPr>
          <w:rFonts w:ascii="Courier New" w:cs="Courier New" w:eastAsia="Courier New" w:hAnsi="Courier New"/>
          <w:sz w:val="17"/>
          <w:szCs w:val="17"/>
        </w:rPr>
        <w:t xml:space="preserve">    )</w:t>
      </w:r>
    </w:p>
    <w:p>
      <w:pPr>
        <w:pStyle w:val="Heading2"/>
        <w:keepNext/>
      </w:pPr>
      <w:bookmarkStart w:name="_Toc71" w:id="71"/>
      <w:r>
        <w:rPr>
          <w:rFonts w:ascii="Times New Roman" w:cs="Times New Roman" w:eastAsia="Times New Roman" w:hAnsi="Times New Roman"/>
        </w:rPr>
        <w:t xml:space="preserve">7.7 Communication and Concurrency Implementation</w:t>
      </w:r>
      <w:bookmarkEnd w:id="71"/>
    </w:p>
    <w:p>
      <w:pPr>
        <w:pStyle w:val="ListParagraph"/>
        <w:numPr>
          <w:ilvl w:val="0"/>
          <w:numId w:val="3"/>
        </w:numPr>
        <w:spacing w:after="60" w:line="360"/>
        <w:jc w:val="both"/>
      </w:pPr>
      <w:r>
        <w:rPr>
          <w:rFonts w:ascii="Times New Roman" w:cs="Times New Roman" w:eastAsia="Times New Roman" w:hAnsi="Times New Roman"/>
          <w:b/>
          <w:bCs/>
        </w:rPr>
        <w:t xml:space="preserve">Client–server communication:</w:t>
      </w:r>
      <w:r>
        <w:rPr>
          <w:rFonts w:ascii="Times New Roman" w:cs="Times New Roman" w:eastAsia="Times New Roman" w:hAnsi="Times New Roman"/>
        </w:rPr>
        <w:t xml:space="preserve"> the browser calls the REST API with fetch; JSON in both directions; JWT in the Authorization header; CORS restricted to the frontend origin.</w:t>
      </w:r>
    </w:p>
    <w:p>
      <w:pPr>
        <w:pStyle w:val="ListParagraph"/>
        <w:numPr>
          <w:ilvl w:val="0"/>
          <w:numId w:val="3"/>
        </w:numPr>
        <w:spacing w:after="60" w:line="360"/>
        <w:jc w:val="both"/>
      </w:pPr>
      <w:r>
        <w:rPr>
          <w:rFonts w:ascii="Times New Roman" w:cs="Times New Roman" w:eastAsia="Times New Roman" w:hAnsi="Times New Roman"/>
          <w:b/>
          <w:bCs/>
        </w:rPr>
        <w:t xml:space="preserve">Concurrent clients:</w:t>
      </w:r>
      <w:r>
        <w:rPr>
          <w:rFonts w:ascii="Times New Roman" w:cs="Times New Roman" w:eastAsia="Times New Roman" w:hAnsi="Times New Roman"/>
        </w:rPr>
        <w:t xml:space="preserve"> uvicorn runs four worker processes; each process runs an asyncio event loop that multiplexes many connections, and offloads CPU-bound engine calls to a thread pool.</w:t>
      </w:r>
    </w:p>
    <w:p>
      <w:pPr>
        <w:pStyle w:val="ListParagraph"/>
        <w:numPr>
          <w:ilvl w:val="0"/>
          <w:numId w:val="3"/>
        </w:numPr>
        <w:spacing w:after="60" w:line="360"/>
        <w:jc w:val="both"/>
      </w:pPr>
      <w:r>
        <w:rPr>
          <w:rFonts w:ascii="Times New Roman" w:cs="Times New Roman" w:eastAsia="Times New Roman" w:hAnsi="Times New Roman"/>
          <w:b/>
          <w:bCs/>
        </w:rPr>
        <w:t xml:space="preserve">Synchronisation:</w:t>
      </w:r>
      <w:r>
        <w:rPr>
          <w:rFonts w:ascii="Times New Roman" w:cs="Times New Roman" w:eastAsia="Times New Roman" w:hAnsi="Times New Roman"/>
        </w:rPr>
        <w:t xml:space="preserve"> the engine registry builds each engine once per process under a lock (double-checked locking); the rate limiter’s check-and-record step runs atomically inside Redis; database uniqueness constraints arbitrate concurrent writes.</w:t>
      </w:r>
    </w:p>
    <w:p>
      <w:pPr>
        <w:pStyle w:val="ListParagraph"/>
        <w:numPr>
          <w:ilvl w:val="0"/>
          <w:numId w:val="3"/>
        </w:numPr>
        <w:spacing w:after="60" w:line="360"/>
        <w:jc w:val="both"/>
      </w:pPr>
      <w:r>
        <w:rPr>
          <w:rFonts w:ascii="Times New Roman" w:cs="Times New Roman" w:eastAsia="Times New Roman" w:hAnsi="Times New Roman"/>
          <w:b/>
          <w:bCs/>
        </w:rPr>
        <w:t xml:space="preserve">Sync–async bridge:</w:t>
      </w:r>
      <w:r>
        <w:rPr>
          <w:rFonts w:ascii="Times New Roman" w:cs="Times New Roman" w:eastAsia="Times New Roman" w:hAnsi="Times New Roman"/>
        </w:rPr>
        <w:t xml:space="preserve"> synchronous engine code that needs asynchronous loaders uses a helper that runs the coroutine on a dedicated thread with its own event loop when a loop is already running, avoiding deadlock (ADR 0004).</w:t>
      </w:r>
    </w:p>
    <w:p>
      <w:pPr>
        <w:pStyle w:val="ListParagraph"/>
        <w:numPr>
          <w:ilvl w:val="0"/>
          <w:numId w:val="3"/>
        </w:numPr>
        <w:spacing w:after="60" w:line="360"/>
        <w:jc w:val="both"/>
      </w:pPr>
      <w:r>
        <w:rPr>
          <w:rFonts w:ascii="Times New Roman" w:cs="Times New Roman" w:eastAsia="Times New Roman" w:hAnsi="Times New Roman"/>
          <w:b/>
          <w:bCs/>
        </w:rPr>
        <w:t xml:space="preserve">Error handling and recovery:</w:t>
      </w:r>
      <w:r>
        <w:rPr>
          <w:rFonts w:ascii="Times New Roman" w:cs="Times New Roman" w:eastAsia="Times New Roman" w:hAnsi="Times New Roman"/>
        </w:rPr>
        <w:t xml:space="preserve"> timeouts on outbound requests, tiered data fallbacks, automatic WebSocket reconnection in the feed worker, Celery task retries with delay, and fail-open rate limiting when Redis is unavailable.</w:t>
      </w:r>
    </w:p>
    <w:p>
      <w:pPr>
        <w:shd w:fill="F2F2F2" w:color="auto" w:val="clear"/>
        <w:spacing w:after="0" w:line="240"/>
        <w:ind w:left="200"/>
      </w:pPr>
      <w:r>
        <w:rPr>
          <w:rFonts w:ascii="Courier New" w:cs="Courier New" w:eastAsia="Courier New" w:hAnsi="Courier New"/>
          <w:sz w:val="17"/>
          <w:szCs w:val="17"/>
        </w:rPr>
        <w:t xml:space="preserve">def _get_or_build(key, factory):</w:t>
      </w:r>
    </w:p>
    <w:p>
      <w:pPr>
        <w:shd w:fill="F2F2F2" w:color="auto" w:val="clear"/>
        <w:spacing w:after="0" w:line="240"/>
        <w:ind w:left="200"/>
      </w:pPr>
      <w:r>
        <w:rPr>
          <w:rFonts w:ascii="Courier New" w:cs="Courier New" w:eastAsia="Courier New" w:hAnsi="Courier New"/>
          <w:sz w:val="17"/>
          <w:szCs w:val="17"/>
        </w:rPr>
        <w:t xml:space="preserve">    inst = _instances.get(key)</w:t>
      </w:r>
    </w:p>
    <w:p>
      <w:pPr>
        <w:shd w:fill="F2F2F2" w:color="auto" w:val="clear"/>
        <w:spacing w:after="0" w:line="240"/>
        <w:ind w:left="200"/>
      </w:pPr>
      <w:r>
        <w:rPr>
          <w:rFonts w:ascii="Courier New" w:cs="Courier New" w:eastAsia="Courier New" w:hAnsi="Courier New"/>
          <w:sz w:val="17"/>
          <w:szCs w:val="17"/>
        </w:rPr>
        <w:t xml:space="preserve">    if inst is not None:</w:t>
      </w:r>
    </w:p>
    <w:p>
      <w:pPr>
        <w:shd w:fill="F2F2F2" w:color="auto" w:val="clear"/>
        <w:spacing w:after="0" w:line="240"/>
        <w:ind w:left="200"/>
      </w:pPr>
      <w:r>
        <w:rPr>
          <w:rFonts w:ascii="Courier New" w:cs="Courier New" w:eastAsia="Courier New" w:hAnsi="Courier New"/>
          <w:sz w:val="17"/>
          <w:szCs w:val="17"/>
        </w:rPr>
        <w:t xml:space="preserve">        return inst</w:t>
      </w:r>
    </w:p>
    <w:p>
      <w:pPr>
        <w:shd w:fill="F2F2F2" w:color="auto" w:val="clear"/>
        <w:spacing w:after="0" w:line="240"/>
        <w:ind w:left="200"/>
      </w:pPr>
      <w:r>
        <w:rPr>
          <w:rFonts w:ascii="Courier New" w:cs="Courier New" w:eastAsia="Courier New" w:hAnsi="Courier New"/>
          <w:sz w:val="17"/>
          <w:szCs w:val="17"/>
        </w:rPr>
        <w:t xml:space="preserve">    with _lock:                        # only the first caller builds</w:t>
      </w:r>
    </w:p>
    <w:p>
      <w:pPr>
        <w:shd w:fill="F2F2F2" w:color="auto" w:val="clear"/>
        <w:spacing w:after="0" w:line="240"/>
        <w:ind w:left="200"/>
      </w:pPr>
      <w:r>
        <w:rPr>
          <w:rFonts w:ascii="Courier New" w:cs="Courier New" w:eastAsia="Courier New" w:hAnsi="Courier New"/>
          <w:sz w:val="17"/>
          <w:szCs w:val="17"/>
        </w:rPr>
        <w:t xml:space="preserve">        inst = _instances.get(key)     # re-check inside the lock</w:t>
      </w:r>
    </w:p>
    <w:p>
      <w:pPr>
        <w:shd w:fill="F2F2F2" w:color="auto" w:val="clear"/>
        <w:spacing w:after="0" w:line="240"/>
        <w:ind w:left="200"/>
      </w:pPr>
      <w:r>
        <w:rPr>
          <w:rFonts w:ascii="Courier New" w:cs="Courier New" w:eastAsia="Courier New" w:hAnsi="Courier New"/>
          <w:sz w:val="17"/>
          <w:szCs w:val="17"/>
        </w:rPr>
        <w:t xml:space="preserve">        if inst is None:</w:t>
      </w:r>
    </w:p>
    <w:p>
      <w:pPr>
        <w:shd w:fill="F2F2F2" w:color="auto" w:val="clear"/>
        <w:spacing w:after="0" w:line="240"/>
        <w:ind w:left="200"/>
      </w:pPr>
      <w:r>
        <w:rPr>
          <w:rFonts w:ascii="Courier New" w:cs="Courier New" w:eastAsia="Courier New" w:hAnsi="Courier New"/>
          <w:sz w:val="17"/>
          <w:szCs w:val="17"/>
        </w:rPr>
        <w:t xml:space="preserve">            inst = factory()</w:t>
      </w:r>
    </w:p>
    <w:p>
      <w:pPr>
        <w:shd w:fill="F2F2F2" w:color="auto" w:val="clear"/>
        <w:spacing w:after="0" w:line="240"/>
        <w:ind w:left="200"/>
      </w:pPr>
      <w:r>
        <w:rPr>
          <w:rFonts w:ascii="Courier New" w:cs="Courier New" w:eastAsia="Courier New" w:hAnsi="Courier New"/>
          <w:sz w:val="17"/>
          <w:szCs w:val="17"/>
        </w:rPr>
        <w:t xml:space="preserve">            _instances[key] = inst</w:t>
      </w:r>
    </w:p>
    <w:p>
      <w:pPr>
        <w:shd w:fill="F2F2F2" w:color="auto" w:val="clear"/>
        <w:spacing w:after="160" w:line="240"/>
        <w:ind w:left="200"/>
      </w:pPr>
      <w:r>
        <w:rPr>
          <w:rFonts w:ascii="Courier New" w:cs="Courier New" w:eastAsia="Courier New" w:hAnsi="Courier New"/>
          <w:sz w:val="17"/>
          <w:szCs w:val="17"/>
        </w:rPr>
        <w:t xml:space="preserve">    return inst</w:t>
      </w:r>
    </w:p>
    <w:p>
      <w:pPr>
        <w:pStyle w:val="Heading2"/>
        <w:keepNext/>
      </w:pPr>
      <w:bookmarkStart w:name="_Toc72" w:id="72"/>
      <w:r>
        <w:rPr>
          <w:rFonts w:ascii="Times New Roman" w:cs="Times New Roman" w:eastAsia="Times New Roman" w:hAnsi="Times New Roman"/>
        </w:rPr>
        <w:t xml:space="preserve">7.8 Git Repository Setup</w:t>
      </w:r>
      <w:bookmarkEnd w:id="72"/>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12</w:t>
        </w:r>
      </w:fldSimple>
      <w:r>
        <w:rPr>
          <w:rFonts w:ascii="Times New Roman" w:cs="Times New Roman" w:eastAsia="Times New Roman" w:hAnsi="Times New Roman"/>
        </w:rPr>
        <w:t xml:space="preserve">: Git repository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6645"/>
      </w:tblGrid>
      <w:tr>
        <w:trPr>
          <w:tblHeader/>
        </w:trPr>
        <w:tc>
          <w:tcPr>
            <w:tcW w:type="dxa" w:w="166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Item</w:t>
            </w:r>
          </w:p>
        </w:tc>
        <w:tc>
          <w:tcPr>
            <w:tcW w:type="dxa" w:w="66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Details</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Repository URL</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https://github.com/JINAYSHAH-888/nexus-portfolio-intelligence</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Structure</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backend/ (API, engines, ML, tests, Alembic, scripts) · frontend/ (Next.js app, components, generators) · docs/ (architecture, engines, models, API, deployment, 7 ADRs) · report/ · compose.yaml · Makefile · README, CHANGELOG, CONTRIBUTING, SECURITY</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Branching strategy</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Trunk-based: main is always releasable and protected by CI; short-lived branches for changes; Dependabot opens one branch per dependency update (five open at the time of writing)</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Commit conventions</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Imperative, sentence-case subject line describing the change (e.g. “Use verified NAV history first, fix dashboard cards, add project report”), with a body explaining why when needed</w:t>
            </w:r>
          </w:p>
        </w:tc>
      </w:tr>
      <w:tr>
        <w:trPr>
          <w:cantSplit/>
        </w:trPr>
        <w:tc>
          <w:tcPr>
            <w:tcW w:type="dxa" w:w="166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CI</w:t>
            </w:r>
          </w:p>
        </w:tc>
        <w:tc>
          <w:tcPr>
            <w:tcW w:type="dxa" w:w="66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GitHub Actions: Backend CI (lint, metadata check, proto check, tests, migrations, drift), Frontend CI (data facts, WCAG tokens, generated files, typecheck, lint, build), Secret guard</w:t>
            </w:r>
          </w:p>
        </w:tc>
      </w:tr>
    </w:tbl>
    <w:p>
      <w:pPr>
        <w:spacing w:after="12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b/>
          <w:bCs/>
        </w:rPr>
        <w:t xml:space="preserve">Development history.</w:t>
      </w:r>
      <w:r>
        <w:rPr>
          <w:rFonts w:ascii="Times New Roman" w:cs="Times New Roman" w:eastAsia="Times New Roman" w:hAnsi="Times New Roman"/>
        </w:rPr>
        <w:t xml:space="preserve"> The original history consisted of eight commits from 17 to 23 October 2026 (initial commit; local development server and CORS; frontend README; compose stack; documentation and ADRs; model documentation and training commands). Before the public push these were squashed into a single commit at the team’s request, followed by two further commits on main. The original eight commits are preserved on a local branch, backup-before-squash.</w:t>
      </w:r>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13</w:t>
        </w:r>
      </w:fldSimple>
      <w:r>
        <w:rPr>
          <w:rFonts w:ascii="Times New Roman" w:cs="Times New Roman" w:eastAsia="Times New Roman" w:hAnsi="Times New Roman"/>
        </w:rPr>
        <w:t xml:space="preserve">: Contribution of group members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7"/>
        <w:gridCol w:w="1454"/>
        <w:gridCol w:w="4775"/>
      </w:tblGrid>
      <w:tr>
        <w:trPr>
          <w:tblHeader/>
        </w:trPr>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Member</w:t>
            </w:r>
          </w:p>
        </w:tc>
        <w:tc>
          <w:tcPr>
            <w:tcW w:type="dxa" w:w="145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UID</w:t>
            </w:r>
          </w:p>
        </w:tc>
        <w:tc>
          <w:tcPr>
            <w:tcW w:type="dxa" w:w="477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Main contributions</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[object Object]</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[object Object]</w:t>
            </w:r>
          </w:p>
        </w:tc>
        <w:tc>
          <w:tcPr>
            <w:tcW w:type="dxa" w:w="47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[object Object]</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[object Object]</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[object Object]</w:t>
            </w:r>
          </w:p>
        </w:tc>
        <w:tc>
          <w:tcPr>
            <w:tcW w:type="dxa" w:w="47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[object Object]</w:t>
            </w:r>
          </w:p>
        </w:tc>
      </w:tr>
      <w:tr>
        <w:trPr>
          <w:cantSplit/>
        </w:trPr>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[object Object]</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[object Object]</w:t>
            </w:r>
          </w:p>
        </w:tc>
        <w:tc>
          <w:tcPr>
            <w:tcW w:type="dxa" w:w="477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[object Object]</w:t>
            </w:r>
          </w:p>
        </w:tc>
      </w:tr>
    </w:tbl>
    <w:p>
      <w:pPr>
        <w:spacing w:after="120"/>
      </w:pPr>
      <w:r>
        <w:rPr>
          <w:rFonts w:ascii="Times New Roman" w:cs="Times New Roman" w:eastAsia="Times New Roman" w:hAnsi="Times New Roman"/>
        </w:rPr>
        <w:t xml:space="preserve"/>
      </w:r>
    </w:p>
    <w:p>
      <w:pPr>
        <w:pStyle w:val="Heading2"/>
        <w:keepNext/>
      </w:pPr>
      <w:bookmarkStart w:name="_Toc73" w:id="73"/>
      <w:r>
        <w:rPr>
          <w:rFonts w:ascii="Times New Roman" w:cs="Times New Roman" w:eastAsia="Times New Roman" w:hAnsi="Times New Roman"/>
        </w:rPr>
        <w:t xml:space="preserve">7.9 Integration of Modules</w:t>
      </w:r>
      <w:bookmarkEnd w:id="73"/>
    </w:p>
    <w:p>
      <w:pPr>
        <w:spacing w:after="120" w:line="360"/>
        <w:jc w:val="both"/>
      </w:pPr>
      <w:r>
        <w:rPr>
          <w:rFonts w:ascii="Times New Roman" w:cs="Times New Roman" w:eastAsia="Times New Roman" w:hAnsi="Times New Roman"/>
        </w:rPr>
        <w:t xml:space="preserve">Modules are integrated through three contracts: Pydantic schemas between the client and the API; service functions between the API and the engines; and the ReturnsData type between the engines and the data layer. Docker Compose integrates the processes, with health checks that start the API only after the database and Redis are ready. Integration was verified by the end-to-end test that runs the 13-step investor journey (register → me → profile → filter → select → allocate → selected → overlap → PLOS → risk → ARISE → refresh → logout) against the real application, and by the load test in Chapter 8, which exercised every analysis endpoint on the full Docker stack.</w:t>
      </w:r>
    </w:p>
    <w:p>
      <w:pPr>
        <w:pStyle w:val="Heading2"/>
        <w:keepNext/>
      </w:pPr>
      <w:bookmarkStart w:name="_Toc74" w:id="74"/>
      <w:r>
        <w:rPr>
          <w:rFonts w:ascii="Times New Roman" w:cs="Times New Roman" w:eastAsia="Times New Roman" w:hAnsi="Times New Roman"/>
        </w:rPr>
        <w:t xml:space="preserve">7.10 Implementation Challenges and Resolutions</w:t>
      </w:r>
      <w:bookmarkEnd w:id="74"/>
    </w:p>
    <w:p>
      <w:pPr>
        <w:pStyle w:val="Caption"/>
        <w:spacing w:after="240" w:before="80"/>
        <w:jc w:val="center"/>
      </w:pPr>
      <w:r>
        <w:rPr>
          <w:rFonts w:ascii="Times New Roman" w:cs="Times New Roman" w:eastAsia="Times New Roman" w:hAnsi="Times New Roman"/>
          <w:b/>
          <w:bCs/>
        </w:rPr>
        <w:t xml:space="preserve">Table 7.</w:t>
      </w:r>
      <w:fldSimple w:instr="SEQ Table \* ARABIC \s 1">
        <w:r>
          <w:t xml:space="preserve">14</w:t>
        </w:r>
      </w:fldSimple>
      <w:r>
        <w:rPr>
          <w:rFonts w:ascii="Times New Roman" w:cs="Times New Roman" w:eastAsia="Times New Roman" w:hAnsi="Times New Roman"/>
        </w:rPr>
        <w:t xml:space="preserve">: Implementation challenges and resolutions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88"/>
        <w:gridCol w:w="2699"/>
        <w:gridCol w:w="3219"/>
      </w:tblGrid>
      <w:tr>
        <w:trPr>
          <w:tblHeader/>
        </w:trPr>
        <w:tc>
          <w:tcPr>
            <w:tcW w:type="dxa" w:w="238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Challenge</w:t>
            </w:r>
          </w:p>
        </w:tc>
        <w:tc>
          <w:tcPr>
            <w:tcW w:type="dxa" w:w="269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Cause</w:t>
            </w:r>
          </w:p>
        </w:tc>
        <w:tc>
          <w:tcPr>
            <w:tcW w:type="dxa" w:w="32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Resolution</w:t>
            </w:r>
          </w:p>
        </w:tc>
      </w:tr>
      <w:tr>
        <w:trPr>
          <w:cantSplit/>
        </w:trPr>
        <w:tc>
          <w:tcPr>
            <w:tcW w:type="dxa" w:w="2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Two funds returned identical NAV histories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 hand-made AMFI code map assigned one code to two schemes</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Codes accepted only if the factsheet NAV appears in the downloaded history (34 of 35 verified); verified codes take priority</w:t>
            </w:r>
          </w:p>
        </w:tc>
      </w:tr>
      <w:tr>
        <w:trPr>
          <w:cantSplit/>
        </w:trPr>
        <w:tc>
          <w:tcPr>
            <w:tcW w:type="dxa" w:w="2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Server crash in the sync–async bridge</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uvloop event loop on worker threads</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Standard asyncio loop and a dedicated bridge thread (ADR 0004)</w:t>
            </w:r>
          </w:p>
        </w:tc>
      </w:tr>
      <w:tr>
        <w:trPr>
          <w:cantSplit/>
        </w:trPr>
        <w:tc>
          <w:tcPr>
            <w:tcW w:type="dxa" w:w="2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Long passwords silently truncated</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bcrypt limit of 72 bytes; passlib incompatible with bcrypt 4.1</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SHA-256 pre-hash, bcrypt used directly, test for 100-character passwords</w:t>
            </w:r>
          </w:p>
        </w:tc>
      </w:tr>
      <w:tr>
        <w:trPr>
          <w:cantSplit/>
        </w:trPr>
        <w:tc>
          <w:tcPr>
            <w:tcW w:type="dxa" w:w="2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and ARISE described different portfolios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used equal weights while ARISE used the real allocation</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Weights passed to the risk engine; result states the weighting used</w:t>
            </w:r>
          </w:p>
        </w:tc>
      </w:tr>
      <w:tr>
        <w:trPr>
          <w:cantSplit/>
        </w:trPr>
        <w:tc>
          <w:tcPr>
            <w:tcW w:type="dxa" w:w="2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Retirement ranges too narrow</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Assumed mean reversion and calm recent volatility</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v5 calibration: 80% ranges now hold 82.8% of real outcomes</w:t>
            </w:r>
          </w:p>
        </w:tc>
      </w:tr>
      <w:tr>
        <w:trPr>
          <w:cantSplit/>
        </w:trPr>
        <w:tc>
          <w:tcPr>
            <w:tcW w:type="dxa" w:w="2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Bond issuers counted as shared stocks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Holdings layers applied across asset types</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Holdings layers only between funds of the same type</w:t>
            </w:r>
          </w:p>
        </w:tc>
      </w:tr>
      <w:tr>
        <w:trPr>
          <w:cantSplit/>
        </w:trPr>
        <w:tc>
          <w:tcPr>
            <w:tcW w:type="dxa" w:w="2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Rate limit multiplied by number of processes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Counters held in each process’s memory</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Redis sliding window executed atomically in Lua</w:t>
            </w:r>
          </w:p>
        </w:tc>
      </w:tr>
      <w:tr>
        <w:trPr>
          <w:cantSplit/>
        </w:trPr>
        <w:tc>
          <w:tcPr>
            <w:tcW w:type="dxa" w:w="2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Invalid JSON in some responses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NaN produced by statistics on short series</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NaN converted to null in the JSON encoder; test added</w:t>
            </w:r>
          </w:p>
        </w:tc>
      </w:tr>
      <w:tr>
        <w:trPr>
          <w:cantSplit/>
        </w:trPr>
        <w:tc>
          <w:tcPr>
            <w:tcW w:type="dxa" w:w="23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Model files could execute code</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Pickle serialisation</w:t>
            </w:r>
          </w:p>
        </w:tc>
        <w:tc>
          <w:tcPr>
            <w:tcW w:type="dxa" w:w="321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Plain JSON artifacts only (ADR 0007)</w:t>
            </w:r>
          </w:p>
        </w:tc>
      </w:tr>
    </w:tbl>
    <w:p>
      <w:pPr>
        <w:spacing w:after="120"/>
      </w:pPr>
      <w:r>
        <w:rPr>
          <w:rFonts w:ascii="Times New Roman" w:cs="Times New Roman" w:eastAsia="Times New Roman" w:hAnsi="Times New Roman"/>
        </w:rPr>
        <w:t xml:space="preserve"/>
      </w:r>
    </w:p>
    <w:p>
      <w:pPr>
        <w:pageBreakBefore/>
        <w:spacing w:after="120"/>
        <w:jc w:val="center"/>
      </w:pPr>
      <w:r>
        <w:rPr>
          <w:rFonts w:ascii="Times New Roman" w:cs="Times New Roman" w:eastAsia="Times New Roman" w:hAnsi="Times New Roman"/>
          <w:b/>
          <w:bCs/>
          <w:sz w:val="28"/>
          <w:szCs w:val="28"/>
        </w:rPr>
        <w:t xml:space="preserve">CHAPTER 8</w:t>
      </w:r>
    </w:p>
    <w:p>
      <w:pPr>
        <w:pStyle w:val="Heading1"/>
        <w:jc w:val="center"/>
      </w:pPr>
      <w:bookmarkStart w:name="_Toc75" w:id="75"/>
      <w:r>
        <w:rPr>
          <w:rFonts w:ascii="Times New Roman" w:cs="Times New Roman" w:eastAsia="Times New Roman" w:hAnsi="Times New Roman"/>
        </w:rPr>
        <w:t xml:space="preserve">SCALABILITY, PERFORMANCE AND RESOURCE MANAGEMENT</w:t>
      </w:r>
      <w:bookmarkEnd w:id="75"/>
    </w:p>
    <w:p>
      <w:pPr>
        <w:pStyle w:val="Heading2"/>
        <w:keepNext/>
      </w:pPr>
      <w:bookmarkStart w:name="_Toc76" w:id="76"/>
      <w:r>
        <w:rPr>
          <w:rFonts w:ascii="Times New Roman" w:cs="Times New Roman" w:eastAsia="Times New Roman" w:hAnsi="Times New Roman"/>
        </w:rPr>
        <w:t xml:space="preserve">8.1 Scalability Requirements</w:t>
      </w:r>
      <w:bookmarkEnd w:id="76"/>
    </w:p>
    <w:p>
      <w:pPr>
        <w:spacing w:after="120" w:line="360"/>
        <w:jc w:val="both"/>
      </w:pPr>
      <w:r>
        <w:rPr>
          <w:rFonts w:ascii="Times New Roman" w:cs="Times New Roman" w:eastAsia="Times New Roman" w:hAnsi="Times New Roman"/>
        </w:rPr>
        <w:t xml:space="preserve">The system is intended for a classroom or advisory setting: tens of concurrent users, 35 schemes, about 600 equity holdings, 13 years of daily NAVs (≈ 3,300 trading days per scheme), 233,258 stored price rows and a few thousand transactions per user. The requirement (NFR-01, NFR-08) is that interactive endpoints stay below 200 ms at the 95th percentile with 10 concurrent users, analysis endpoints complete without server errors, and the API container stays within 2 GiB of memory.</w:t>
      </w:r>
    </w:p>
    <w:p>
      <w:pPr>
        <w:pStyle w:val="Heading2"/>
        <w:keepNext/>
      </w:pPr>
      <w:bookmarkStart w:name="_Toc77" w:id="77"/>
      <w:r>
        <w:rPr>
          <w:rFonts w:ascii="Times New Roman" w:cs="Times New Roman" w:eastAsia="Times New Roman" w:hAnsi="Times New Roman"/>
        </w:rPr>
        <w:t xml:space="preserve">8.2 Workload and Load Model</w:t>
      </w:r>
      <w:bookmarkEnd w:id="77"/>
    </w:p>
    <w:p>
      <w:pPr>
        <w:pStyle w:val="ListParagraph"/>
        <w:numPr>
          <w:ilvl w:val="0"/>
          <w:numId w:val="3"/>
        </w:numPr>
        <w:spacing w:after="60" w:line="360"/>
        <w:jc w:val="both"/>
      </w:pPr>
      <w:r>
        <w:rPr>
          <w:rFonts w:ascii="Times New Roman" w:cs="Times New Roman" w:eastAsia="Times New Roman" w:hAnsi="Times New Roman"/>
          <w:b/>
          <w:bCs/>
        </w:rPr>
        <w:t xml:space="preserve">Users:</w:t>
      </w:r>
      <w:r>
        <w:rPr>
          <w:rFonts w:ascii="Times New Roman" w:cs="Times New Roman" w:eastAsia="Times New Roman" w:hAnsi="Times New Roman"/>
        </w:rPr>
        <w:t xml:space="preserve"> 50 benchmark investor accounts, each with a complete profile and the same four-scheme portfolio (Large Cap 35%, Flexi Cap 25%, Small Cap 20%, Corporate Bond 20%).</w:t>
      </w:r>
    </w:p>
    <w:p>
      <w:pPr>
        <w:pStyle w:val="ListParagraph"/>
        <w:numPr>
          <w:ilvl w:val="0"/>
          <w:numId w:val="3"/>
        </w:numPr>
        <w:spacing w:after="60" w:line="360"/>
        <w:jc w:val="both"/>
      </w:pPr>
      <w:r>
        <w:rPr>
          <w:rFonts w:ascii="Times New Roman" w:cs="Times New Roman" w:eastAsia="Times New Roman" w:hAnsi="Times New Roman"/>
          <w:b/>
          <w:bCs/>
        </w:rPr>
        <w:t xml:space="preserve">Endpoints:</w:t>
      </w:r>
      <w:r>
        <w:rPr>
          <w:rFonts w:ascii="Times New Roman" w:cs="Times New Roman" w:eastAsia="Times New Roman" w:hAnsi="Times New Roman"/>
        </w:rPr>
        <w:t xml:space="preserve"> health, session check, scheme filter, overlap, PLOS, Risk and ARISE (1,000 paths).</w:t>
      </w:r>
    </w:p>
    <w:p>
      <w:pPr>
        <w:pStyle w:val="ListParagraph"/>
        <w:numPr>
          <w:ilvl w:val="0"/>
          <w:numId w:val="3"/>
        </w:numPr>
        <w:spacing w:after="60" w:line="360"/>
        <w:jc w:val="both"/>
      </w:pPr>
      <w:r>
        <w:rPr>
          <w:rFonts w:ascii="Times New Roman" w:cs="Times New Roman" w:eastAsia="Times New Roman" w:hAnsi="Times New Roman"/>
          <w:b/>
          <w:bCs/>
        </w:rPr>
        <w:t xml:space="preserve">Concurrency levels:</w:t>
      </w:r>
      <w:r>
        <w:rPr>
          <w:rFonts w:ascii="Times New Roman" w:cs="Times New Roman" w:eastAsia="Times New Roman" w:hAnsi="Times New Roman"/>
        </w:rPr>
        <w:t xml:space="preserve"> 1, 5, 10, 25 and 50 simultaneous clients. Each client sends its next request as soon as the previous one completes (closed-loop load), using the accounts in rotation.</w:t>
      </w:r>
    </w:p>
    <w:p>
      <w:pPr>
        <w:pStyle w:val="ListParagraph"/>
        <w:numPr>
          <w:ilvl w:val="0"/>
          <w:numId w:val="3"/>
        </w:numPr>
        <w:spacing w:after="60" w:line="360"/>
        <w:jc w:val="both"/>
      </w:pPr>
      <w:r>
        <w:rPr>
          <w:rFonts w:ascii="Times New Roman" w:cs="Times New Roman" w:eastAsia="Times New Roman" w:hAnsi="Times New Roman"/>
          <w:b/>
          <w:bCs/>
        </w:rPr>
        <w:t xml:space="preserve">Volume per level:</w:t>
      </w:r>
      <w:r>
        <w:rPr>
          <w:rFonts w:ascii="Times New Roman" w:cs="Times New Roman" w:eastAsia="Times New Roman" w:hAnsi="Times New Roman"/>
        </w:rPr>
        <w:t xml:space="preserve"> 400 requests for health and session check, 200 for filter and overlap, 100 for PLOS and Risk and 40 for ARISE (one-tenth of these, minimum 10, at concurrency 1).</w:t>
      </w:r>
    </w:p>
    <w:p>
      <w:pPr>
        <w:pStyle w:val="ListParagraph"/>
        <w:numPr>
          <w:ilvl w:val="0"/>
          <w:numId w:val="3"/>
        </w:numPr>
        <w:spacing w:after="60" w:line="360"/>
        <w:jc w:val="both"/>
      </w:pPr>
      <w:r>
        <w:rPr>
          <w:rFonts w:ascii="Times New Roman" w:cs="Times New Roman" w:eastAsia="Times New Roman" w:hAnsi="Times New Roman"/>
          <w:b/>
          <w:bCs/>
        </w:rPr>
        <w:t xml:space="preserve">Rate limiting</w:t>
      </w:r>
      <w:r>
        <w:rPr>
          <w:rFonts w:ascii="Times New Roman" w:cs="Times New Roman" w:eastAsia="Times New Roman" w:hAnsi="Times New Roman"/>
        </w:rPr>
        <w:t xml:space="preserve"> was disabled in the benchmark container so that the server’s capacity, not the per-user request quota, was measured; in normal operation the analysis bucket allows 12 requests per minute per client.</w:t>
      </w:r>
    </w:p>
    <w:p>
      <w:pPr>
        <w:pStyle w:val="Heading2"/>
        <w:keepNext/>
      </w:pPr>
      <w:bookmarkStart w:name="_Toc78" w:id="78"/>
      <w:r>
        <w:rPr>
          <w:rFonts w:ascii="Times New Roman" w:cs="Times New Roman" w:eastAsia="Times New Roman" w:hAnsi="Times New Roman"/>
        </w:rPr>
        <w:t xml:space="preserve">8.3 Resource Utilisation</w:t>
      </w:r>
      <w:bookmarkEnd w:id="78"/>
    </w:p>
    <w:p>
      <w:pPr>
        <w:spacing w:after="120" w:line="360"/>
        <w:jc w:val="both"/>
      </w:pPr>
      <w:r>
        <w:rPr>
          <w:rFonts w:ascii="Times New Roman" w:cs="Times New Roman" w:eastAsia="Times New Roman" w:hAnsi="Times New Roman"/>
        </w:rPr>
        <w:t xml:space="preserve">The API container’s CPU and memory were sampled with docker stats while each load level ran. At rest the four worker processes used 482 MiB in total (about 120 MiB each). Light endpoints (health, session, filter, overlap) completed in under a second per level, too quickly for meaningful CPU sampling; their memory stayed at 482–500 MiB. Values for the analysis endpoints are below.</w:t>
      </w:r>
    </w:p>
    <w:p>
      <w:pPr>
        <w:pStyle w:val="Caption"/>
        <w:spacing w:after="240" w:before="80"/>
        <w:jc w:val="center"/>
      </w:pPr>
      <w:r>
        <w:rPr>
          <w:rFonts w:ascii="Times New Roman" w:cs="Times New Roman" w:eastAsia="Times New Roman" w:hAnsi="Times New Roman"/>
          <w:b/>
          <w:bCs/>
        </w:rPr>
        <w:t xml:space="preserve">Table 8.</w:t>
      </w:r>
      <w:fldSimple w:instr="SEQ Table \* ARABIC \s 1">
        <w:r>
          <w:t xml:space="preserve">1</w:t>
        </w:r>
      </w:fldSimple>
      <w:r>
        <w:rPr>
          <w:rFonts w:ascii="Times New Roman" w:cs="Times New Roman" w:eastAsia="Times New Roman" w:hAnsi="Times New Roman"/>
        </w:rPr>
        <w:t xml:space="preserve">: CPU and memory of the API container during analysis load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4"/>
        <w:gridCol w:w="1038"/>
        <w:gridCol w:w="2492"/>
        <w:gridCol w:w="2492"/>
      </w:tblGrid>
      <w:tr>
        <w:trPr>
          <w:tblHeader/>
        </w:trPr>
        <w:tc>
          <w:tcPr>
            <w:tcW w:type="dxa" w:w="22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Endpoint</w:t>
            </w:r>
          </w:p>
        </w:tc>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Users</w:t>
            </w:r>
          </w:p>
        </w:tc>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Average CPU (% of one core)</w:t>
            </w:r>
          </w:p>
        </w:tc>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Peak memory (MiB)</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500</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198</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671</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192</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674</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142</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679</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101</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684</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86</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763</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391</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1075</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366</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1416</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372</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2309</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415</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3671</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(1,000 paths)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95</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3450</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(1,000 paths)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387</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3012</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(1,000 paths)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401</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2881</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(1,000 paths)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404</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2666</w:t>
            </w:r>
          </w:p>
        </w:tc>
      </w:tr>
    </w:tbl>
    <w:p>
      <w:pPr>
        <w:spacing w:after="120"/>
      </w:pPr>
      <w:r>
        <w:rPr>
          <w:rFonts w:ascii="Times New Roman" w:cs="Times New Roman" w:eastAsia="Times New Roman" w:hAnsi="Times New Roman"/>
        </w:rPr>
        <w:t xml:space="preserve"/>
      </w:r>
    </w:p>
    <w:p>
      <w:pPr>
        <w:keepNext/>
        <w:spacing w:before="120"/>
        <w:jc w:val="center"/>
      </w:pPr>
      <w:r>
        <w:drawing>
          <wp:inline distT="0" distB="0" distL="0" distR="0">
            <wp:extent cx="4953000" cy="1790700"/>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953000" cy="17907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8.</w:t>
      </w:r>
      <w:fldSimple w:instr="SEQ Figure \* ARABIC \s 1">
        <w:r>
          <w:t xml:space="preserve">1</w:t>
        </w:r>
      </w:fldSimple>
      <w:r>
        <w:rPr>
          <w:rFonts w:ascii="Times New Roman" w:cs="Times New Roman" w:eastAsia="Times New Roman" w:hAnsi="Times New Roman"/>
        </w:rPr>
        <w:t xml:space="preserve">: Peak container memory against concurrent users</w:t>
      </w:r>
    </w:p>
    <w:p>
      <w:pPr>
        <w:spacing w:after="120" w:line="360"/>
        <w:jc w:val="both"/>
      </w:pPr>
      <w:r>
        <w:rPr>
          <w:rFonts w:ascii="Times New Roman" w:cs="Times New Roman" w:eastAsia="Times New Roman" w:hAnsi="Times New Roman"/>
        </w:rPr>
        <w:t xml:space="preserve">Storage consumption: the PostgreSQL volume holds 233,258 price rows in 277 TimescaleDB chunks and 10,187 NAV rows; the verified market-data files used by the engines occupy about 5 MB, and the JSON model artifacts are a few kilobytes each. Network traffic per request is small (JSON responses of 2–60 KB), so bandwidth was not a constraint in any test.</w:t>
      </w:r>
    </w:p>
    <w:p>
      <w:pPr>
        <w:pStyle w:val="Heading2"/>
        <w:keepNext/>
      </w:pPr>
      <w:bookmarkStart w:name="_Toc79" w:id="79"/>
      <w:r>
        <w:rPr>
          <w:rFonts w:ascii="Times New Roman" w:cs="Times New Roman" w:eastAsia="Times New Roman" w:hAnsi="Times New Roman"/>
        </w:rPr>
        <w:t xml:space="preserve">8.4 Concurrent Processing</w:t>
      </w:r>
      <w:bookmarkEnd w:id="79"/>
    </w:p>
    <w:p>
      <w:pPr>
        <w:spacing w:after="120" w:line="360"/>
        <w:jc w:val="both"/>
      </w:pPr>
      <w:r>
        <w:rPr>
          <w:rFonts w:ascii="Times New Roman" w:cs="Times New Roman" w:eastAsia="Times New Roman" w:hAnsi="Times New Roman"/>
        </w:rPr>
        <w:t xml:space="preserve">uvicorn runs four worker processes, which the operating system schedules on the four allotted cores. Each process runs one asyncio event loop that multiplexes all its connections; when a request reaches a CPU-heavy engine, the call is handed to the process’s thread pool (anyio.to_thread.run_sync), so the event loop keeps accepting and answering other requests. The light endpoints therefore stay fast even while Risk and ARISE calculations are running. Background work (data refresh) runs in separate Celery processes and never competes with request handling inside the API container.</w:t>
      </w:r>
    </w:p>
    <w:p>
      <w:pPr>
        <w:pStyle w:val="Heading2"/>
        <w:keepNext/>
      </w:pPr>
      <w:bookmarkStart w:name="_Toc80" w:id="80"/>
      <w:r>
        <w:rPr>
          <w:rFonts w:ascii="Times New Roman" w:cs="Times New Roman" w:eastAsia="Times New Roman" w:hAnsi="Times New Roman"/>
        </w:rPr>
        <w:t xml:space="preserve">8.5 Scheduling and Synchronisation Analysis</w:t>
      </w:r>
      <w:bookmarkEnd w:id="80"/>
    </w:p>
    <w:p>
      <w:pPr>
        <w:spacing w:after="120" w:line="360"/>
        <w:jc w:val="both"/>
      </w:pPr>
      <w:r>
        <w:rPr>
          <w:rFonts w:ascii="Times New Roman" w:cs="Times New Roman" w:eastAsia="Times New Roman" w:hAnsi="Times New Roman"/>
        </w:rPr>
        <w:t xml:space="preserve">No custom scheduling policy was implemented. Requests are distributed among worker processes by the operating system through the shared listening socket, and inside a process by the event loop (first-come, first-served at each await point) and the thread pool. The measurements show the consequence of this design for CPU-bound work: the thread pool admits up to 40 concurrent engine calls per process, so at 25–50 users far more calculations run at once than there are cores. They compete for the same four cores, numerical-library threads oversubscribe the CPU, and each in-flight calculation holds its own matrices in memory. Synchronisation itself was not a bottleneck: the engine registry lock is taken only when an engine is first built, and the rate limiter’s atomic script runs in Redis.</w:t>
      </w:r>
    </w:p>
    <w:p>
      <w:pPr>
        <w:pStyle w:val="Heading2"/>
        <w:keepNext/>
      </w:pPr>
      <w:bookmarkStart w:name="_Toc81" w:id="81"/>
      <w:r>
        <w:rPr>
          <w:rFonts w:ascii="Times New Roman" w:cs="Times New Roman" w:eastAsia="Times New Roman" w:hAnsi="Times New Roman"/>
        </w:rPr>
        <w:t xml:space="preserve">8.6 Performance Measurement</w:t>
      </w:r>
      <w:bookmarkEnd w:id="81"/>
    </w:p>
    <w:p>
      <w:pPr>
        <w:pStyle w:val="Caption"/>
        <w:spacing w:after="240" w:before="80"/>
        <w:jc w:val="center"/>
      </w:pPr>
      <w:r>
        <w:rPr>
          <w:rFonts w:ascii="Times New Roman" w:cs="Times New Roman" w:eastAsia="Times New Roman" w:hAnsi="Times New Roman"/>
          <w:b/>
          <w:bCs/>
        </w:rPr>
        <w:t xml:space="preserve">Table 8.</w:t>
      </w:r>
      <w:fldSimple w:instr="SEQ Table \* ARABIC \s 1">
        <w:r>
          <w:t xml:space="preserve">2</w:t>
        </w:r>
      </w:fldSimple>
      <w:r>
        <w:rPr>
          <w:rFonts w:ascii="Times New Roman" w:cs="Times New Roman" w:eastAsia="Times New Roman" w:hAnsi="Times New Roman"/>
        </w:rPr>
        <w:t xml:space="preserve">: Experimental setup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69"/>
        <w:gridCol w:w="6437"/>
      </w:tblGrid>
      <w:tr>
        <w:trPr>
          <w:tblHeader/>
        </w:trPr>
        <w:tc>
          <w:tcPr>
            <w:tcW w:type="dxa" w:w="18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Item</w:t>
            </w:r>
          </w:p>
        </w:tc>
        <w:tc>
          <w:tcPr>
            <w:tcW w:type="dxa" w:w="643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Setting</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Hardware</w:t>
            </w:r>
          </w:p>
        </w:tc>
        <w:tc>
          <w:tcPr>
            <w:tcW w:type="dxa" w:w="64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Apple M5 (10 cores), 16 GB RAM, macOS; Docker Desktop</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System under test</w:t>
            </w:r>
          </w:p>
        </w:tc>
        <w:tc>
          <w:tcPr>
            <w:tcW w:type="dxa" w:w="64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 image built from the current source, run as a separate container on port 8100 with --cpus=4 --memory=4g, uvicorn with 4 workers, connected to the same PostgreSQL and Redis containers</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Load generator</w:t>
            </w:r>
          </w:p>
        </w:tc>
        <w:tc>
          <w:tcPr>
            <w:tcW w:type="dxa" w:w="64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Python asyncio + httpx client on the host (scripts saved with the report data); latency measured with a monotonic timer around each request</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Metrics</w:t>
            </w:r>
          </w:p>
        </w:tc>
        <w:tc>
          <w:tcPr>
            <w:tcW w:type="dxa" w:w="64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Median (p50), 95th and 99th percentile latency, throughput (requests completed / wall time), error count (HTTP ≥ 400), CPU and memory from docker stats</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Scaling tests</w:t>
            </w:r>
          </w:p>
        </w:tc>
        <w:tc>
          <w:tcPr>
            <w:tcW w:type="dxa" w:w="64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One user; portfolio size n = 2 to 20 equity schemes; ARISE paths N = 100 to 5,000; median of three warm requests (Section 5.6)</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Date</w:t>
            </w:r>
          </w:p>
        </w:tc>
        <w:tc>
          <w:tcPr>
            <w:tcW w:type="dxa" w:w="643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24–25 October 2026</w:t>
            </w:r>
          </w:p>
        </w:tc>
      </w:tr>
    </w:tbl>
    <w:p>
      <w:pPr>
        <w:spacing w:after="120"/>
      </w:pPr>
      <w:r>
        <w:rPr>
          <w:rFonts w:ascii="Times New Roman" w:cs="Times New Roman" w:eastAsia="Times New Roman" w:hAnsi="Times New Roman"/>
        </w:rPr>
        <w:t xml:space="preserve"/>
      </w:r>
    </w:p>
    <w:p>
      <w:pPr>
        <w:pStyle w:val="Heading2"/>
        <w:keepNext/>
      </w:pPr>
      <w:bookmarkStart w:name="_Toc82" w:id="82"/>
      <w:r>
        <w:rPr>
          <w:rFonts w:ascii="Times New Roman" w:cs="Times New Roman" w:eastAsia="Times New Roman" w:hAnsi="Times New Roman"/>
        </w:rPr>
        <w:t xml:space="preserve">8.7 Performance Results</w:t>
      </w:r>
      <w:bookmarkEnd w:id="82"/>
    </w:p>
    <w:p>
      <w:pPr>
        <w:pStyle w:val="Caption"/>
        <w:spacing w:after="240" w:before="80"/>
        <w:jc w:val="center"/>
      </w:pPr>
      <w:r>
        <w:rPr>
          <w:rFonts w:ascii="Times New Roman" w:cs="Times New Roman" w:eastAsia="Times New Roman" w:hAnsi="Times New Roman"/>
          <w:b/>
          <w:bCs/>
        </w:rPr>
        <w:t xml:space="preserve">Table 8.</w:t>
      </w:r>
      <w:fldSimple w:instr="SEQ Table \* ARABIC \s 1">
        <w:r>
          <w:t xml:space="preserve">3</w:t>
        </w:r>
      </w:fldSimple>
      <w:r>
        <w:rPr>
          <w:rFonts w:ascii="Times New Roman" w:cs="Times New Roman" w:eastAsia="Times New Roman" w:hAnsi="Times New Roman"/>
        </w:rPr>
        <w:t xml:space="preserve">: Interactive endpoints under increasing load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831"/>
        <w:gridCol w:w="1038"/>
        <w:gridCol w:w="1038"/>
        <w:gridCol w:w="1038"/>
        <w:gridCol w:w="934"/>
        <w:gridCol w:w="935"/>
      </w:tblGrid>
      <w:tr>
        <w:trPr>
          <w:tblHeader/>
        </w:trPr>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Endpoint</w:t>
            </w:r>
          </w:p>
        </w:tc>
        <w:tc>
          <w:tcPr>
            <w:tcW w:type="dxa" w:w="83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Users</w:t>
            </w:r>
          </w:p>
        </w:tc>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Requests</w:t>
            </w:r>
          </w:p>
        </w:tc>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p50</w:t>
            </w:r>
          </w:p>
        </w:tc>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p95</w:t>
            </w:r>
          </w:p>
        </w:tc>
        <w:tc>
          <w:tcPr>
            <w:tcW w:type="dxa" w:w="9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Req/s</w:t>
            </w:r>
          </w:p>
        </w:tc>
        <w:tc>
          <w:tcPr>
            <w:tcW w:type="dxa" w:w="93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Errors</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Health</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1.5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2.3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585.8</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Health</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3.4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8.4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1052.2</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Health</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9.2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21.8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844.6</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Health</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28.5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131.6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520.0</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Health</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65.3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268.5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506.4</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Session check (/auth/me)</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3.4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5.9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253.1</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Session check (/auth/me)</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6.4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9.3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640.4</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Session check (/auth/me)</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14.6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42.6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528.8</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Session check (/auth/me)</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33.0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109.5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538.5</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Session check (/auth/me)</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76.6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374.9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379.9</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filter</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5.2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16.4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167.4</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filter</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9.2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495.1</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filter</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14.6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35.9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550.4</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filter</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38.9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144.2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437.0</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filter</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83.2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374.7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349.4</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6.1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15.4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145.4</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9.9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17.0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443.7</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14.9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32.5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547.2</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48.7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154.9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390.1</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81.5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316.7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385.3</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bl>
    <w:p>
      <w:pPr>
        <w:spacing w:after="120"/>
      </w:pPr>
      <w:r>
        <w:rPr>
          <w:rFonts w:ascii="Times New Roman" w:cs="Times New Roman" w:eastAsia="Times New Roman" w:hAnsi="Times New Roman"/>
        </w:rPr>
        <w:t xml:space="preserve"/>
      </w:r>
    </w:p>
    <w:p>
      <w:pPr>
        <w:pStyle w:val="Caption"/>
        <w:spacing w:after="240" w:before="80"/>
        <w:jc w:val="center"/>
      </w:pPr>
      <w:r>
        <w:rPr>
          <w:rFonts w:ascii="Times New Roman" w:cs="Times New Roman" w:eastAsia="Times New Roman" w:hAnsi="Times New Roman"/>
          <w:b/>
          <w:bCs/>
        </w:rPr>
        <w:t xml:space="preserve">Table 8.</w:t>
      </w:r>
      <w:fldSimple w:instr="SEQ Table \* ARABIC \s 1">
        <w:r>
          <w:t xml:space="preserve">4</w:t>
        </w:r>
      </w:fldSimple>
      <w:r>
        <w:rPr>
          <w:rFonts w:ascii="Times New Roman" w:cs="Times New Roman" w:eastAsia="Times New Roman" w:hAnsi="Times New Roman"/>
        </w:rPr>
        <w:t xml:space="preserve">: Analysis endpoints under increasing load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831"/>
        <w:gridCol w:w="1038"/>
        <w:gridCol w:w="1038"/>
        <w:gridCol w:w="1038"/>
        <w:gridCol w:w="934"/>
        <w:gridCol w:w="935"/>
      </w:tblGrid>
      <w:tr>
        <w:trPr>
          <w:tblHeader/>
        </w:trPr>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Endpoint</w:t>
            </w:r>
          </w:p>
        </w:tc>
        <w:tc>
          <w:tcPr>
            <w:tcW w:type="dxa" w:w="83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Users</w:t>
            </w:r>
          </w:p>
        </w:tc>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Requests</w:t>
            </w:r>
          </w:p>
        </w:tc>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p50</w:t>
            </w:r>
          </w:p>
        </w:tc>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p95</w:t>
            </w:r>
          </w:p>
        </w:tc>
        <w:tc>
          <w:tcPr>
            <w:tcW w:type="dxa" w:w="93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Req/s</w:t>
            </w:r>
          </w:p>
        </w:tc>
        <w:tc>
          <w:tcPr>
            <w:tcW w:type="dxa" w:w="93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Errors</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44.0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59.9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21.9</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62.7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210.1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41.8</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134.7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215.3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67.5</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323.3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569.7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71.1</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447.5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1370.4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62.4</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1176.7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1723.9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0.8</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1760.7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4498.2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2.1</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3877.6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19.9 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1.2</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26.6 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49.4 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0.7</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88.4 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111.5 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0.5</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(1,000 paths)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2918.4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3009.3 ms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0.3</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(1,000 paths)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5840.9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16.2 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0.7</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(1,000 paths)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7308.3 ms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85.6 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0.5</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r>
        <w:trPr>
          <w:cantSplit/>
        </w:trPr>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(1,000 paths)</w:t>
            </w:r>
          </w:p>
        </w:tc>
        <w:tc>
          <w:tcPr>
            <w:tcW w:type="dxa" w:w="83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25</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120.4 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225.3 s</w:t>
            </w:r>
          </w:p>
        </w:tc>
        <w:tc>
          <w:tcPr>
            <w:tcW w:type="dxa" w:w="9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0.2</w:t>
            </w:r>
          </w:p>
        </w:tc>
        <w:tc>
          <w:tcPr>
            <w:tcW w:type="dxa" w:w="9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w:t>
            </w:r>
          </w:p>
        </w:tc>
      </w:tr>
    </w:tbl>
    <w:p>
      <w:pPr>
        <w:spacing w:after="120"/>
      </w:pPr>
      <w:r>
        <w:rPr>
          <w:rFonts w:ascii="Times New Roman" w:cs="Times New Roman" w:eastAsia="Times New Roman" w:hAnsi="Times New Roman"/>
        </w:rPr>
        <w:t xml:space="preserve"/>
      </w:r>
    </w:p>
    <w:p>
      <w:pPr>
        <w:keepNext/>
        <w:spacing w:before="120"/>
        <w:jc w:val="center"/>
      </w:pPr>
      <w:r>
        <w:drawing>
          <wp:inline distT="0" distB="0" distL="0" distR="0">
            <wp:extent cx="5143500" cy="2143125"/>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143500" cy="21431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8.</w:t>
      </w:r>
      <w:fldSimple w:instr="SEQ Figure \* ARABIC \s 1">
        <w:r>
          <w:t xml:space="preserve">2</w:t>
        </w:r>
      </w:fldSimple>
      <w:r>
        <w:rPr>
          <w:rFonts w:ascii="Times New Roman" w:cs="Times New Roman" w:eastAsia="Times New Roman" w:hAnsi="Times New Roman"/>
        </w:rPr>
        <w:t xml:space="preserve">: 95th-percentile latency and throughput against concurrent users</w:t>
      </w:r>
    </w:p>
    <w:p>
      <w:pPr>
        <w:spacing w:after="120" w:line="360"/>
        <w:jc w:val="both"/>
      </w:pPr>
      <w:r>
        <w:rPr>
          <w:rFonts w:ascii="Times New Roman" w:cs="Times New Roman" w:eastAsia="Times New Roman" w:hAnsi="Times New Roman"/>
        </w:rPr>
        <w:t xml:space="preserve">At 10 concurrent users the interactive endpoints answered in 35.9 ms (filter) and 32.5 ms (overlap) at the 95th percentile, well within the 200 ms target, at about 547 requests per second. They remain under 200 ms up to 25 users and rise to about 316.7 ms at 50. No request at any level failed with a server error.</w:t>
      </w:r>
    </w:p>
    <w:p>
      <w:pPr>
        <w:spacing w:after="120" w:line="360"/>
        <w:jc w:val="both"/>
      </w:pPr>
      <w:r>
        <w:rPr>
          <w:rFonts w:ascii="Times New Roman" w:cs="Times New Roman" w:eastAsia="Times New Roman" w:hAnsi="Times New Roman"/>
        </w:rPr>
        <w:t xml:space="preserve">For a single user, the analysis endpoints take 44.0 ms (PLOS), 1176.7 ms (Risk) and 2918.4 ms (ARISE). Risk and ARISE are CPU-bound: their throughput peaks at 5 users (2.1 and 0.65 requests/s, using all four cores) and then falls as more users are added, while latency grows steeply — the Risk median reaches 88.4 s at 50 users.</w:t>
      </w:r>
    </w:p>
    <w:p>
      <w:pPr>
        <w:spacing w:after="120" w:line="360"/>
        <w:jc w:val="both"/>
      </w:pPr>
      <w:r>
        <w:rPr>
          <w:rFonts w:ascii="Times New Roman" w:cs="Times New Roman" w:eastAsia="Times New Roman" w:hAnsi="Times New Roman"/>
          <w:b/>
          <w:bCs/>
        </w:rPr>
        <w:t xml:space="preserve">Note on the ARISE 50-user level.</w:t>
      </w:r>
      <w:r>
        <w:rPr>
          <w:rFonts w:ascii="Times New Roman" w:cs="Times New Roman" w:eastAsia="Times New Roman" w:hAnsi="Times New Roman"/>
        </w:rPr>
        <w:t xml:space="preserve"> All 40 requests at this level returned 401 because the benchmark’s access tokens (valid for 30 minutes) had expired after more than four hours of testing; the server log confirms that these were authentication rejections, not failures. This level is therefore reported as not measured (Section 9.11).</w:t>
      </w:r>
    </w:p>
    <w:p>
      <w:pPr>
        <w:pStyle w:val="Heading2"/>
        <w:keepNext/>
      </w:pPr>
      <w:bookmarkStart w:name="_Toc83" w:id="83"/>
      <w:r>
        <w:rPr>
          <w:rFonts w:ascii="Times New Roman" w:cs="Times New Roman" w:eastAsia="Times New Roman" w:hAnsi="Times New Roman"/>
        </w:rPr>
        <w:t xml:space="preserve">8.8 Bottleneck Identification</w:t>
      </w:r>
      <w:bookmarkEnd w:id="83"/>
    </w:p>
    <w:p>
      <w:pPr>
        <w:pStyle w:val="ListParagraph"/>
        <w:numPr>
          <w:ilvl w:val="0"/>
          <w:numId w:val="3"/>
        </w:numPr>
        <w:spacing w:after="60" w:line="360"/>
        <w:jc w:val="both"/>
      </w:pPr>
      <w:r>
        <w:rPr>
          <w:rFonts w:ascii="Times New Roman" w:cs="Times New Roman" w:eastAsia="Times New Roman" w:hAnsi="Times New Roman"/>
          <w:b/>
          <w:bCs/>
        </w:rPr>
        <w:t xml:space="preserve">CPU in the Risk engine.</w:t>
      </w:r>
      <w:r>
        <w:rPr>
          <w:rFonts w:ascii="Times New Roman" w:cs="Times New Roman" w:eastAsia="Times New Roman" w:hAnsi="Times New Roman"/>
        </w:rPr>
        <w:t xml:space="preserve"> A GARCH model is fitted by maximum likelihood for each fund on every request (about 1.2 s for four funds). With four cores the server completes at most about two Risk requests per second.</w:t>
      </w:r>
    </w:p>
    <w:p>
      <w:pPr>
        <w:pStyle w:val="ListParagraph"/>
        <w:numPr>
          <w:ilvl w:val="0"/>
          <w:numId w:val="3"/>
        </w:numPr>
        <w:spacing w:after="60" w:line="360"/>
        <w:jc w:val="both"/>
      </w:pPr>
      <w:r>
        <w:rPr>
          <w:rFonts w:ascii="Times New Roman" w:cs="Times New Roman" w:eastAsia="Times New Roman" w:hAnsi="Times New Roman"/>
          <w:b/>
          <w:bCs/>
        </w:rPr>
        <w:t xml:space="preserve">CPU in ARISE.</w:t>
      </w:r>
      <w:r>
        <w:rPr>
          <w:rFonts w:ascii="Times New Roman" w:cs="Times New Roman" w:eastAsia="Times New Roman" w:hAnsi="Times New Roman"/>
        </w:rPr>
        <w:t xml:space="preserve"> Each request simulates 1,000 lifetimes for each of four strategies, plus a stress test and calibration; time grows linearly with the number of paths (Table 5.6).</w:t>
      </w:r>
    </w:p>
    <w:p>
      <w:pPr>
        <w:pStyle w:val="ListParagraph"/>
        <w:numPr>
          <w:ilvl w:val="0"/>
          <w:numId w:val="3"/>
        </w:numPr>
        <w:spacing w:after="60" w:line="360"/>
        <w:jc w:val="both"/>
      </w:pPr>
      <w:r>
        <w:rPr>
          <w:rFonts w:ascii="Times New Roman" w:cs="Times New Roman" w:eastAsia="Times New Roman" w:hAnsi="Times New Roman"/>
          <w:b/>
          <w:bCs/>
        </w:rPr>
        <w:t xml:space="preserve">Unbounded parallelism.</w:t>
      </w:r>
      <w:r>
        <w:rPr>
          <w:rFonts w:ascii="Times New Roman" w:cs="Times New Roman" w:eastAsia="Times New Roman" w:hAnsi="Times New Roman"/>
        </w:rPr>
        <w:t xml:space="preserve"> Because up to 40 calculations per process may run at once, throughput falls after 5 users instead of levelling off, and memory grows with the number of calculations in flight — to 2.3 GiB at 25 users and 3.6 GiB at 50 users during Risk, close to the 4 GiB limit.</w:t>
      </w:r>
    </w:p>
    <w:p>
      <w:pPr>
        <w:pStyle w:val="ListParagraph"/>
        <w:numPr>
          <w:ilvl w:val="0"/>
          <w:numId w:val="3"/>
        </w:numPr>
        <w:spacing w:after="60" w:line="360"/>
        <w:jc w:val="both"/>
      </w:pPr>
      <w:r>
        <w:rPr>
          <w:rFonts w:ascii="Times New Roman" w:cs="Times New Roman" w:eastAsia="Times New Roman" w:hAnsi="Times New Roman"/>
          <w:b/>
          <w:bCs/>
        </w:rPr>
        <w:t xml:space="preserve">Not bottlenecks:</w:t>
      </w:r>
      <w:r>
        <w:rPr>
          <w:rFonts w:ascii="Times New Roman" w:cs="Times New Roman" w:eastAsia="Times New Roman" w:hAnsi="Times New Roman"/>
        </w:rPr>
        <w:t xml:space="preserve"> the database (indexed queries return in milliseconds), the network, Redis and the light endpoints.</w:t>
      </w:r>
    </w:p>
    <w:p>
      <w:pPr>
        <w:pStyle w:val="Heading2"/>
        <w:keepNext/>
      </w:pPr>
      <w:bookmarkStart w:name="_Toc84" w:id="84"/>
      <w:r>
        <w:rPr>
          <w:rFonts w:ascii="Times New Roman" w:cs="Times New Roman" w:eastAsia="Times New Roman" w:hAnsi="Times New Roman"/>
        </w:rPr>
        <w:t xml:space="preserve">8.9 Optimisation and Improvement</w:t>
      </w:r>
      <w:bookmarkEnd w:id="84"/>
    </w:p>
    <w:p>
      <w:pPr>
        <w:spacing w:after="120" w:line="360"/>
        <w:jc w:val="both"/>
      </w:pPr>
      <w:r>
        <w:rPr>
          <w:rFonts w:ascii="Times New Roman" w:cs="Times New Roman" w:eastAsia="Times New Roman" w:hAnsi="Times New Roman"/>
        </w:rPr>
        <w:t xml:space="preserve">One optimisation is already in the system and was measured directly: each process loads holdings, NAV files and model artifacts once and keeps them in memory, and caches return series after first use. The first request after start-up pays the loading cost; later requests do not.</w:t>
      </w:r>
    </w:p>
    <w:p>
      <w:pPr>
        <w:pStyle w:val="Caption"/>
        <w:spacing w:after="240" w:before="80"/>
        <w:jc w:val="center"/>
      </w:pPr>
      <w:r>
        <w:rPr>
          <w:rFonts w:ascii="Times New Roman" w:cs="Times New Roman" w:eastAsia="Times New Roman" w:hAnsi="Times New Roman"/>
          <w:b/>
          <w:bCs/>
        </w:rPr>
        <w:t xml:space="preserve">Table 8.</w:t>
      </w:r>
      <w:fldSimple w:instr="SEQ Table \* ARABIC \s 1">
        <w:r>
          <w:t xml:space="preserve">5</w:t>
        </w:r>
      </w:fldSimple>
      <w:r>
        <w:rPr>
          <w:rFonts w:ascii="Times New Roman" w:cs="Times New Roman" w:eastAsia="Times New Roman" w:hAnsi="Times New Roman"/>
        </w:rPr>
        <w:t xml:space="preserve">: Effect of in-process data caching (one user)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4"/>
        <w:gridCol w:w="2077"/>
        <w:gridCol w:w="2699"/>
        <w:gridCol w:w="1246"/>
      </w:tblGrid>
      <w:tr>
        <w:trPr>
          <w:tblHeader/>
        </w:trPr>
        <w:tc>
          <w:tcPr>
            <w:tcW w:type="dxa" w:w="22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Endpoint</w:t>
            </w:r>
          </w:p>
        </w:tc>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First request (cold)</w:t>
            </w:r>
          </w:p>
        </w:tc>
        <w:tc>
          <w:tcPr>
            <w:tcW w:type="dxa" w:w="269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Later requests (warm, mean of 3)</w:t>
            </w:r>
          </w:p>
        </w:tc>
        <w:tc>
          <w:tcPr>
            <w:tcW w:type="dxa" w:w="1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Speed-up</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9.3 ms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4.1 ms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2.3×</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862.0 ms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48.8 ms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17.7×</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4785.2 ms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1206.7 ms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(1,000 paths)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3143.0 ms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2950.3 ms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1.1×</w:t>
            </w:r>
          </w:p>
        </w:tc>
      </w:tr>
    </w:tbl>
    <w:p>
      <w:pPr>
        <w:spacing w:after="120"/>
      </w:pPr>
      <w:r>
        <w:rPr>
          <w:rFonts w:ascii="Times New Roman" w:cs="Times New Roman" w:eastAsia="Times New Roman" w:hAnsi="Times New Roman"/>
        </w:rPr>
        <w:t xml:space="preserve"/>
      </w:r>
    </w:p>
    <w:p>
      <w:pPr>
        <w:spacing w:after="120" w:line="360"/>
        <w:jc w:val="both"/>
      </w:pPr>
      <w:r>
        <w:rPr>
          <w:rFonts w:ascii="Times New Roman" w:cs="Times New Roman" w:eastAsia="Times New Roman" w:hAnsi="Times New Roman"/>
        </w:rPr>
        <w:t xml:space="preserve">The bottleneck in Section 8.8 points to three further changes, which were identified but not yet implemented and measured: (1) a small fixed limit on simultaneous engine calls per process (for example two), so that additional requests wait in a queue instead of competing for the cores and memory; (2) caching complete Risk results in Redis per portfolio and data date, since the dashboard and the Risk page request the same result; and (3) fitting each fund’s GARCH model in the nightly job rather than on request. Change (1) is expected to keep throughput at the 5-user peak and memory near 1 GiB at any load; changes (2) and (3) reduce the work itself.</w:t>
      </w:r>
    </w:p>
    <w:p>
      <w:pPr>
        <w:pStyle w:val="Heading2"/>
        <w:keepNext/>
      </w:pPr>
      <w:bookmarkStart w:name="_Toc85" w:id="85"/>
      <w:r>
        <w:rPr>
          <w:rFonts w:ascii="Times New Roman" w:cs="Times New Roman" w:eastAsia="Times New Roman" w:hAnsi="Times New Roman"/>
        </w:rPr>
        <w:t xml:space="preserve">8.10 Cloud Deployment and Resource Utilisation</w:t>
      </w:r>
      <w:bookmarkEnd w:id="85"/>
    </w:p>
    <w:p>
      <w:pPr>
        <w:spacing w:after="120" w:line="360"/>
        <w:jc w:val="both"/>
      </w:pPr>
      <w:r>
        <w:rPr>
          <w:rFonts w:ascii="Times New Roman" w:cs="Times New Roman" w:eastAsia="Times New Roman" w:hAnsi="Times New Roman"/>
        </w:rPr>
        <w:t xml:space="preserve">The system was not deployed to a public cloud during the project. The intended deployment is the same Docker images on a cloud virtual machine or container service: two or more API replicas behind a load balancer (the API is stateless and the rate limiter is already distributed through Redis), a managed PostgreSQL service with the TimescaleDB extension, a managed Redis service, and the Celery worker and beat as separate services. Based on the measurements, each API replica should have 4 vCPUs and 4 GiB of memory with the concurrency limit of Section 8.9 in place.</w:t>
      </w:r>
    </w:p>
    <w:p>
      <w:pPr>
        <w:pStyle w:val="Heading2"/>
        <w:keepNext/>
      </w:pPr>
      <w:bookmarkStart w:name="_Toc86" w:id="86"/>
      <w:r>
        <w:rPr>
          <w:rFonts w:ascii="Times New Roman" w:cs="Times New Roman" w:eastAsia="Times New Roman" w:hAnsi="Times New Roman"/>
        </w:rPr>
        <w:t xml:space="preserve">8.11 Scalability Limitations</w:t>
      </w:r>
      <w:bookmarkEnd w:id="86"/>
    </w:p>
    <w:p>
      <w:pPr>
        <w:pStyle w:val="ListParagraph"/>
        <w:numPr>
          <w:ilvl w:val="0"/>
          <w:numId w:val="3"/>
        </w:numPr>
        <w:spacing w:after="60" w:line="360"/>
        <w:jc w:val="both"/>
      </w:pPr>
      <w:r>
        <w:rPr>
          <w:rFonts w:ascii="Times New Roman" w:cs="Times New Roman" w:eastAsia="Times New Roman" w:hAnsi="Times New Roman"/>
          <w:b/>
          <w:bCs/>
        </w:rPr>
        <w:t xml:space="preserve">Maximum tested workload:</w:t>
      </w:r>
      <w:r>
        <w:rPr>
          <w:rFonts w:ascii="Times New Roman" w:cs="Times New Roman" w:eastAsia="Times New Roman" w:hAnsi="Times New Roman"/>
        </w:rPr>
        <w:t xml:space="preserve"> 50 concurrent users for all endpoints except ARISE (25 users, Section 8.7), on one 4-CPU container with 0 server errors.</w:t>
      </w:r>
    </w:p>
    <w:p>
      <w:pPr>
        <w:pStyle w:val="ListParagraph"/>
        <w:numPr>
          <w:ilvl w:val="0"/>
          <w:numId w:val="3"/>
        </w:numPr>
        <w:spacing w:after="60" w:line="360"/>
        <w:jc w:val="both"/>
      </w:pPr>
      <w:r>
        <w:rPr>
          <w:rFonts w:ascii="Times New Roman" w:cs="Times New Roman" w:eastAsia="Times New Roman" w:hAnsi="Times New Roman"/>
          <w:b/>
          <w:bCs/>
        </w:rPr>
        <w:t xml:space="preserve">Measured capacity:</w:t>
      </w:r>
      <w:r>
        <w:rPr>
          <w:rFonts w:ascii="Times New Roman" w:cs="Times New Roman" w:eastAsia="Times New Roman" w:hAnsi="Times New Roman"/>
        </w:rPr>
        <w:t xml:space="preserve"> interactive endpoints sustain 350–550 requests/s; Risk about 2 requests/s and ARISE about 0.65 requests/s at best on 4 cores.</w:t>
      </w:r>
    </w:p>
    <w:p>
      <w:pPr>
        <w:pStyle w:val="ListParagraph"/>
        <w:numPr>
          <w:ilvl w:val="0"/>
          <w:numId w:val="3"/>
        </w:numPr>
        <w:spacing w:after="60" w:line="360"/>
        <w:jc w:val="both"/>
      </w:pPr>
      <w:r>
        <w:rPr>
          <w:rFonts w:ascii="Times New Roman" w:cs="Times New Roman" w:eastAsia="Times New Roman" w:hAnsi="Times New Roman"/>
          <w:b/>
          <w:bCs/>
        </w:rPr>
        <w:t xml:space="preserve">Limit observed:</w:t>
      </w:r>
      <w:r>
        <w:rPr>
          <w:rFonts w:ascii="Times New Roman" w:cs="Times New Roman" w:eastAsia="Times New Roman" w:hAnsi="Times New Roman"/>
        </w:rPr>
        <w:t xml:space="preserve"> beyond about 5 simultaneous Risk or ARISE users, latency grows rapidly and memory approaches the container limit; this is the main scalability limitation of the current version.</w:t>
      </w:r>
    </w:p>
    <w:p>
      <w:pPr>
        <w:pStyle w:val="ListParagraph"/>
        <w:numPr>
          <w:ilvl w:val="0"/>
          <w:numId w:val="3"/>
        </w:numPr>
        <w:spacing w:after="60" w:line="360"/>
        <w:jc w:val="both"/>
      </w:pPr>
      <w:r>
        <w:rPr>
          <w:rFonts w:ascii="Times New Roman" w:cs="Times New Roman" w:eastAsia="Times New Roman" w:hAnsi="Times New Roman"/>
          <w:b/>
          <w:bCs/>
        </w:rPr>
        <w:t xml:space="preserve">Projected, not tested:</w:t>
      </w:r>
      <w:r>
        <w:rPr>
          <w:rFonts w:ascii="Times New Roman" w:cs="Times New Roman" w:eastAsia="Times New Roman" w:hAnsi="Times New Roman"/>
        </w:rPr>
        <w:t xml:space="preserve"> horizontal scaling with several replicas, cloud deployment, and behaviour with thousands of users or millions of transactions.</w:t>
      </w:r>
    </w:p>
    <w:p>
      <w:pPr>
        <w:pageBreakBefore/>
        <w:spacing w:after="120"/>
        <w:jc w:val="center"/>
      </w:pPr>
      <w:r>
        <w:rPr>
          <w:rFonts w:ascii="Times New Roman" w:cs="Times New Roman" w:eastAsia="Times New Roman" w:hAnsi="Times New Roman"/>
          <w:b/>
          <w:bCs/>
          <w:sz w:val="28"/>
          <w:szCs w:val="28"/>
        </w:rPr>
        <w:t xml:space="preserve">CHAPTER 9</w:t>
      </w:r>
    </w:p>
    <w:p>
      <w:pPr>
        <w:pStyle w:val="Heading1"/>
        <w:jc w:val="center"/>
      </w:pPr>
      <w:bookmarkStart w:name="_Toc87" w:id="87"/>
      <w:r>
        <w:rPr>
          <w:rFonts w:ascii="Times New Roman" w:cs="Times New Roman" w:eastAsia="Times New Roman" w:hAnsi="Times New Roman"/>
        </w:rPr>
        <w:t xml:space="preserve">TESTING AND VALIDATION</w:t>
      </w:r>
      <w:bookmarkEnd w:id="87"/>
    </w:p>
    <w:p>
      <w:pPr>
        <w:pStyle w:val="Heading2"/>
        <w:keepNext/>
      </w:pPr>
      <w:bookmarkStart w:name="_Toc88" w:id="88"/>
      <w:r>
        <w:rPr>
          <w:rFonts w:ascii="Times New Roman" w:cs="Times New Roman" w:eastAsia="Times New Roman" w:hAnsi="Times New Roman"/>
        </w:rPr>
        <w:t xml:space="preserve">9.1 Testing Strategy</w:t>
      </w:r>
      <w:bookmarkEnd w:id="88"/>
    </w:p>
    <w:p>
      <w:pPr>
        <w:spacing w:after="120" w:line="360"/>
        <w:jc w:val="both"/>
      </w:pPr>
      <w:r>
        <w:rPr>
          <w:rFonts w:ascii="Times New Roman" w:cs="Times New Roman" w:eastAsia="Times New Roman" w:hAnsi="Times New Roman"/>
        </w:rPr>
        <w:t xml:space="preserve">Testing was carried out at five levels, from individual functions to the whole running system, and every level is automated so that it is repeated on every change:</w:t>
      </w:r>
    </w:p>
    <w:p>
      <w:pPr>
        <w:pStyle w:val="ListParagraph"/>
        <w:numPr>
          <w:ilvl w:val="0"/>
          <w:numId w:val="4"/>
        </w:numPr>
        <w:spacing w:after="60" w:line="360"/>
        <w:jc w:val="both"/>
      </w:pPr>
      <w:r>
        <w:rPr>
          <w:rFonts w:ascii="Times New Roman" w:cs="Times New Roman" w:eastAsia="Times New Roman" w:hAnsi="Times New Roman"/>
          <w:b/>
          <w:bCs/>
        </w:rPr>
        <w:t xml:space="preserve">Unit tests</w:t>
      </w:r>
      <w:r>
        <w:rPr>
          <w:rFonts w:ascii="Times New Roman" w:cs="Times New Roman" w:eastAsia="Times New Roman" w:hAnsi="Times New Roman"/>
        </w:rPr>
        <w:t xml:space="preserve"> of engines, models and helpers with known inputs and hand-computed outputs.</w:t>
      </w:r>
    </w:p>
    <w:p>
      <w:pPr>
        <w:pStyle w:val="ListParagraph"/>
        <w:numPr>
          <w:ilvl w:val="0"/>
          <w:numId w:val="4"/>
        </w:numPr>
        <w:spacing w:after="60" w:line="360"/>
        <w:jc w:val="both"/>
      </w:pPr>
      <w:r>
        <w:rPr>
          <w:rFonts w:ascii="Times New Roman" w:cs="Times New Roman" w:eastAsia="Times New Roman" w:hAnsi="Times New Roman"/>
          <w:b/>
          <w:bCs/>
        </w:rPr>
        <w:t xml:space="preserve">Integration tests</w:t>
      </w:r>
      <w:r>
        <w:rPr>
          <w:rFonts w:ascii="Times New Roman" w:cs="Times New Roman" w:eastAsia="Times New Roman" w:hAnsi="Times New Roman"/>
        </w:rPr>
        <w:t xml:space="preserve"> that start the real FastAPI application and call it over HTTP with an isolated test database.</w:t>
      </w:r>
    </w:p>
    <w:p>
      <w:pPr>
        <w:pStyle w:val="ListParagraph"/>
        <w:numPr>
          <w:ilvl w:val="0"/>
          <w:numId w:val="4"/>
        </w:numPr>
        <w:spacing w:after="60" w:line="360"/>
        <w:jc w:val="both"/>
      </w:pPr>
      <w:r>
        <w:rPr>
          <w:rFonts w:ascii="Times New Roman" w:cs="Times New Roman" w:eastAsia="Times New Roman" w:hAnsi="Times New Roman"/>
          <w:b/>
          <w:bCs/>
        </w:rPr>
        <w:t xml:space="preserve">Functional tests</w:t>
      </w:r>
      <w:r>
        <w:rPr>
          <w:rFonts w:ascii="Times New Roman" w:cs="Times New Roman" w:eastAsia="Times New Roman" w:hAnsi="Times New Roman"/>
        </w:rPr>
        <w:t xml:space="preserve"> that map each functional requirement to at least one test, including a 13-step end-to-end investor journey.</w:t>
      </w:r>
    </w:p>
    <w:p>
      <w:pPr>
        <w:pStyle w:val="ListParagraph"/>
        <w:numPr>
          <w:ilvl w:val="0"/>
          <w:numId w:val="4"/>
        </w:numPr>
        <w:spacing w:after="60" w:line="360"/>
        <w:jc w:val="both"/>
      </w:pPr>
      <w:r>
        <w:rPr>
          <w:rFonts w:ascii="Times New Roman" w:cs="Times New Roman" w:eastAsia="Times New Roman" w:hAnsi="Times New Roman"/>
          <w:b/>
          <w:bCs/>
        </w:rPr>
        <w:t xml:space="preserve">Non-functional tests:</w:t>
      </w:r>
      <w:r>
        <w:rPr>
          <w:rFonts w:ascii="Times New Roman" w:cs="Times New Roman" w:eastAsia="Times New Roman" w:hAnsi="Times New Roman"/>
        </w:rPr>
        <w:t xml:space="preserve"> security (tokens, isolation, error leakage), accessibility (contrast checks), data consistency checks, and the load and scaling tests of Chapter 8.</w:t>
      </w:r>
    </w:p>
    <w:p>
      <w:pPr>
        <w:pStyle w:val="ListParagraph"/>
        <w:numPr>
          <w:ilvl w:val="0"/>
          <w:numId w:val="4"/>
        </w:numPr>
        <w:spacing w:after="60" w:line="360"/>
        <w:jc w:val="both"/>
      </w:pPr>
      <w:r>
        <w:rPr>
          <w:rFonts w:ascii="Times New Roman" w:cs="Times New Roman" w:eastAsia="Times New Roman" w:hAnsi="Times New Roman"/>
          <w:b/>
          <w:bCs/>
        </w:rPr>
        <w:t xml:space="preserve">Model validation:</w:t>
      </w:r>
      <w:r>
        <w:rPr>
          <w:rFonts w:ascii="Times New Roman" w:cs="Times New Roman" w:eastAsia="Times New Roman" w:hAnsi="Times New Roman"/>
        </w:rPr>
        <w:t xml:space="preserve"> out-of-sample evaluation of every model against the one it replaces, with no information from the future (Section 9.5).</w:t>
      </w:r>
    </w:p>
    <w:p>
      <w:pPr>
        <w:spacing w:after="120" w:line="360"/>
        <w:jc w:val="both"/>
      </w:pPr>
      <w:r>
        <w:rPr>
          <w:rFonts w:ascii="Times New Roman" w:cs="Times New Roman" w:eastAsia="Times New Roman" w:hAnsi="Times New Roman"/>
        </w:rPr>
        <w:t xml:space="preserve">Continuous integration runs the backend suite, ruff, migration checks, the frontend type check, ESLint, the WCAG contrast check, the generated-data check and the production build on every push. The backend suite contains 459 tests in 29 files; 449 passed and 10 were skipped because they need Upstox instrument files that are not present on the test machine (run on 25 October 2026, 164 s).</w:t>
      </w:r>
    </w:p>
    <w:p>
      <w:pPr>
        <w:pStyle w:val="Heading2"/>
        <w:keepNext/>
      </w:pPr>
      <w:bookmarkStart w:name="_Toc89" w:id="89"/>
      <w:r>
        <w:rPr>
          <w:rFonts w:ascii="Times New Roman" w:cs="Times New Roman" w:eastAsia="Times New Roman" w:hAnsi="Times New Roman"/>
        </w:rPr>
        <w:t xml:space="preserve">9.2 Unit Testing</w:t>
      </w:r>
      <w:bookmarkEnd w:id="89"/>
    </w:p>
    <w:p>
      <w:pPr>
        <w:pStyle w:val="Caption"/>
        <w:spacing w:after="240" w:before="80"/>
        <w:jc w:val="center"/>
      </w:pPr>
      <w:r>
        <w:rPr>
          <w:rFonts w:ascii="Times New Roman" w:cs="Times New Roman" w:eastAsia="Times New Roman" w:hAnsi="Times New Roman"/>
          <w:b/>
          <w:bCs/>
        </w:rPr>
        <w:t xml:space="preserve">Table 9.</w:t>
      </w:r>
      <w:fldSimple w:instr="SEQ Table \* ARABIC \s 1">
        <w:r>
          <w:t xml:space="preserve">1</w:t>
        </w:r>
      </w:fldSimple>
      <w:r>
        <w:rPr>
          <w:rFonts w:ascii="Times New Roman" w:cs="Times New Roman" w:eastAsia="Times New Roman" w:hAnsi="Times New Roman"/>
        </w:rPr>
        <w:t xml:space="preserve">: Unit tests by area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69"/>
        <w:gridCol w:w="2180"/>
        <w:gridCol w:w="727"/>
        <w:gridCol w:w="3530"/>
      </w:tblGrid>
      <w:tr>
        <w:trPr>
          <w:tblHeader/>
        </w:trPr>
        <w:tc>
          <w:tcPr>
            <w:tcW w:type="dxa" w:w="18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Area</w:t>
            </w:r>
          </w:p>
        </w:tc>
        <w:tc>
          <w:tcPr>
            <w:tcW w:type="dxa" w:w="21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Test file</w:t>
            </w:r>
          </w:p>
        </w:tc>
        <w:tc>
          <w:tcPr>
            <w:tcW w:type="dxa" w:w="72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Tests</w:t>
            </w:r>
          </w:p>
        </w:tc>
        <w:tc>
          <w:tcPr>
            <w:tcW w:type="dxa" w:w="35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Examples of what is checked</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Portfolio accounting</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test_portfolio.py</w:t>
            </w:r>
          </w:p>
        </w:tc>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38</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FIFO partial redemptions; STCG/LTCG against hand computation; LTCG exemption aggregated per year</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Quantitative engines</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test_quant_engines.py</w:t>
            </w:r>
          </w:p>
        </w:tc>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29</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GARCH recovers α = 0.08, β = 0.90; EVT VaR/ES on normal data; Kupiec accepts and rejects correctly</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Market data candles</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test_candles.py</w:t>
            </w:r>
          </w:p>
        </w:tc>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26</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Daily and intraday paths, date handling</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ML models</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test_ml_models.py</w:t>
            </w:r>
          </w:p>
        </w:tc>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22</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Shapley efficiency; PLOS monotonicity; HAR-X shapes; Kupiec</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longevity</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test_arise_longevity.py</w:t>
            </w:r>
          </w:p>
        </w:tc>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Gompertz lifespans; listed pessimistic assumptions; never 0% or 100%</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Time-series read path</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test_timescale_read_path.py</w:t>
            </w:r>
          </w:p>
        </w:tc>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20</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Reading stored prices; source labels</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Feed decoding</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test_feed_decoder.py</w:t>
            </w:r>
          </w:p>
        </w:tc>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Protocol Buffers market feed decoding</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Estimation risk</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test_estimation_risk.py</w:t>
            </w:r>
          </w:p>
        </w:tc>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11</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Posterior spread shrinks with more history</w:t>
            </w:r>
          </w:p>
        </w:tc>
      </w:tr>
      <w:tr>
        <w:trPr>
          <w:cantSplit/>
        </w:trPr>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Other engine helpers</w:t>
            </w:r>
          </w:p>
        </w:tc>
        <w:tc>
          <w:tcPr>
            <w:tcW w:type="dxa" w:w="21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 further files</w:t>
            </w:r>
          </w:p>
        </w:tc>
        <w:tc>
          <w:tcPr>
            <w:tcW w:type="dxa" w:w="72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about 90</w:t>
            </w:r>
          </w:p>
        </w:tc>
        <w:tc>
          <w:tcPr>
            <w:tcW w:type="dxa" w:w="35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Fees and benchmarks, HRP, debt returns, safe withdrawal rates, plan costs, mappings</w:t>
            </w:r>
          </w:p>
        </w:tc>
      </w:tr>
    </w:tbl>
    <w:p>
      <w:pPr>
        <w:spacing w:after="120"/>
      </w:pPr>
      <w:r>
        <w:rPr>
          <w:rFonts w:ascii="Times New Roman" w:cs="Times New Roman" w:eastAsia="Times New Roman" w:hAnsi="Times New Roman"/>
        </w:rPr>
        <w:t xml:space="preserve"/>
      </w:r>
    </w:p>
    <w:p>
      <w:pPr>
        <w:pStyle w:val="Heading2"/>
        <w:keepNext/>
      </w:pPr>
      <w:bookmarkStart w:name="_Toc90" w:id="90"/>
      <w:r>
        <w:rPr>
          <w:rFonts w:ascii="Times New Roman" w:cs="Times New Roman" w:eastAsia="Times New Roman" w:hAnsi="Times New Roman"/>
        </w:rPr>
        <w:t xml:space="preserve">9.3 Integration Testing</w:t>
      </w:r>
      <w:bookmarkEnd w:id="90"/>
    </w:p>
    <w:p>
      <w:pPr>
        <w:spacing w:after="120" w:line="360"/>
        <w:jc w:val="both"/>
      </w:pPr>
      <w:r>
        <w:rPr>
          <w:rFonts w:ascii="Times New Roman" w:cs="Times New Roman" w:eastAsia="Times New Roman" w:hAnsi="Times New Roman"/>
        </w:rPr>
        <w:t xml:space="preserve">Integration tests use an HTTP client bound to the FastAPI application with an isolated database, so routing, validation, authentication, services, engines and serialisation are exercised together. The main files are test_auth.py (14 tests), test_profile_schemes.py (18), test_analysis.py (18), test_reports_market.py (15), test_compare.py (9), test_scheme_detail.py (9), test_security.py (7) and test_upstox.py (34, with the Upstox service simulated). The Docker stack was additionally exercised as a whole by the load test of Chapter 8, in which every analysis endpoint ran against the real PostgreSQL and Redis containers.</w:t>
      </w:r>
    </w:p>
    <w:p>
      <w:pPr>
        <w:pStyle w:val="Heading2"/>
        <w:keepNext/>
      </w:pPr>
      <w:bookmarkStart w:name="_Toc91" w:id="91"/>
      <w:r>
        <w:rPr>
          <w:rFonts w:ascii="Times New Roman" w:cs="Times New Roman" w:eastAsia="Times New Roman" w:hAnsi="Times New Roman"/>
        </w:rPr>
        <w:t xml:space="preserve">9.4 Functional Testing</w:t>
      </w:r>
      <w:bookmarkEnd w:id="91"/>
    </w:p>
    <w:p>
      <w:pPr>
        <w:spacing w:after="120" w:line="360"/>
        <w:jc w:val="both"/>
      </w:pPr>
      <w:r>
        <w:rPr>
          <w:rFonts w:ascii="Times New Roman" w:cs="Times New Roman" w:eastAsia="Times New Roman" w:hAnsi="Times New Roman"/>
        </w:rPr>
        <w:t xml:space="preserve">Each functional requirement is traced to the tests that verify it.</w:t>
      </w:r>
    </w:p>
    <w:p>
      <w:pPr>
        <w:pStyle w:val="Caption"/>
        <w:spacing w:after="240" w:before="80"/>
        <w:jc w:val="center"/>
      </w:pPr>
      <w:r>
        <w:rPr>
          <w:rFonts w:ascii="Times New Roman" w:cs="Times New Roman" w:eastAsia="Times New Roman" w:hAnsi="Times New Roman"/>
          <w:b/>
          <w:bCs/>
        </w:rPr>
        <w:t xml:space="preserve">Table 9.</w:t>
      </w:r>
      <w:fldSimple w:instr="SEQ Table \* ARABIC \s 1">
        <w:r>
          <w:t xml:space="preserve">2</w:t>
        </w:r>
      </w:fldSimple>
      <w:r>
        <w:rPr>
          <w:rFonts w:ascii="Times New Roman" w:cs="Times New Roman" w:eastAsia="Times New Roman" w:hAnsi="Times New Roman"/>
        </w:rPr>
        <w:t xml:space="preserve">: Traceability of functional requirements to tests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4"/>
        <w:gridCol w:w="4984"/>
        <w:gridCol w:w="1038"/>
      </w:tblGrid>
      <w:tr>
        <w:trPr>
          <w:tblHeader/>
        </w:trPr>
        <w:tc>
          <w:tcPr>
            <w:tcW w:type="dxa" w:w="22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Requirement</w:t>
            </w:r>
          </w:p>
        </w:tc>
        <w:tc>
          <w:tcPr>
            <w:tcW w:type="dxa" w:w="49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Verified by</w:t>
            </w:r>
          </w:p>
        </w:tc>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Result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FR-01 Registration and login</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test_register_returns_token_pair, test_duplicate_email_conflicts, test_password_policy</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FR-02 Refresh and logout</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test_refresh_rotates_and_burns_the_old_token, test_refresh_reuse_kills_the_whole_token_family, test_logout_all_revokes_every_session</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FR-03 Profile</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test_profile_requires_all_ten_fields, test_minor_is_rejected, test_put_is_a_partial_update</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FR-04 Scheme discovery</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test_every_risk_appetite_sees_equity, test_tax_saving_is_the_one_hard_goal_block</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FR-05 Selection and allocation</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test_duplicate_scheme_ids_are_rejected, test_weights_must_sum_to_one</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FR-06 Overlap</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test_analysis.py overlap cases; frontend data check (10 figures)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FR-07 PLOS</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test_ml_models.py Shapley and monotonicity; test_plos_top5.py</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FR-08 Risk</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test_quant_engines.py GARCH, EVT and Kupiec tests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FR-09 ARISE</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test_arise_longevity.py, test_estimation_risk.py</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FR-10 Transactions and tax</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test_portfolio.py (38 tests)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FR-11 Reports and notifications</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test_generate_report_produces_a_real_pdf; notification scoping tests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FR-12 Data and model pipeline</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Training script validation output (Chapter 10); provenance tests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End-to-end journey</w:t>
            </w:r>
          </w:p>
        </w:tc>
        <w:tc>
          <w:tcPr>
            <w:tcW w:type="dxa" w:w="49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test_full_investor_journey (13 steps over HTTP)</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t>
            </w:r>
          </w:p>
        </w:tc>
      </w:tr>
    </w:tbl>
    <w:p>
      <w:pPr>
        <w:spacing w:after="120"/>
      </w:pPr>
      <w:r>
        <w:rPr>
          <w:rFonts w:ascii="Times New Roman" w:cs="Times New Roman" w:eastAsia="Times New Roman" w:hAnsi="Times New Roman"/>
        </w:rPr>
        <w:t xml:space="preserve"/>
      </w:r>
    </w:p>
    <w:p>
      <w:pPr>
        <w:pStyle w:val="Heading2"/>
        <w:keepNext/>
      </w:pPr>
      <w:bookmarkStart w:name="_Toc92" w:id="92"/>
      <w:r>
        <w:rPr>
          <w:rFonts w:ascii="Times New Roman" w:cs="Times New Roman" w:eastAsia="Times New Roman" w:hAnsi="Times New Roman"/>
        </w:rPr>
        <w:t xml:space="preserve">9.5 Non-Functional Testing</w:t>
      </w:r>
      <w:bookmarkEnd w:id="92"/>
    </w:p>
    <w:p>
      <w:pPr>
        <w:pStyle w:val="ListParagraph"/>
        <w:numPr>
          <w:ilvl w:val="0"/>
          <w:numId w:val="3"/>
        </w:numPr>
        <w:spacing w:after="60" w:line="360"/>
        <w:jc w:val="both"/>
      </w:pPr>
      <w:r>
        <w:rPr>
          <w:rFonts w:ascii="Times New Roman" w:cs="Times New Roman" w:eastAsia="Times New Roman" w:hAnsi="Times New Roman"/>
          <w:b/>
          <w:bCs/>
        </w:rPr>
        <w:t xml:space="preserve">Performance:</w:t>
      </w:r>
      <w:r>
        <w:rPr>
          <w:rFonts w:ascii="Times New Roman" w:cs="Times New Roman" w:eastAsia="Times New Roman" w:hAnsi="Times New Roman"/>
        </w:rPr>
        <w:t xml:space="preserve"> at 10 concurrent users the 95th-percentile latency was 35.9 ms (filter) and 32.5 ms (overlap); full results in Section 8.7.</w:t>
      </w:r>
    </w:p>
    <w:p>
      <w:pPr>
        <w:pStyle w:val="ListParagraph"/>
        <w:numPr>
          <w:ilvl w:val="0"/>
          <w:numId w:val="3"/>
        </w:numPr>
        <w:spacing w:after="60" w:line="360"/>
        <w:jc w:val="both"/>
      </w:pP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seven dedicated tests check that profiles, selections, reports and notifications cannot be read or changed by another user, that internal errors do not leak tracebacks and that password hashes are never returned; authentication tests reject forged, expired, wrong-type and missing tokens, and confirm that a wrong password and an unknown user produce identical responses.</w:t>
      </w:r>
    </w:p>
    <w:p>
      <w:pPr>
        <w:pStyle w:val="ListParagraph"/>
        <w:numPr>
          <w:ilvl w:val="0"/>
          <w:numId w:val="3"/>
        </w:numPr>
        <w:spacing w:after="60" w:line="360"/>
        <w:jc w:val="both"/>
      </w:pPr>
      <w:r>
        <w:rPr>
          <w:rFonts w:ascii="Times New Roman" w:cs="Times New Roman" w:eastAsia="Times New Roman" w:hAnsi="Times New Roman"/>
          <w:b/>
          <w:bCs/>
        </w:rPr>
        <w:t xml:space="preserve">Usability and accessibility:</w:t>
      </w:r>
      <w:r>
        <w:rPr>
          <w:rFonts w:ascii="Times New Roman" w:cs="Times New Roman" w:eastAsia="Times New Roman" w:hAnsi="Times New Roman"/>
        </w:rPr>
        <w:t xml:space="preserve"> the frontend build checks all 16 text/surface colour pairs against WCAG 2.2 AA contrast in both themes; all pass.</w:t>
      </w:r>
    </w:p>
    <w:p>
      <w:pPr>
        <w:pStyle w:val="ListParagraph"/>
        <w:numPr>
          <w:ilvl w:val="0"/>
          <w:numId w:val="3"/>
        </w:numPr>
        <w:spacing w:after="60" w:line="360"/>
        <w:jc w:val="both"/>
      </w:pPr>
      <w:r>
        <w:rPr>
          <w:rFonts w:ascii="Times New Roman" w:cs="Times New Roman" w:eastAsia="Times New Roman" w:hAnsi="Times New Roman"/>
          <w:b/>
          <w:bCs/>
        </w:rPr>
        <w:t xml:space="preserve">Reliability:</w:t>
      </w:r>
      <w:r>
        <w:rPr>
          <w:rFonts w:ascii="Times New Roman" w:cs="Times New Roman" w:eastAsia="Times New Roman" w:hAnsi="Times New Roman"/>
        </w:rPr>
        <w:t xml:space="preserve"> no request in the load test returned a server error (5xx); fallback behaviour is tested by forcing each data tier to fail.</w:t>
      </w:r>
    </w:p>
    <w:p>
      <w:pPr>
        <w:spacing w:after="120" w:line="360"/>
        <w:jc w:val="both"/>
      </w:pPr>
      <w:r>
        <w:rPr>
          <w:rFonts w:ascii="Times New Roman" w:cs="Times New Roman" w:eastAsia="Times New Roman" w:hAnsi="Times New Roman"/>
          <w:b/>
          <w:bCs/>
        </w:rPr>
        <w:t xml:space="preserve">Model validation.</w:t>
      </w:r>
      <w:r>
        <w:rPr>
          <w:rFonts w:ascii="Times New Roman" w:cs="Times New Roman" w:eastAsia="Times New Roman" w:hAnsi="Times New Roman"/>
        </w:rPr>
        <w:t xml:space="preserve"> The models were evaluated with scoring rules appropriate to each engine. Volatility forecasts use the QLIKE loss (9.1) and the Diebold–Mariano test (9.2); VaR uses Kupiec’s test (9.3) and Christoffersen’s independence test; retirement forecast distributions use the continuous ranked probability score (9.4) and interval coverage. Every feature is measured before the period it predicts, PLOS is trained on earlier years and tested on later ones, and ARISE forecasts use only data available at each origin.</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209800" cy="457200"/>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209800" cy="457200"/>
                    </a:xfrm>
                    <a:prstGeom prst="rect">
                      <a:avLst/>
                    </a:prstGeom>
                  </pic:spPr>
                </pic:pic>
              </a:graphicData>
            </a:graphic>
          </wp:inline>
        </w:drawing>
      </w:r>
      <w:r>
        <w:rPr>
          <w:rFonts w:ascii="Times New Roman" w:cs="Times New Roman" w:eastAsia="Times New Roman" w:hAnsi="Times New Roman"/>
        </w:rPr>
        <w:t xml:space="preserve">	(9.1)</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714625" cy="533400"/>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14625" cy="533400"/>
                    </a:xfrm>
                    <a:prstGeom prst="rect">
                      <a:avLst/>
                    </a:prstGeom>
                  </pic:spPr>
                </pic:pic>
              </a:graphicData>
            </a:graphic>
          </wp:inline>
        </w:drawing>
      </w:r>
      <w:r>
        <w:rPr>
          <w:rFonts w:ascii="Times New Roman" w:cs="Times New Roman" w:eastAsia="Times New Roman" w:hAnsi="Times New Roman"/>
        </w:rPr>
        <w:t xml:space="preserve">	(9.2)</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905125" cy="476250"/>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905125" cy="476250"/>
                    </a:xfrm>
                    <a:prstGeom prst="rect">
                      <a:avLst/>
                    </a:prstGeom>
                  </pic:spPr>
                </pic:pic>
              </a:graphicData>
            </a:graphic>
          </wp:inline>
        </w:drawing>
      </w:r>
      <w:r>
        <w:rPr>
          <w:rFonts w:ascii="Times New Roman" w:cs="Times New Roman" w:eastAsia="Times New Roman" w:hAnsi="Times New Roman"/>
        </w:rPr>
        <w:t xml:space="preserve">	(9.3)</w:t>
      </w:r>
    </w:p>
    <w:p>
      <w:pPr>
        <w:keepLines/>
        <w:tabs>
          <w:tab w:val="center" w:pos="4153"/>
          <w:tab w:val="right" w:pos="8306"/>
        </w:tabs>
        <w:spacing w:after="160" w:before="120"/>
        <w:jc w:val="left"/>
      </w:pPr>
      <w:r>
        <w:rPr>
          <w:rFonts w:ascii="Times New Roman" w:cs="Times New Roman" w:eastAsia="Times New Roman" w:hAnsi="Times New Roman"/>
        </w:rPr>
        <w:t xml:space="preserve">	</w:t>
      </w:r>
      <w:r>
        <w:drawing>
          <wp:inline distT="0" distB="0" distL="0" distR="0">
            <wp:extent cx="2438400" cy="390525"/>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438400" cy="390525"/>
                    </a:xfrm>
                    <a:prstGeom prst="rect">
                      <a:avLst/>
                    </a:prstGeom>
                  </pic:spPr>
                </pic:pic>
              </a:graphicData>
            </a:graphic>
          </wp:inline>
        </w:drawing>
      </w:r>
      <w:r>
        <w:rPr>
          <w:rFonts w:ascii="Times New Roman" w:cs="Times New Roman" w:eastAsia="Times New Roman" w:hAnsi="Times New Roman"/>
        </w:rPr>
        <w:t xml:space="preserve">	(9.4)</w:t>
      </w:r>
    </w:p>
    <w:p>
      <w:pPr>
        <w:pStyle w:val="Heading2"/>
        <w:keepNext/>
      </w:pPr>
      <w:bookmarkStart w:name="_Toc93" w:id="93"/>
      <w:r>
        <w:rPr>
          <w:rFonts w:ascii="Times New Roman" w:cs="Times New Roman" w:eastAsia="Times New Roman" w:hAnsi="Times New Roman"/>
        </w:rPr>
        <w:t xml:space="preserve">9.6 Boundary and Invalid-Input Testing</w:t>
      </w:r>
      <w:bookmarkEnd w:id="93"/>
    </w:p>
    <w:p>
      <w:pPr>
        <w:pStyle w:val="Caption"/>
        <w:spacing w:after="240" w:before="80"/>
        <w:jc w:val="center"/>
      </w:pPr>
      <w:r>
        <w:rPr>
          <w:rFonts w:ascii="Times New Roman" w:cs="Times New Roman" w:eastAsia="Times New Roman" w:hAnsi="Times New Roman"/>
          <w:b/>
          <w:bCs/>
        </w:rPr>
        <w:t xml:space="preserve">Table 9.</w:t>
      </w:r>
      <w:fldSimple w:instr="SEQ Table \* ARABIC \s 1">
        <w:r>
          <w:t xml:space="preserve">3</w:t>
        </w:r>
      </w:fldSimple>
      <w:r>
        <w:rPr>
          <w:rFonts w:ascii="Times New Roman" w:cs="Times New Roman" w:eastAsia="Times New Roman" w:hAnsi="Times New Roman"/>
        </w:rPr>
        <w:t xml:space="preserve">: Boundary and invalid-input tests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46"/>
        <w:gridCol w:w="2284"/>
        <w:gridCol w:w="2284"/>
        <w:gridCol w:w="2492"/>
      </w:tblGrid>
      <w:tr>
        <w:trPr>
          <w:tblHeader/>
        </w:trPr>
        <w:tc>
          <w:tcPr>
            <w:tcW w:type="dxa" w:w="1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Input</w:t>
            </w:r>
          </w:p>
        </w:tc>
        <w:tc>
          <w:tcPr>
            <w:tcW w:type="dxa" w:w="22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Case</w:t>
            </w:r>
          </w:p>
        </w:tc>
        <w:tc>
          <w:tcPr>
            <w:tcW w:type="dxa" w:w="22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Expected and actual result</w:t>
            </w:r>
          </w:p>
        </w:tc>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Test</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Password</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Too short / no digit; 100 characters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Rejected (422); long password accepted and not truncated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test_password_policy, test_long_password_is_not_truncated_at_72_bytes</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Email</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Duplicate; different case</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409 Conflict; treated as the same account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test_duplicate_email_conflicts, test_email_is_case_insensitive</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Profile</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Missing field; minor; investment &gt; corpus; retirement age ≤ current age</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422 with a message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test_profile_requires_all_ten_fields, test_minor_is_rejected, test_cannot_invest_more_than_you_have, test_retirement_age_must_exceed_current_age</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Selection</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Unknown ID; duplicate IDs; more than 20</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422</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test_unknown_scheme_id_is_rejected, test_duplicate_scheme_ids_are_rejected</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Weights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Sum ≠ 1; wrong set of schemes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422</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test_weights_must_sum_to_one, test_weights_must_cover_exactly_the_selected_schemes</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State</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Allocate before select; filter without profile</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404 / 4xx; state unchanged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test_allocate_before_select_is_404, test_filter_requires_a_complete_profile</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Tokens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Missing, garbage, wrong key, access used as refresh</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401</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test_protected_routes_reject_missing_and_garbage_tokens, test_token_signed_with_a_different_key_is_rejected</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Redemption</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Sell more units than held</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InsufficientUnits error, nothing recorded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test_portfolio.py</w:t>
            </w:r>
          </w:p>
        </w:tc>
      </w:tr>
      <w:tr>
        <w:trPr>
          <w:cantSplit/>
        </w:trPr>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n_simulations outside 100–5,000</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422 (schema bounds)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ARISERequest validation</w:t>
            </w:r>
          </w:p>
        </w:tc>
      </w:tr>
    </w:tbl>
    <w:p>
      <w:pPr>
        <w:spacing w:after="120"/>
      </w:pPr>
      <w:r>
        <w:rPr>
          <w:rFonts w:ascii="Times New Roman" w:cs="Times New Roman" w:eastAsia="Times New Roman" w:hAnsi="Times New Roman"/>
        </w:rPr>
        <w:t xml:space="preserve"/>
      </w:r>
    </w:p>
    <w:p>
      <w:pPr>
        <w:pStyle w:val="Heading2"/>
        <w:keepNext/>
      </w:pPr>
      <w:bookmarkStart w:name="_Toc94" w:id="94"/>
      <w:r>
        <w:rPr>
          <w:rFonts w:ascii="Times New Roman" w:cs="Times New Roman" w:eastAsia="Times New Roman" w:hAnsi="Times New Roman"/>
        </w:rPr>
        <w:t xml:space="preserve">9.7 Concurrency and Stress Testing</w:t>
      </w:r>
      <w:bookmarkEnd w:id="94"/>
    </w:p>
    <w:p>
      <w:pPr>
        <w:spacing w:after="120" w:line="360"/>
        <w:jc w:val="both"/>
      </w:pPr>
      <w:r>
        <w:rPr>
          <w:rFonts w:ascii="Times New Roman" w:cs="Times New Roman" w:eastAsia="Times New Roman" w:hAnsi="Times New Roman"/>
        </w:rPr>
        <w:t xml:space="preserve">The load test (Chapter 8) is the concurrency and stress test: up to 50 simultaneous clients on every endpoint. No request failed with a server error, no deadlock or crash occurred, and the container stayed up through more than four hours of continuous load. Under the heaviest stress (50 users running Risk) the median latency rose to 88 s and memory to 3.6 GiB, which identified the bottleneck described in Section 8.8. Race conditions are prevented by design rather than tested by chance: the rate limiter’s check-and-record is atomic in Redis, token rotation is one database transaction, and uniqueness constraints arbitrate concurrent registrations and imports.</w:t>
      </w:r>
    </w:p>
    <w:p>
      <w:pPr>
        <w:pStyle w:val="Heading2"/>
        <w:keepNext/>
      </w:pPr>
      <w:bookmarkStart w:name="_Toc95" w:id="95"/>
      <w:r>
        <w:rPr>
          <w:rFonts w:ascii="Times New Roman" w:cs="Times New Roman" w:eastAsia="Times New Roman" w:hAnsi="Times New Roman"/>
        </w:rPr>
        <w:t xml:space="preserve">9.8 Test Case Specification</w:t>
      </w:r>
      <w:bookmarkEnd w:id="95"/>
    </w:p>
    <w:p>
      <w:pPr>
        <w:pStyle w:val="Caption"/>
        <w:spacing w:after="240" w:before="80"/>
        <w:jc w:val="center"/>
      </w:pPr>
      <w:r>
        <w:rPr>
          <w:rFonts w:ascii="Times New Roman" w:cs="Times New Roman" w:eastAsia="Times New Roman" w:hAnsi="Times New Roman"/>
          <w:b/>
          <w:bCs/>
        </w:rPr>
        <w:t xml:space="preserve">Table 9.</w:t>
      </w:r>
      <w:fldSimple w:instr="SEQ Table \* ARABIC \s 1">
        <w:r>
          <w:t xml:space="preserve">4</w:t>
        </w:r>
      </w:fldSimple>
      <w:r>
        <w:rPr>
          <w:rFonts w:ascii="Times New Roman" w:cs="Times New Roman" w:eastAsia="Times New Roman" w:hAnsi="Times New Roman"/>
        </w:rPr>
        <w:t xml:space="preserve">: Test case specification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59"/>
        <w:gridCol w:w="949"/>
        <w:gridCol w:w="1329"/>
        <w:gridCol w:w="1139"/>
        <w:gridCol w:w="1139"/>
        <w:gridCol w:w="1044"/>
        <w:gridCol w:w="712"/>
        <w:gridCol w:w="1235"/>
      </w:tblGrid>
      <w:tr>
        <w:trPr>
          <w:tblHeader/>
        </w:trPr>
        <w:tc>
          <w:tcPr>
            <w:tcW w:type="dxa" w:w="75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17"/>
                <w:szCs w:val="17"/>
              </w:rPr>
              <w:t xml:space="preserve">TC ID</w:t>
            </w:r>
          </w:p>
        </w:tc>
        <w:tc>
          <w:tcPr>
            <w:tcW w:type="dxa" w:w="94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17"/>
                <w:szCs w:val="17"/>
              </w:rPr>
              <w:t xml:space="preserve">Req.</w:t>
            </w:r>
          </w:p>
        </w:tc>
        <w:tc>
          <w:tcPr>
            <w:tcW w:type="dxa" w:w="132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17"/>
                <w:szCs w:val="17"/>
              </w:rPr>
              <w:t xml:space="preserve">Scenario</w:t>
            </w:r>
          </w:p>
        </w:tc>
        <w:tc>
          <w:tcPr>
            <w:tcW w:type="dxa" w:w="113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17"/>
                <w:szCs w:val="17"/>
              </w:rPr>
              <w:t xml:space="preserve">Input / precondition</w:t>
            </w:r>
          </w:p>
        </w:tc>
        <w:tc>
          <w:tcPr>
            <w:tcW w:type="dxa" w:w="113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17"/>
                <w:szCs w:val="17"/>
              </w:rPr>
              <w:t xml:space="preserve">Expected</w:t>
            </w:r>
          </w:p>
        </w:tc>
        <w:tc>
          <w:tcPr>
            <w:tcW w:type="dxa" w:w="10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17"/>
                <w:szCs w:val="17"/>
              </w:rPr>
              <w:t xml:space="preserve">Actual</w:t>
            </w:r>
          </w:p>
        </w:tc>
        <w:tc>
          <w:tcPr>
            <w:tcW w:type="dxa" w:w="71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17"/>
                <w:szCs w:val="17"/>
              </w:rPr>
              <w:t xml:space="preserve">Status</w:t>
            </w:r>
          </w:p>
        </w:tc>
        <w:tc>
          <w:tcPr>
            <w:tcW w:type="dxa" w:w="123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17"/>
                <w:szCs w:val="17"/>
              </w:rPr>
              <w:t xml:space="preserve">Evidence</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TC01</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FR-01</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Register and log in</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New email, valid password</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201, token pair</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201, token pair</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test_auth.py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TC02</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FR-02</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Reuse a rotated refresh token</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Token already used once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401; all tokens revoked</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As expected</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test_auth.py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TC03</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NFR-04</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Read another user’s selection</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Two users</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403 / 404, no data</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404, no data</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test_security.py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TC04</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FR-04</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Moderate investor filters schemes</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Complete profile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35 schemes, equity flagged</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35 shown, flags with reasons</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test_profile_schemes.py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TC05</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FR-06</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Overlap of 3 schemes</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Saved selection</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Symmetric, diagonal 1, in [0, 1]</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As expected</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test_analysis.py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TC06</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FR-07</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PLOS for bond and equity fund</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Mixed selection</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Holdings layers 0</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0</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test_ml_models.py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TC07</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FR-07</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Shapley contributions</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Any pair</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Sum = score − baseline</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Equal to 1e-9</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test_ml_models.py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TC08</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FR-08</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GARCH on simulated data</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α = 0.08, β = 0.90</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Parameters recovered</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Recovered</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test_quant_engines.py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TC09</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FR-08</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EVT tail on normal data</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Normal sample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99% VaR ≈ 2.33, ES ≈ 2.67</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Within tolerance</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test_quant_engines.py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TC10</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FR-09</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More SIP</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Two runs, same seed</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Success not lower</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Not lower</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test_arise_longevity.py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TC11</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FR-09</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Full survival of all paths</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Very rich investor</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Estimate &lt; 100% with range</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As expected</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test_estimation_risk.py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TC12</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FR-10</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Partial redemption tax</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Two lots, one sale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Hand-computed STCG/LTCG</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Matches</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test_portfolio.py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TC13</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FR-10</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Duplicate external reference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Same ref twice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Recorded once</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Recorded once</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test_portfolio.py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TC14</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NFR-03</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NaN in a response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Short series</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null, valid JSON</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null</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test_infrastructure.py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TC15</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FR-12</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Fund with verified AMFI code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Verified NAV file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Source = verified NAV</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amfi_nav_verified</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test_provenance.py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TC16</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Full investor journey</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Fresh database</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13 steps succeed</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13 steps succeed</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test_e2e_flow.py</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TC17</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NFR-01</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10 users on overlap</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Load test</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p95 &lt; 200 ms</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32.5 ms</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Pass</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Table 8.3</w:t>
            </w:r>
          </w:p>
        </w:tc>
      </w:tr>
      <w:tr>
        <w:trPr>
          <w:cantSplit/>
        </w:trPr>
        <w:tc>
          <w:tcPr>
            <w:tcW w:type="dxa" w:w="75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TC18</w:t>
            </w:r>
          </w:p>
        </w:tc>
        <w:tc>
          <w:tcPr>
            <w:tcW w:type="dxa" w:w="94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NFR-08</w:t>
            </w:r>
          </w:p>
        </w:tc>
        <w:tc>
          <w:tcPr>
            <w:tcW w:type="dxa" w:w="132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50 users on Risk</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Load test</w:t>
            </w:r>
          </w:p>
        </w:tc>
        <w:tc>
          <w:tcPr>
            <w:tcW w:type="dxa" w:w="11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Memory &lt; 2 GiB</w:t>
            </w:r>
          </w:p>
        </w:tc>
        <w:tc>
          <w:tcPr>
            <w:tcW w:type="dxa" w:w="10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3.6 GiB</w:t>
            </w:r>
          </w:p>
        </w:tc>
        <w:tc>
          <w:tcPr>
            <w:tcW w:type="dxa" w:w="7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Fail</w:t>
            </w:r>
          </w:p>
        </w:tc>
        <w:tc>
          <w:tcPr>
            <w:tcW w:type="dxa" w:w="12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17"/>
                <w:szCs w:val="17"/>
              </w:rPr>
              <w:t xml:space="preserve">Table 8.1</w:t>
            </w:r>
          </w:p>
        </w:tc>
      </w:tr>
    </w:tbl>
    <w:p>
      <w:pPr>
        <w:spacing w:after="120"/>
      </w:pPr>
      <w:r>
        <w:rPr>
          <w:rFonts w:ascii="Times New Roman" w:cs="Times New Roman" w:eastAsia="Times New Roman" w:hAnsi="Times New Roman"/>
        </w:rPr>
        <w:t xml:space="preserve"/>
      </w:r>
    </w:p>
    <w:p>
      <w:pPr>
        <w:pStyle w:val="Heading2"/>
        <w:keepNext/>
      </w:pPr>
      <w:bookmarkStart w:name="_Toc96" w:id="96"/>
      <w:r>
        <w:rPr>
          <w:rFonts w:ascii="Times New Roman" w:cs="Times New Roman" w:eastAsia="Times New Roman" w:hAnsi="Times New Roman"/>
        </w:rPr>
        <w:t xml:space="preserve">9.9 Defect Identification and Resolution</w:t>
      </w:r>
      <w:bookmarkEnd w:id="96"/>
    </w:p>
    <w:p>
      <w:pPr>
        <w:pStyle w:val="Caption"/>
        <w:spacing w:after="240" w:before="80"/>
        <w:jc w:val="center"/>
      </w:pPr>
      <w:r>
        <w:rPr>
          <w:rFonts w:ascii="Times New Roman" w:cs="Times New Roman" w:eastAsia="Times New Roman" w:hAnsi="Times New Roman"/>
          <w:b/>
          <w:bCs/>
        </w:rPr>
        <w:t xml:space="preserve">Table 9.</w:t>
      </w:r>
      <w:fldSimple w:instr="SEQ Table \* ARABIC \s 1">
        <w:r>
          <w:t xml:space="preserve">5</w:t>
        </w:r>
      </w:fldSimple>
      <w:r>
        <w:rPr>
          <w:rFonts w:ascii="Times New Roman" w:cs="Times New Roman" w:eastAsia="Times New Roman" w:hAnsi="Times New Roman"/>
        </w:rPr>
        <w:t xml:space="preserve">: Defects and resolutions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4"/>
        <w:gridCol w:w="2077"/>
        <w:gridCol w:w="2492"/>
        <w:gridCol w:w="1453"/>
      </w:tblGrid>
      <w:tr>
        <w:trPr>
          <w:tblHeader/>
        </w:trPr>
        <w:tc>
          <w:tcPr>
            <w:tcW w:type="dxa" w:w="22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Defect</w:t>
            </w:r>
          </w:p>
        </w:tc>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Effect</w:t>
            </w:r>
          </w:p>
        </w:tc>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Corrective action</w:t>
            </w:r>
          </w:p>
        </w:tc>
        <w:tc>
          <w:tcPr>
            <w:tcW w:type="dxa" w:w="14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Retest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Duplicate AMFI code 118778 for Growth Mid Cap and Small Cap</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Two funds showed identical NAV histories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Factsheet-NAV verification; verified codes used first</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Verified codes pass for 34/35 schemes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Same duplicate in the stored NAV table</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3,395 identical rows for the two funds remain in tsdb.fund_nav_history</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Not yet corrected; the table is not read by any engine. Action: remove the legacy code and re-run the NAV download</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Open</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used equal weights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and ARISE described different portfolios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Weights passed to the risk engine</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Integration test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over-confident</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80% ranges held 67% of outcomes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v5 calibration</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82.8% coverage</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NaN in JSON</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Client parse failure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NaN → null</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TC14</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Dashboard units run together</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“of4funds” displayed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Letter-spacing reset on unit text</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Visual check</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Rate limit per process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Limit multiplied by worker count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Redis sliding window</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Rate-limit tests</w:t>
            </w:r>
          </w:p>
        </w:tc>
      </w:tr>
    </w:tbl>
    <w:p>
      <w:pPr>
        <w:spacing w:after="120"/>
      </w:pPr>
      <w:r>
        <w:rPr>
          <w:rFonts w:ascii="Times New Roman" w:cs="Times New Roman" w:eastAsia="Times New Roman" w:hAnsi="Times New Roman"/>
        </w:rPr>
        <w:t xml:space="preserve"/>
      </w:r>
    </w:p>
    <w:p>
      <w:pPr>
        <w:pStyle w:val="Heading2"/>
        <w:keepNext/>
      </w:pPr>
      <w:bookmarkStart w:name="_Toc97" w:id="97"/>
      <w:r>
        <w:rPr>
          <w:rFonts w:ascii="Times New Roman" w:cs="Times New Roman" w:eastAsia="Times New Roman" w:hAnsi="Times New Roman"/>
        </w:rPr>
        <w:t xml:space="preserve">9.10 Validation Against KPIs</w:t>
      </w:r>
      <w:bookmarkEnd w:id="97"/>
    </w:p>
    <w:p>
      <w:pPr>
        <w:pStyle w:val="Caption"/>
        <w:spacing w:after="240" w:before="80"/>
        <w:jc w:val="center"/>
      </w:pPr>
      <w:r>
        <w:rPr>
          <w:rFonts w:ascii="Times New Roman" w:cs="Times New Roman" w:eastAsia="Times New Roman" w:hAnsi="Times New Roman"/>
          <w:b/>
          <w:bCs/>
        </w:rPr>
        <w:t xml:space="preserve">Table 9.</w:t>
      </w:r>
      <w:fldSimple w:instr="SEQ Table \* ARABIC \s 1">
        <w:r>
          <w:t xml:space="preserve">6</w:t>
        </w:r>
      </w:fldSimple>
      <w:r>
        <w:rPr>
          <w:rFonts w:ascii="Times New Roman" w:cs="Times New Roman" w:eastAsia="Times New Roman" w:hAnsi="Times New Roman"/>
        </w:rPr>
        <w:t xml:space="preserve">: Measured results against KPI targets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284"/>
        <w:gridCol w:w="2077"/>
        <w:gridCol w:w="2699"/>
        <w:gridCol w:w="1246"/>
      </w:tblGrid>
      <w:tr>
        <w:trPr>
          <w:tblHeader/>
        </w:trPr>
        <w:tc>
          <w:tcPr>
            <w:tcW w:type="dxa" w:w="22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KPI</w:t>
            </w:r>
          </w:p>
        </w:tc>
        <w:tc>
          <w:tcPr>
            <w:tcW w:type="dxa" w:w="207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Target</w:t>
            </w:r>
          </w:p>
        </w:tc>
        <w:tc>
          <w:tcPr>
            <w:tcW w:type="dxa" w:w="269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Measured</w:t>
            </w:r>
          </w:p>
        </w:tc>
        <w:tc>
          <w:tcPr>
            <w:tcW w:type="dxa" w:w="12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Status</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Response time (interactive)</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p95 &lt; 200 ms at 10 users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35.9 / 32.5 / 42.6 ms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Response time (analysis, 1 user, median)</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&lt; 1 s, Risk &lt; 3 s, ARISE &lt; 5 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44 ms / 1.18 s / 2.92 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Throughput</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 100 req/s interactive</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547 req/s (overlap, 10 users)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Reliability</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 5xx up to 50 users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 server errors</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Resource utilisation</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&lt; 2 GiB peak memory</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1.4 GiB at 10 users; 3.6 GiB at 50 users (Risk)</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 to 10 users; not met above 20</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Functional correctness</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100% of tests pass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449 of 449 run</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accuracy</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R² &gt; 0.570</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0.626</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accuracy</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QLIKE &lt; 0.421</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0.336</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VaR validity</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 90% of funds pass</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 Kupiec; 12/13 independence (95%)</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w:t>
            </w:r>
          </w:p>
        </w:tc>
      </w:tr>
      <w:tr>
        <w:trPr>
          <w:cantSplit/>
        </w:trPr>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calibration</w:t>
            </w:r>
          </w:p>
        </w:tc>
        <w:tc>
          <w:tcPr>
            <w:tcW w:type="dxa" w:w="207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75%–85% inside 80% range</w:t>
            </w:r>
          </w:p>
        </w:tc>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82.8%</w:t>
            </w:r>
          </w:p>
        </w:tc>
        <w:tc>
          <w:tcPr>
            <w:tcW w:type="dxa" w:w="124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Met</w:t>
            </w:r>
          </w:p>
        </w:tc>
      </w:tr>
    </w:tbl>
    <w:p>
      <w:pPr>
        <w:spacing w:after="120"/>
      </w:pPr>
      <w:r>
        <w:rPr>
          <w:rFonts w:ascii="Times New Roman" w:cs="Times New Roman" w:eastAsia="Times New Roman" w:hAnsi="Times New Roman"/>
        </w:rPr>
        <w:t xml:space="preserve"/>
      </w:r>
    </w:p>
    <w:p>
      <w:pPr>
        <w:pStyle w:val="Heading2"/>
        <w:keepNext/>
      </w:pPr>
      <w:bookmarkStart w:name="_Toc98" w:id="98"/>
      <w:r>
        <w:rPr>
          <w:rFonts w:ascii="Times New Roman" w:cs="Times New Roman" w:eastAsia="Times New Roman" w:hAnsi="Times New Roman"/>
        </w:rPr>
        <w:t xml:space="preserve">9.11 Limitations and Untested Scenarios</w:t>
      </w:r>
      <w:bookmarkEnd w:id="98"/>
    </w:p>
    <w:p>
      <w:pPr>
        <w:pStyle w:val="ListParagraph"/>
        <w:numPr>
          <w:ilvl w:val="0"/>
          <w:numId w:val="3"/>
        </w:numPr>
        <w:spacing w:after="60" w:line="360"/>
        <w:jc w:val="both"/>
      </w:pPr>
      <w:r>
        <w:rPr>
          <w:rFonts w:ascii="Times New Roman" w:cs="Times New Roman" w:eastAsia="Times New Roman" w:hAnsi="Times New Roman"/>
        </w:rPr>
        <w:t xml:space="preserve">ARISE at 50 concurrent users was not measured (expired benchmark tokens; Section 8.7).</w:t>
      </w:r>
    </w:p>
    <w:p>
      <w:pPr>
        <w:pStyle w:val="ListParagraph"/>
        <w:numPr>
          <w:ilvl w:val="0"/>
          <w:numId w:val="3"/>
        </w:numPr>
        <w:spacing w:after="60" w:line="360"/>
        <w:jc w:val="both"/>
      </w:pPr>
      <w:r>
        <w:rPr>
          <w:rFonts w:ascii="Times New Roman" w:cs="Times New Roman" w:eastAsia="Times New Roman" w:hAnsi="Times New Roman"/>
        </w:rPr>
        <w:t xml:space="preserve">No test on a public cloud, with multiple API replicas, or with more than 50 users.</w:t>
      </w:r>
    </w:p>
    <w:p>
      <w:pPr>
        <w:pStyle w:val="ListParagraph"/>
        <w:numPr>
          <w:ilvl w:val="0"/>
          <w:numId w:val="3"/>
        </w:numPr>
        <w:spacing w:after="60" w:line="360"/>
        <w:jc w:val="both"/>
      </w:pPr>
      <w:r>
        <w:rPr>
          <w:rFonts w:ascii="Times New Roman" w:cs="Times New Roman" w:eastAsia="Times New Roman" w:hAnsi="Times New Roman"/>
        </w:rPr>
        <w:t xml:space="preserve">The frontend has type checks, lint and a production build in CI, but no automated browser tests; screens were checked manually.</w:t>
      </w:r>
    </w:p>
    <w:p>
      <w:pPr>
        <w:pStyle w:val="ListParagraph"/>
        <w:numPr>
          <w:ilvl w:val="0"/>
          <w:numId w:val="3"/>
        </w:numPr>
        <w:spacing w:after="60" w:line="360"/>
        <w:jc w:val="both"/>
      </w:pPr>
      <w:r>
        <w:rPr>
          <w:rFonts w:ascii="Times New Roman" w:cs="Times New Roman" w:eastAsia="Times New Roman" w:hAnsi="Times New Roman"/>
        </w:rPr>
        <w:t xml:space="preserve">Live Upstox trading-hours behaviour was tested with a simulated service, not during market hours with a live account.</w:t>
      </w:r>
    </w:p>
    <w:p>
      <w:pPr>
        <w:pStyle w:val="ListParagraph"/>
        <w:numPr>
          <w:ilvl w:val="0"/>
          <w:numId w:val="3"/>
        </w:numPr>
        <w:spacing w:after="60" w:line="360"/>
        <w:jc w:val="both"/>
      </w:pPr>
      <w:r>
        <w:rPr>
          <w:rFonts w:ascii="Times New Roman" w:cs="Times New Roman" w:eastAsia="Times New Roman" w:hAnsi="Times New Roman"/>
        </w:rPr>
        <w:t xml:space="preserve">Model accuracy is limited by about two decades of Indian data; multi-year results are directional.</w:t>
      </w:r>
    </w:p>
    <w:p>
      <w:pPr>
        <w:pageBreakBefore/>
        <w:spacing w:after="120"/>
        <w:jc w:val="center"/>
      </w:pPr>
      <w:r>
        <w:rPr>
          <w:rFonts w:ascii="Times New Roman" w:cs="Times New Roman" w:eastAsia="Times New Roman" w:hAnsi="Times New Roman"/>
          <w:b/>
          <w:bCs/>
          <w:sz w:val="28"/>
          <w:szCs w:val="28"/>
        </w:rPr>
        <w:t xml:space="preserve">CHAPTER 10</w:t>
      </w:r>
    </w:p>
    <w:p>
      <w:pPr>
        <w:pStyle w:val="Heading1"/>
        <w:jc w:val="center"/>
      </w:pPr>
      <w:bookmarkStart w:name="_Toc99" w:id="99"/>
      <w:r>
        <w:rPr>
          <w:rFonts w:ascii="Times New Roman" w:cs="Times New Roman" w:eastAsia="Times New Roman" w:hAnsi="Times New Roman"/>
        </w:rPr>
        <w:t xml:space="preserve">RESULTS, DEMONSTRATION AND DISCUSSION</w:t>
      </w:r>
      <w:bookmarkEnd w:id="99"/>
    </w:p>
    <w:p>
      <w:pPr>
        <w:pStyle w:val="Heading2"/>
        <w:keepNext/>
      </w:pPr>
      <w:bookmarkStart w:name="_Toc100" w:id="100"/>
      <w:r>
        <w:rPr>
          <w:rFonts w:ascii="Times New Roman" w:cs="Times New Roman" w:eastAsia="Times New Roman" w:hAnsi="Times New Roman"/>
        </w:rPr>
        <w:t xml:space="preserve">10.1 Implemented Features</w:t>
      </w:r>
      <w:bookmarkEnd w:id="100"/>
    </w:p>
    <w:p>
      <w:pPr>
        <w:pStyle w:val="Caption"/>
        <w:spacing w:after="240" w:before="80"/>
        <w:jc w:val="center"/>
      </w:pPr>
      <w:r>
        <w:rPr>
          <w:rFonts w:ascii="Times New Roman" w:cs="Times New Roman" w:eastAsia="Times New Roman" w:hAnsi="Times New Roman"/>
          <w:b/>
          <w:bCs/>
        </w:rPr>
        <w:t xml:space="preserve">Table 10.</w:t>
      </w:r>
      <w:fldSimple w:instr="SEQ Table \* ARABIC \s 1">
        <w:r>
          <w:t xml:space="preserve">1</w:t>
        </w:r>
      </w:fldSimple>
      <w:r>
        <w:rPr>
          <w:rFonts w:ascii="Times New Roman" w:cs="Times New Roman" w:eastAsia="Times New Roman" w:hAnsi="Times New Roman"/>
        </w:rPr>
        <w:t xml:space="preserve">: Implemented features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814"/>
        <w:gridCol w:w="2492"/>
      </w:tblGrid>
      <w:tr>
        <w:trPr>
          <w:tblHeader/>
        </w:trPr>
        <w:tc>
          <w:tcPr>
            <w:tcW w:type="dxa" w:w="581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Feature</w:t>
            </w:r>
          </w:p>
        </w:tc>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Status</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Registration, login, token rotation with reuse detection, logout and logout-all</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10-field investor profile with SIP and step-up</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discovery for all 35 schemes with eligibility flags and reasons; scheme detail pages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Selection (1–20 schemes) and weight allocation</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 analysis (Jaccard, weighted, shared holdings, heatmap and network)</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v3 (learned model, Shapley explanation, N_eff, clusters, validation evidence)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 v2 (GARCH + HAR-X, FHS and EVT VaR/ES, 1 and 10 days, backtests, regime)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v5 (Monte Carlo, four strategies, stress test, calibration evidence)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Fund comparison view</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Transaction ledger, FIFO, P&amp;L, XIRR, capital-gains tax</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 (API); limited UI</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PDF reports and RM notifications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and tested</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Upstox OAuth connection and live-price feed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tested with a simulated service</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Data download and verification; model training and validation</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Implemented; results in Section 10.4</w:t>
            </w:r>
          </w:p>
        </w:tc>
      </w:tr>
      <w:tr>
        <w:trPr>
          <w:cantSplit/>
        </w:trPr>
        <w:tc>
          <w:tcPr>
            <w:tcW w:type="dxa" w:w="5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Cloud deployment, mobile app, other fund houses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Not implemented (out of scope)</w:t>
            </w:r>
          </w:p>
        </w:tc>
      </w:tr>
    </w:tbl>
    <w:p>
      <w:pPr>
        <w:spacing w:after="120"/>
      </w:pPr>
      <w:r>
        <w:rPr>
          <w:rFonts w:ascii="Times New Roman" w:cs="Times New Roman" w:eastAsia="Times New Roman" w:hAnsi="Times New Roman"/>
        </w:rPr>
        <w:t xml:space="preserve"/>
      </w:r>
    </w:p>
    <w:p>
      <w:pPr>
        <w:pStyle w:val="Heading2"/>
        <w:keepNext/>
      </w:pPr>
      <w:bookmarkStart w:name="_Toc101" w:id="101"/>
      <w:r>
        <w:rPr>
          <w:rFonts w:ascii="Times New Roman" w:cs="Times New Roman" w:eastAsia="Times New Roman" w:hAnsi="Times New Roman"/>
        </w:rPr>
        <w:t xml:space="preserve">10.2 Screenshots and Demonstration Evidence</w:t>
      </w:r>
      <w:bookmarkEnd w:id="101"/>
    </w:p>
    <w:p>
      <w:pPr>
        <w:keepNext/>
        <w:spacing w:before="120"/>
        <w:jc w:val="center"/>
      </w:pPr>
      <w:r>
        <w:drawing>
          <wp:inline distT="0" distB="0" distL="0" distR="0">
            <wp:extent cx="5334000" cy="3333750"/>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33375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1</w:t>
        </w:r>
      </w:fldSimple>
      <w:r>
        <w:rPr>
          <w:rFonts w:ascii="Times New Roman" w:cs="Times New Roman" w:eastAsia="Times New Roman" w:hAnsi="Times New Roman"/>
        </w:rPr>
        <w:t xml:space="preserve">: Landing page with the 3D “N”</w:t>
      </w:r>
    </w:p>
    <w:p>
      <w:pPr>
        <w:keepNext/>
        <w:spacing w:before="120"/>
        <w:jc w:val="center"/>
      </w:pPr>
      <w:r>
        <w:drawing>
          <wp:inline distT="0" distB="0" distL="0" distR="0">
            <wp:extent cx="5334000" cy="3352800"/>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3528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2</w:t>
        </w:r>
      </w:fldSimple>
      <w:r>
        <w:rPr>
          <w:rFonts w:ascii="Times New Roman" w:cs="Times New Roman" w:eastAsia="Times New Roman" w:hAnsi="Times New Roman"/>
        </w:rPr>
        <w:t xml:space="preserve">: Investor dashboard</w:t>
      </w:r>
    </w:p>
    <w:p>
      <w:pPr>
        <w:keepNext/>
        <w:spacing w:before="120"/>
        <w:jc w:val="center"/>
      </w:pPr>
      <w:r>
        <w:drawing>
          <wp:inline distT="0" distB="0" distL="0" distR="0">
            <wp:extent cx="5334000" cy="3352800"/>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3528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3</w:t>
        </w:r>
      </w:fldSimple>
      <w:r>
        <w:rPr>
          <w:rFonts w:ascii="Times New Roman" w:cs="Times New Roman" w:eastAsia="Times New Roman" w:hAnsi="Times New Roman"/>
        </w:rPr>
        <w:t xml:space="preserve">: Investor profile wizard</w:t>
      </w:r>
    </w:p>
    <w:p>
      <w:pPr>
        <w:keepNext/>
        <w:spacing w:before="120"/>
        <w:jc w:val="center"/>
      </w:pPr>
      <w:r>
        <w:drawing>
          <wp:inline distT="0" distB="0" distL="0" distR="0">
            <wp:extent cx="5334000" cy="3352800"/>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33528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4</w:t>
        </w:r>
      </w:fldSimple>
      <w:r>
        <w:rPr>
          <w:rFonts w:ascii="Times New Roman" w:cs="Times New Roman" w:eastAsia="Times New Roman" w:hAnsi="Times New Roman"/>
        </w:rPr>
        <w:t xml:space="preserve">: Scheme discovery with eligibility flags</w:t>
      </w:r>
    </w:p>
    <w:p>
      <w:pPr>
        <w:keepNext/>
        <w:spacing w:before="120"/>
        <w:jc w:val="center"/>
      </w:pPr>
      <w:r>
        <w:drawing>
          <wp:inline distT="0" distB="0" distL="0" distR="0">
            <wp:extent cx="5334000" cy="3352800"/>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3528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5</w:t>
        </w:r>
      </w:fldSimple>
      <w:r>
        <w:rPr>
          <w:rFonts w:ascii="Times New Roman" w:cs="Times New Roman" w:eastAsia="Times New Roman" w:hAnsi="Times New Roman"/>
        </w:rPr>
        <w:t xml:space="preserve">: Overlap analysis</w:t>
      </w:r>
    </w:p>
    <w:p>
      <w:pPr>
        <w:keepNext/>
        <w:spacing w:before="120"/>
        <w:jc w:val="center"/>
      </w:pPr>
      <w:r>
        <w:drawing>
          <wp:inline distT="0" distB="0" distL="0" distR="0">
            <wp:extent cx="5334000" cy="3352800"/>
            <wp:effectExtent t="0" r="0" b="0" l="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334000" cy="33528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6</w:t>
        </w:r>
      </w:fldSimple>
      <w:r>
        <w:rPr>
          <w:rFonts w:ascii="Times New Roman" w:cs="Times New Roman" w:eastAsia="Times New Roman" w:hAnsi="Times New Roman"/>
        </w:rPr>
        <w:t xml:space="preserve">: PLOS v3: effective number of funds and redundancy map</w:t>
      </w:r>
    </w:p>
    <w:p>
      <w:pPr>
        <w:keepNext/>
        <w:spacing w:before="120"/>
        <w:jc w:val="center"/>
      </w:pPr>
      <w:r>
        <w:drawing>
          <wp:inline distT="0" distB="0" distL="0" distR="0">
            <wp:extent cx="5334000" cy="3352800"/>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334000" cy="335280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7</w:t>
        </w:r>
      </w:fldSimple>
      <w:r>
        <w:rPr>
          <w:rFonts w:ascii="Times New Roman" w:cs="Times New Roman" w:eastAsia="Times New Roman" w:hAnsi="Times New Roman"/>
        </w:rPr>
        <w:t xml:space="preserve">: PLOS v3: validation evidence shown to the investor</w:t>
      </w:r>
    </w:p>
    <w:p>
      <w:pPr>
        <w:keepNext/>
        <w:spacing w:before="120"/>
        <w:jc w:val="center"/>
      </w:pPr>
      <w:r>
        <w:drawing>
          <wp:inline distT="0" distB="0" distL="0" distR="0">
            <wp:extent cx="5334000" cy="3333750"/>
            <wp:effectExtent t="0" r="0" b="0" l="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34000" cy="333375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8</w:t>
        </w:r>
      </w:fldSimple>
      <w:r>
        <w:rPr>
          <w:rFonts w:ascii="Times New Roman" w:cs="Times New Roman" w:eastAsia="Times New Roman" w:hAnsi="Times New Roman"/>
        </w:rPr>
        <w:t xml:space="preserve">: Risk v2: conditional VaR/ES with validation evidence</w:t>
      </w:r>
    </w:p>
    <w:p>
      <w:pPr>
        <w:keepNext/>
        <w:spacing w:before="120"/>
        <w:jc w:val="center"/>
      </w:pPr>
      <w:r>
        <w:drawing>
          <wp:inline distT="0" distB="0" distL="0" distR="0">
            <wp:extent cx="5334000" cy="3333750"/>
            <wp:effectExtent t="0" r="0" b="0" l="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34000" cy="333375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9</w:t>
        </w:r>
      </w:fldSimple>
      <w:r>
        <w:rPr>
          <w:rFonts w:ascii="Times New Roman" w:cs="Times New Roman" w:eastAsia="Times New Roman" w:hAnsi="Times New Roman"/>
        </w:rPr>
        <w:t xml:space="preserve">: ARISE: retirement success probability and withdrawal path</w:t>
      </w:r>
    </w:p>
    <w:p>
      <w:pPr>
        <w:keepNext/>
        <w:spacing w:before="120"/>
        <w:jc w:val="center"/>
      </w:pPr>
      <w:r>
        <w:drawing>
          <wp:inline distT="0" distB="0" distL="0" distR="0">
            <wp:extent cx="5334000" cy="3333750"/>
            <wp:effectExtent t="0" r="0" b="0" l="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0" cy="3333750"/>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10</w:t>
        </w:r>
      </w:fldSimple>
      <w:r>
        <w:rPr>
          <w:rFonts w:ascii="Times New Roman" w:cs="Times New Roman" w:eastAsia="Times New Roman" w:hAnsi="Times New Roman"/>
        </w:rPr>
        <w:t xml:space="preserve">: ARISE: calibration evidence shown to the investor</w:t>
      </w:r>
    </w:p>
    <w:p>
      <w:pPr>
        <w:pStyle w:val="Heading2"/>
        <w:keepNext/>
      </w:pPr>
      <w:bookmarkStart w:name="_Toc102" w:id="102"/>
      <w:r>
        <w:rPr>
          <w:rFonts w:ascii="Times New Roman" w:cs="Times New Roman" w:eastAsia="Times New Roman" w:hAnsi="Times New Roman"/>
        </w:rPr>
        <w:t xml:space="preserve">10.3 Functional Results</w:t>
      </w:r>
      <w:bookmarkEnd w:id="102"/>
    </w:p>
    <w:p>
      <w:pPr>
        <w:spacing w:after="120" w:line="360"/>
        <w:jc w:val="both"/>
      </w:pPr>
      <w:r>
        <w:rPr>
          <w:rFonts w:ascii="Times New Roman" w:cs="Times New Roman" w:eastAsia="Times New Roman" w:hAnsi="Times New Roman"/>
        </w:rPr>
        <w:t xml:space="preserve">Every functional requirement FR-01 to FR-12 is met and verified by at least one automated test (Table 9.2); all 449 tests pass. For the sample portfolio used in the screenshots (Large Cap, Quant, Flexi Cap and Corporate Bond), the system shows that the three equity funds form one redundancy cluster and that the four funds behave like about 1.2 independent funds; that the portfolio’s VaR and ES are reported in rupees with their backtest results; and that the retirement plan has an estimated success probability of 75.3% (95% range 72.6–77.9%). Every fund in that portfolio is measured on its own verified NAV history, and the dashboard says so.</w:t>
      </w:r>
    </w:p>
    <w:p>
      <w:pPr>
        <w:pStyle w:val="Heading2"/>
        <w:keepNext/>
      </w:pPr>
      <w:bookmarkStart w:name="_Toc103" w:id="103"/>
      <w:r>
        <w:rPr>
          <w:rFonts w:ascii="Times New Roman" w:cs="Times New Roman" w:eastAsia="Times New Roman" w:hAnsi="Times New Roman"/>
        </w:rPr>
        <w:t xml:space="preserve">10.4 Performance Results</w:t>
      </w:r>
      <w:bookmarkEnd w:id="103"/>
    </w:p>
    <w:p>
      <w:pPr>
        <w:spacing w:after="120" w:line="360"/>
        <w:jc w:val="both"/>
      </w:pPr>
      <w:r>
        <w:rPr>
          <w:rFonts w:ascii="Times New Roman" w:cs="Times New Roman" w:eastAsia="Times New Roman" w:hAnsi="Times New Roman"/>
          <w:b/>
          <w:bCs/>
        </w:rPr>
        <w:t xml:space="preserve">System performance</w:t>
      </w:r>
      <w:r>
        <w:rPr>
          <w:rFonts w:ascii="Times New Roman" w:cs="Times New Roman" w:eastAsia="Times New Roman" w:hAnsi="Times New Roman"/>
        </w:rPr>
        <w:t xml:space="preserve"> (Chapter 8): at 10 concurrent users the interactive endpoints answer within 36 ms at the 95th percentile at over 500 requests per second; a single user’s PLOS, Risk and ARISE requests take about 0.04 s, 1.2 s and 2.9 s; no server errors occurred up to 50 users; Risk and ARISE are CPU-bound beyond about 5 simultaneous users.</w:t>
      </w:r>
    </w:p>
    <w:p>
      <w:pPr>
        <w:spacing w:after="120" w:line="360"/>
        <w:jc w:val="both"/>
      </w:pPr>
      <w:r>
        <w:rPr>
          <w:rFonts w:ascii="Times New Roman" w:cs="Times New Roman" w:eastAsia="Times New Roman" w:hAnsi="Times New Roman"/>
          <w:b/>
          <w:bCs/>
        </w:rPr>
        <w:t xml:space="preserve">Model performance.</w:t>
      </w:r>
      <w:r>
        <w:rPr>
          <w:rFonts w:ascii="Times New Roman" w:cs="Times New Roman" w:eastAsia="Times New Roman" w:hAnsi="Times New Roman"/>
        </w:rPr>
        <w:t xml:space="preserve"> Each engine’s model was compared out of sample with the model it replaced.</w:t>
      </w:r>
    </w:p>
    <w:p>
      <w:pPr>
        <w:pStyle w:val="Caption"/>
        <w:spacing w:after="240" w:before="80"/>
        <w:jc w:val="center"/>
      </w:pPr>
      <w:r>
        <w:rPr>
          <w:rFonts w:ascii="Times New Roman" w:cs="Times New Roman" w:eastAsia="Times New Roman" w:hAnsi="Times New Roman"/>
          <w:b/>
          <w:bCs/>
        </w:rPr>
        <w:t xml:space="preserve">Table 10.</w:t>
      </w:r>
      <w:fldSimple w:instr="SEQ Table \* ARABIC \s 1">
        <w:r>
          <w:t xml:space="preserve">2</w:t>
        </w:r>
      </w:fldSimple>
      <w:r>
        <w:rPr>
          <w:rFonts w:ascii="Times New Roman" w:cs="Times New Roman" w:eastAsia="Times New Roman" w:hAnsi="Times New Roman"/>
        </w:rPr>
        <w:t xml:space="preserve">: PLOS model comparison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738"/>
        <w:gridCol w:w="2284"/>
        <w:gridCol w:w="2284"/>
      </w:tblGrid>
      <w:tr>
        <w:trPr>
          <w:tblHeader/>
        </w:trPr>
        <w:tc>
          <w:tcPr>
            <w:tcW w:type="dxa" w:w="3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Model</w:t>
            </w:r>
          </w:p>
        </w:tc>
        <w:tc>
          <w:tcPr>
            <w:tcW w:type="dxa" w:w="22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Forward-in-time R² (2022–2025)</w:t>
            </w:r>
          </w:p>
        </w:tc>
        <w:tc>
          <w:tcPr>
            <w:tcW w:type="dxa" w:w="228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Leave-one-fund-out R²</w:t>
            </w:r>
          </w:p>
        </w:tc>
      </w:tr>
      <w:tr>
        <w:trPr>
          <w:cantSplit/>
        </w:trPr>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 v1 (hand-set weights)</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0.570</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0.666</w:t>
            </w:r>
          </w:p>
        </w:tc>
      </w:tr>
      <w:tr>
        <w:trPr>
          <w:cantSplit/>
        </w:trPr>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v1 weights scored in Fisher-z</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0.629</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0.693</w:t>
            </w:r>
          </w:p>
        </w:tc>
      </w:tr>
      <w:tr>
        <w:trPr>
          <w:cantSplit/>
        </w:trPr>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PLOS v3, learned and shrunk (adopted)</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0.626</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0.701</w:t>
            </w:r>
          </w:p>
        </w:tc>
      </w:tr>
      <w:tr>
        <w:trPr>
          <w:cantSplit/>
        </w:trPr>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Gradient-boosted trees (rejected)</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0.575</w:t>
            </w:r>
          </w:p>
        </w:tc>
        <w:tc>
          <w:tcPr>
            <w:tcW w:type="dxa" w:w="228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0.709</w:t>
            </w:r>
          </w:p>
        </w:tc>
      </w:tr>
    </w:tbl>
    <w:p>
      <w:pPr>
        <w:spacing w:after="120"/>
      </w:pPr>
      <w:r>
        <w:rPr>
          <w:rFonts w:ascii="Times New Roman" w:cs="Times New Roman" w:eastAsia="Times New Roman" w:hAnsi="Times New Roman"/>
        </w:rPr>
        <w:t xml:space="preserve"/>
      </w:r>
    </w:p>
    <w:p>
      <w:pPr>
        <w:keepNext/>
        <w:spacing w:before="120"/>
        <w:jc w:val="center"/>
      </w:pPr>
      <w:r>
        <w:drawing>
          <wp:inline distT="0" distB="0" distL="0" distR="0">
            <wp:extent cx="4572000" cy="2524125"/>
            <wp:effectExtent t="0" r="0" b="0" l="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572000" cy="25241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11</w:t>
        </w:r>
      </w:fldSimple>
      <w:r>
        <w:rPr>
          <w:rFonts w:ascii="Times New Roman" w:cs="Times New Roman" w:eastAsia="Times New Roman" w:hAnsi="Times New Roman"/>
        </w:rPr>
        <w:t xml:space="preserve">: PLOS forward-in-time accuracy</w:t>
      </w:r>
    </w:p>
    <w:p>
      <w:pPr>
        <w:pStyle w:val="Caption"/>
        <w:spacing w:after="240" w:before="80"/>
        <w:jc w:val="center"/>
      </w:pPr>
      <w:r>
        <w:rPr>
          <w:rFonts w:ascii="Times New Roman" w:cs="Times New Roman" w:eastAsia="Times New Roman" w:hAnsi="Times New Roman"/>
          <w:b/>
          <w:bCs/>
        </w:rPr>
        <w:t xml:space="preserve">Table 10.</w:t>
      </w:r>
      <w:fldSimple w:instr="SEQ Table \* ARABIC \s 1">
        <w:r>
          <w:t xml:space="preserve">3</w:t>
        </w:r>
      </w:fldSimple>
      <w:r>
        <w:rPr>
          <w:rFonts w:ascii="Times New Roman" w:cs="Times New Roman" w:eastAsia="Times New Roman" w:hAnsi="Times New Roman"/>
        </w:rPr>
        <w:t xml:space="preserve">: Volatility forecast accuracy, 2013–2026 out of sample (lower is better)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568"/>
        <w:gridCol w:w="1869"/>
        <w:gridCol w:w="1869"/>
      </w:tblGrid>
      <w:tr>
        <w:trPr>
          <w:tblHeader/>
        </w:trPr>
        <w:tc>
          <w:tcPr>
            <w:tcW w:type="dxa" w:w="456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Volatility model</w:t>
            </w:r>
          </w:p>
        </w:tc>
        <w:tc>
          <w:tcPr>
            <w:tcW w:type="dxa" w:w="18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QLIKE, 1 day</w:t>
            </w:r>
          </w:p>
        </w:tc>
        <w:tc>
          <w:tcPr>
            <w:tcW w:type="dxa" w:w="18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QLIKE, 5 days</w:t>
            </w:r>
          </w:p>
        </w:tc>
      </w:tr>
      <w:tr>
        <w:trPr>
          <w:cantSplit/>
        </w:trPr>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GARCH(1,1), Student-t (previous)</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0.421</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0.268</w:t>
            </w:r>
          </w:p>
        </w:tc>
      </w:tr>
      <w:tr>
        <w:trPr>
          <w:cantSplit/>
        </w:trPr>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GJR-GARCH</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0.406</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0.258</w:t>
            </w:r>
          </w:p>
        </w:tc>
      </w:tr>
      <w:tr>
        <w:trPr>
          <w:cantSplit/>
        </w:trPr>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HAR</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0.382</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0.251</w:t>
            </w:r>
          </w:p>
        </w:tc>
      </w:tr>
      <w:tr>
        <w:trPr>
          <w:cantSplit/>
        </w:trPr>
        <w:tc>
          <w:tcPr>
            <w:tcW w:type="dxa" w:w="456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HAR-X with India VIX, S&amp;P 500, USD/INR, crude (adopted)</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0.336</w:t>
            </w:r>
          </w:p>
        </w:tc>
        <w:tc>
          <w:tcPr>
            <w:tcW w:type="dxa" w:w="18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0.206</w:t>
            </w:r>
          </w:p>
        </w:tc>
      </w:tr>
    </w:tbl>
    <w:p>
      <w:pPr>
        <w:spacing w:after="120"/>
      </w:pPr>
      <w:r>
        <w:rPr>
          <w:rFonts w:ascii="Times New Roman" w:cs="Times New Roman" w:eastAsia="Times New Roman" w:hAnsi="Times New Roman"/>
        </w:rPr>
        <w:t xml:space="preserve"/>
      </w:r>
    </w:p>
    <w:p>
      <w:pPr>
        <w:keepNext/>
        <w:spacing w:before="120"/>
        <w:jc w:val="center"/>
      </w:pPr>
      <w:r>
        <w:drawing>
          <wp:inline distT="0" distB="0" distL="0" distR="0">
            <wp:extent cx="4572000" cy="2486025"/>
            <wp:effectExtent t="0" r="0" b="0" l="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24860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12</w:t>
        </w:r>
      </w:fldSimple>
      <w:r>
        <w:rPr>
          <w:rFonts w:ascii="Times New Roman" w:cs="Times New Roman" w:eastAsia="Times New Roman" w:hAnsi="Times New Roman"/>
        </w:rPr>
        <w:t xml:space="preserve">: One-day volatility forecast error by model</w:t>
      </w:r>
    </w:p>
    <w:p>
      <w:pPr>
        <w:spacing w:after="120" w:line="360"/>
        <w:jc w:val="both"/>
      </w:pPr>
      <w:r>
        <w:rPr>
          <w:rFonts w:ascii="Times New Roman" w:cs="Times New Roman" w:eastAsia="Times New Roman" w:hAnsi="Times New Roman"/>
        </w:rPr>
        <w:t xml:space="preserve">The Diebold–Mariano test confirms that HAR-X is significantly more accurate than GARCH (statistic 5.8 at one day and 5.0 at five days; p &lt; 0.00001 over about 2,400 days). A gradient-boosted HAR-X scored 0.364 and was not adopted.</w:t>
      </w:r>
    </w:p>
    <w:p>
      <w:pPr>
        <w:pStyle w:val="Caption"/>
        <w:spacing w:after="240" w:before="80"/>
        <w:jc w:val="center"/>
      </w:pPr>
      <w:r>
        <w:rPr>
          <w:rFonts w:ascii="Times New Roman" w:cs="Times New Roman" w:eastAsia="Times New Roman" w:hAnsi="Times New Roman"/>
          <w:b/>
          <w:bCs/>
        </w:rPr>
        <w:t xml:space="preserve">Table 10.</w:t>
      </w:r>
      <w:fldSimple w:instr="SEQ Table \* ARABIC \s 1">
        <w:r>
          <w:t xml:space="preserve">4</w:t>
        </w:r>
      </w:fldSimple>
      <w:r>
        <w:rPr>
          <w:rFonts w:ascii="Times New Roman" w:cs="Times New Roman" w:eastAsia="Times New Roman" w:hAnsi="Times New Roman"/>
        </w:rPr>
        <w:t xml:space="preserve">: VaR/ES backtest on 13 equity funds, 21,450 fund-days (FZ0: lower is better)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39"/>
        <w:gridCol w:w="810"/>
        <w:gridCol w:w="1114"/>
        <w:gridCol w:w="1114"/>
        <w:gridCol w:w="1317"/>
        <w:gridCol w:w="912"/>
      </w:tblGrid>
      <w:tr>
        <w:trPr>
          <w:tblHeader/>
        </w:trPr>
        <w:tc>
          <w:tcPr>
            <w:tcW w:type="dxa" w:w="303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Method</w:t>
            </w:r>
          </w:p>
        </w:tc>
        <w:tc>
          <w:tcPr>
            <w:tcW w:type="dxa" w:w="8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Level</w:t>
            </w:r>
          </w:p>
        </w:tc>
        <w:tc>
          <w:tcPr>
            <w:tcW w:type="dxa" w:w="111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Breach rate</w:t>
            </w:r>
          </w:p>
        </w:tc>
        <w:tc>
          <w:tcPr>
            <w:tcW w:type="dxa" w:w="111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Kupiec pass</w:t>
            </w:r>
          </w:p>
        </w:tc>
        <w:tc>
          <w:tcPr>
            <w:tcW w:type="dxa" w:w="1317"/>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Independence pass</w:t>
            </w:r>
          </w:p>
        </w:tc>
        <w:tc>
          <w:tcPr>
            <w:tcW w:type="dxa" w:w="91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FZ0</w:t>
            </w:r>
          </w:p>
        </w:tc>
      </w:tr>
      <w:tr>
        <w:trPr>
          <w:cantSplit/>
        </w:trPr>
        <w:tc>
          <w:tcPr>
            <w:tcW w:type="dxa" w:w="3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Fund GARCH-FHS (previous)</w:t>
            </w:r>
          </w:p>
        </w:tc>
        <w:tc>
          <w:tcPr>
            <w:tcW w:type="dxa" w:w="8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95%</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5.08%</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13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9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-3.754</w:t>
            </w:r>
          </w:p>
        </w:tc>
      </w:tr>
      <w:tr>
        <w:trPr>
          <w:cantSplit/>
        </w:trPr>
        <w:tc>
          <w:tcPr>
            <w:tcW w:type="dxa" w:w="3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HAR-X mapped by beta</w:t>
            </w:r>
          </w:p>
        </w:tc>
        <w:tc>
          <w:tcPr>
            <w:tcW w:type="dxa" w:w="8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95%</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5.08%</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13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10/13</w:t>
            </w:r>
          </w:p>
        </w:tc>
        <w:tc>
          <w:tcPr>
            <w:tcW w:type="dxa" w:w="9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-3.786</w:t>
            </w:r>
          </w:p>
        </w:tc>
      </w:tr>
      <w:tr>
        <w:trPr>
          <w:cantSplit/>
        </w:trPr>
        <w:tc>
          <w:tcPr>
            <w:tcW w:type="dxa" w:w="3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Blend (adopted)</w:t>
            </w:r>
          </w:p>
        </w:tc>
        <w:tc>
          <w:tcPr>
            <w:tcW w:type="dxa" w:w="8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95%</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5.12%</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13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12/13</w:t>
            </w:r>
          </w:p>
        </w:tc>
        <w:tc>
          <w:tcPr>
            <w:tcW w:type="dxa" w:w="9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-3.780</w:t>
            </w:r>
          </w:p>
        </w:tc>
      </w:tr>
      <w:tr>
        <w:trPr>
          <w:cantSplit/>
        </w:trPr>
        <w:tc>
          <w:tcPr>
            <w:tcW w:type="dxa" w:w="3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Fund GARCH-FHS (previous)</w:t>
            </w:r>
          </w:p>
        </w:tc>
        <w:tc>
          <w:tcPr>
            <w:tcW w:type="dxa" w:w="8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99%</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1.06%</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13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9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-3.287</w:t>
            </w:r>
          </w:p>
        </w:tc>
      </w:tr>
      <w:tr>
        <w:trPr>
          <w:cantSplit/>
        </w:trPr>
        <w:tc>
          <w:tcPr>
            <w:tcW w:type="dxa" w:w="3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HAR-X mapped by beta</w:t>
            </w:r>
          </w:p>
        </w:tc>
        <w:tc>
          <w:tcPr>
            <w:tcW w:type="dxa" w:w="8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99%</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1.10%</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13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9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-3.370</w:t>
            </w:r>
          </w:p>
        </w:tc>
      </w:tr>
      <w:tr>
        <w:trPr>
          <w:cantSplit/>
        </w:trPr>
        <w:tc>
          <w:tcPr>
            <w:tcW w:type="dxa" w:w="303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Blend with EVT tail (adopted)</w:t>
            </w:r>
          </w:p>
        </w:tc>
        <w:tc>
          <w:tcPr>
            <w:tcW w:type="dxa" w:w="8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99%</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1.03%</w:t>
            </w:r>
          </w:p>
        </w:tc>
        <w:tc>
          <w:tcPr>
            <w:tcW w:type="dxa" w:w="11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1317"/>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w:t>
            </w:r>
          </w:p>
        </w:tc>
        <w:tc>
          <w:tcPr>
            <w:tcW w:type="dxa" w:w="91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-3.343</w:t>
            </w:r>
          </w:p>
        </w:tc>
      </w:tr>
    </w:tbl>
    <w:p>
      <w:pPr>
        <w:spacing w:after="120"/>
      </w:pPr>
      <w:r>
        <w:rPr>
          <w:rFonts w:ascii="Times New Roman" w:cs="Times New Roman" w:eastAsia="Times New Roman" w:hAnsi="Times New Roman"/>
        </w:rPr>
        <w:t xml:space="preserve"/>
      </w:r>
    </w:p>
    <w:p>
      <w:pPr>
        <w:pStyle w:val="Caption"/>
        <w:spacing w:after="240" w:before="80"/>
        <w:jc w:val="center"/>
      </w:pPr>
      <w:r>
        <w:rPr>
          <w:rFonts w:ascii="Times New Roman" w:cs="Times New Roman" w:eastAsia="Times New Roman" w:hAnsi="Times New Roman"/>
          <w:b/>
          <w:bCs/>
        </w:rPr>
        <w:t xml:space="preserve">Table 10.</w:t>
      </w:r>
      <w:fldSimple w:instr="SEQ Table \* ARABIC \s 1">
        <w:r>
          <w:t xml:space="preserve">5</w:t>
        </w:r>
      </w:fldSimple>
      <w:r>
        <w:rPr>
          <w:rFonts w:ascii="Times New Roman" w:cs="Times New Roman" w:eastAsia="Times New Roman" w:hAnsi="Times New Roman"/>
        </w:rPr>
        <w:t xml:space="preserve">: ARISE calibration on 390 real three-year fund outcomes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1454"/>
        <w:gridCol w:w="1454"/>
        <w:gridCol w:w="1245"/>
      </w:tblGrid>
      <w:tr>
        <w:trPr>
          <w:tblHeader/>
        </w:trPr>
        <w:tc>
          <w:tcPr>
            <w:tcW w:type="dxa" w:w="41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Model</w:t>
            </w:r>
          </w:p>
        </w:tc>
        <w:tc>
          <w:tcPr>
            <w:tcW w:type="dxa" w:w="145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Inside 80% range</w:t>
            </w:r>
          </w:p>
        </w:tc>
        <w:tc>
          <w:tcPr>
            <w:tcW w:type="dxa" w:w="145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Inside 50% range</w:t>
            </w:r>
          </w:p>
        </w:tc>
        <w:tc>
          <w:tcPr>
            <w:tcW w:type="dxa" w:w="124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CRPS</w:t>
            </w:r>
          </w:p>
        </w:tc>
      </w:tr>
      <w:tr>
        <w:trPr>
          <w:cantSplit/>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 v4: AR(1) φ = -0.15, trailing volatility</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67.4%</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37.4%</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0.1896</w:t>
            </w:r>
          </w:p>
        </w:tc>
      </w:tr>
      <w:tr>
        <w:trPr>
          <w:cantSplit/>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v5: φ = 0, volatility blended with long run</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81.8%</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47.4%</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0.1878</w:t>
            </w:r>
          </w:p>
        </w:tc>
      </w:tr>
      <w:tr>
        <w:trPr>
          <w:cantSplit/>
        </w:trPr>
        <w:tc>
          <w:tcPr>
            <w:tcW w:type="dxa" w:w="41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v5 + dividend-yield prior (adopted)</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82.8%</w:t>
            </w:r>
          </w:p>
        </w:tc>
        <w:tc>
          <w:tcPr>
            <w:tcW w:type="dxa" w:w="145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47.2%</w:t>
            </w:r>
          </w:p>
        </w:tc>
        <w:tc>
          <w:tcPr>
            <w:tcW w:type="dxa" w:w="124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0.1883</w:t>
            </w:r>
          </w:p>
        </w:tc>
      </w:tr>
    </w:tbl>
    <w:p>
      <w:pPr>
        <w:spacing w:after="120"/>
      </w:pPr>
      <w:r>
        <w:rPr>
          <w:rFonts w:ascii="Times New Roman" w:cs="Times New Roman" w:eastAsia="Times New Roman" w:hAnsi="Times New Roman"/>
        </w:rPr>
        <w:t xml:space="preserve"/>
      </w:r>
    </w:p>
    <w:p>
      <w:pPr>
        <w:keepNext/>
        <w:spacing w:before="120"/>
        <w:jc w:val="center"/>
      </w:pPr>
      <w:r>
        <w:drawing>
          <wp:inline distT="0" distB="0" distL="0" distR="0">
            <wp:extent cx="4572000" cy="2333625"/>
            <wp:effectExtent t="0" r="0" b="0" l="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2333625"/>
                    </a:xfrm>
                    <a:prstGeom prst="rect">
                      <a:avLst/>
                    </a:prstGeom>
                  </pic:spPr>
                </pic:pic>
              </a:graphicData>
            </a:graphic>
          </wp:inline>
        </w:drawing>
      </w:r>
    </w:p>
    <w:p>
      <w:pPr>
        <w:pStyle w:val="Caption"/>
        <w:spacing w:after="240" w:before="80"/>
        <w:jc w:val="center"/>
      </w:pPr>
      <w:r>
        <w:rPr>
          <w:rFonts w:ascii="Times New Roman" w:cs="Times New Roman" w:eastAsia="Times New Roman" w:hAnsi="Times New Roman"/>
          <w:b/>
          <w:bCs/>
        </w:rPr>
        <w:t xml:space="preserve">Figure 10.</w:t>
      </w:r>
      <w:fldSimple w:instr="SEQ Figure \* ARABIC \s 1">
        <w:r>
          <w:t xml:space="preserve">13</w:t>
        </w:r>
      </w:fldSimple>
      <w:r>
        <w:rPr>
          <w:rFonts w:ascii="Times New Roman" w:cs="Times New Roman" w:eastAsia="Times New Roman" w:hAnsi="Times New Roman"/>
        </w:rPr>
        <w:t xml:space="preserve">: Share of real outcomes inside ARISE’s 80% range</w:t>
      </w:r>
    </w:p>
    <w:p>
      <w:pPr>
        <w:pStyle w:val="Caption"/>
        <w:spacing w:after="240" w:before="80"/>
        <w:jc w:val="center"/>
      </w:pPr>
      <w:r>
        <w:rPr>
          <w:rFonts w:ascii="Times New Roman" w:cs="Times New Roman" w:eastAsia="Times New Roman" w:hAnsi="Times New Roman"/>
          <w:b/>
          <w:bCs/>
        </w:rPr>
        <w:t xml:space="preserve">Table 10.</w:t>
      </w:r>
      <w:fldSimple w:instr="SEQ Table \* ARABIC \s 1">
        <w:r>
          <w:t xml:space="preserve">6</w:t>
        </w:r>
      </w:fldSimple>
      <w:r>
        <w:rPr>
          <w:rFonts w:ascii="Times New Roman" w:cs="Times New Roman" w:eastAsia="Times New Roman" w:hAnsi="Times New Roman"/>
        </w:rPr>
        <w:t xml:space="preserve">: Approaches tested and rejected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99"/>
        <w:gridCol w:w="1038"/>
        <w:gridCol w:w="4569"/>
      </w:tblGrid>
      <w:tr>
        <w:trPr>
          <w:tblHeader/>
        </w:trPr>
        <w:tc>
          <w:tcPr>
            <w:tcW w:type="dxa" w:w="269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Approach</w:t>
            </w:r>
          </w:p>
        </w:tc>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Engine</w:t>
            </w:r>
          </w:p>
        </w:tc>
        <w:tc>
          <w:tcPr>
            <w:tcW w:type="dxa" w:w="456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Reason for rejection</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Gradient-boosted trees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Best cross-sectionally (R² 0.709) but worst forward in time (0.575)</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Gradient-boosted HAR-X</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QLIKE 0.364 vs 0.336 for linear HAR-X</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Regime-switching models (HMM)</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Lost to the Student-t over 21 rolling forecasts; kept as a stress test</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Joint equity–inflation bootstrap</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No equity–inflation link in Indian data, 2003–2025 (r = -0.15, p = 0.49)</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Minimum-torsion effective bets</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Reports 2.9 funds where 1.7 is correct</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Earnings-yield valuation signal</w:t>
            </w:r>
          </w:p>
        </w:tc>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w:t>
            </w:r>
          </w:p>
        </w:tc>
        <w:tc>
          <w:tcPr>
            <w:tcW w:type="dxa" w:w="4569"/>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Out-of-sample R² -0.52 at three years</w:t>
            </w:r>
          </w:p>
        </w:tc>
      </w:tr>
    </w:tbl>
    <w:p>
      <w:pPr>
        <w:spacing w:after="120"/>
      </w:pPr>
      <w:r>
        <w:rPr>
          <w:rFonts w:ascii="Times New Roman" w:cs="Times New Roman" w:eastAsia="Times New Roman" w:hAnsi="Times New Roman"/>
        </w:rPr>
        <w:t xml:space="preserve"/>
      </w:r>
    </w:p>
    <w:p>
      <w:pPr>
        <w:pStyle w:val="Heading2"/>
        <w:keepNext/>
      </w:pPr>
      <w:bookmarkStart w:name="_Toc104" w:id="104"/>
      <w:r>
        <w:rPr>
          <w:rFonts w:ascii="Times New Roman" w:cs="Times New Roman" w:eastAsia="Times New Roman" w:hAnsi="Times New Roman"/>
        </w:rPr>
        <w:t xml:space="preserve">10.5 Comparison with Existing Systems</w:t>
      </w:r>
      <w:bookmarkEnd w:id="104"/>
    </w:p>
    <w:p>
      <w:pPr>
        <w:spacing w:after="120" w:line="360"/>
        <w:jc w:val="both"/>
      </w:pPr>
      <w:r>
        <w:rPr>
          <w:rFonts w:ascii="Times New Roman" w:cs="Times New Roman" w:eastAsia="Times New Roman" w:hAnsi="Times New Roman"/>
        </w:rPr>
        <w:t xml:space="preserve">Using the criteria of Table 2.2, the proposed system is the only one of the compared approaches that measures overlap by money as well as by names for up to 20 funds at once, predicts co-movement with a validated model, reports backtested VaR/ES that reacts to current volatility, projects retirement as a calibrated probability range, and shows the evidence for each model on screen. It remains free and open source. Its disadvantages relative to commercial tools are its single fund house, the absence of a mobile app and its tested capacity of tens rather than thousands of simultaneous users.</w:t>
      </w:r>
    </w:p>
    <w:p>
      <w:pPr>
        <w:pStyle w:val="Heading2"/>
        <w:keepNext/>
      </w:pPr>
      <w:bookmarkStart w:name="_Toc105" w:id="105"/>
      <w:r>
        <w:rPr>
          <w:rFonts w:ascii="Times New Roman" w:cs="Times New Roman" w:eastAsia="Times New Roman" w:hAnsi="Times New Roman"/>
        </w:rPr>
        <w:t xml:space="preserve">10.6 Achievement of Objectives</w:t>
      </w:r>
      <w:bookmarkEnd w:id="105"/>
    </w:p>
    <w:p>
      <w:pPr>
        <w:pStyle w:val="Caption"/>
        <w:spacing w:after="240" w:before="80"/>
        <w:jc w:val="center"/>
      </w:pPr>
      <w:r>
        <w:rPr>
          <w:rFonts w:ascii="Times New Roman" w:cs="Times New Roman" w:eastAsia="Times New Roman" w:hAnsi="Times New Roman"/>
          <w:b/>
          <w:bCs/>
        </w:rPr>
        <w:t xml:space="preserve">Table 10.</w:t>
      </w:r>
      <w:fldSimple w:instr="SEQ Table \* ARABIC \s 1">
        <w:r>
          <w:t xml:space="preserve">7</w:t>
        </w:r>
      </w:fldSimple>
      <w:r>
        <w:rPr>
          <w:rFonts w:ascii="Times New Roman" w:cs="Times New Roman" w:eastAsia="Times New Roman" w:hAnsi="Times New Roman"/>
        </w:rPr>
        <w:t xml:space="preserve">: Mapping of objectives to evidence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115"/>
        <w:gridCol w:w="3738"/>
        <w:gridCol w:w="1453"/>
      </w:tblGrid>
      <w:tr>
        <w:trPr>
          <w:tblHeader/>
        </w:trPr>
        <w:tc>
          <w:tcPr>
            <w:tcW w:type="dxa" w:w="311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Objective (Section 1.4)</w:t>
            </w:r>
          </w:p>
        </w:tc>
        <w:tc>
          <w:tcPr>
            <w:tcW w:type="dxa" w:w="3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Evidence</w:t>
            </w:r>
          </w:p>
        </w:tc>
        <w:tc>
          <w:tcPr>
            <w:tcW w:type="dxa" w:w="145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Status</w:t>
            </w:r>
          </w:p>
        </w:tc>
      </w:tr>
      <w:tr>
        <w:trPr>
          <w:cantSplit/>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 Full-stack platform, ≥ 40 endpoints</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47 endpoints (Appendix A); 11 screens; end-to-end test</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Achieved</w:t>
            </w:r>
          </w:p>
        </w:tc>
      </w:tr>
      <w:tr>
        <w:trPr>
          <w:cantSplit/>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2. Overlap by names and money; PLOS R² &gt; 0.570</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 engine; PLOS v3 R² 0.626</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Achieved</w:t>
            </w:r>
          </w:p>
        </w:tc>
      </w:tr>
      <w:tr>
        <w:trPr>
          <w:cantSplit/>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 VaR/ES passing backtests for ≥ 90% of funds</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13/13 Kupiec at both levels; 12/13 and 13/13 independence</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Achieved</w:t>
            </w:r>
          </w:p>
        </w:tc>
      </w:tr>
      <w:tr>
        <w:trPr>
          <w:cantSplit/>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 ARISE 80% ranges hold 75–85% of outcomes; never 0/100%</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82.8%; Jeffreys estimate</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Achieved</w:t>
            </w:r>
          </w:p>
        </w:tc>
      </w:tr>
      <w:tr>
        <w:trPr>
          <w:cantSplit/>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5. Interactive p95 &lt; 200 ms and no analysis errors at 10 users</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32.5 ms; 0 server errors</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Achieved</w:t>
            </w:r>
          </w:p>
        </w:tc>
      </w:tr>
      <w:tr>
        <w:trPr>
          <w:cantSplit/>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6. Tests 100% pass, CI, containers, Git</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449/449 passed; 3 CI workflows; Docker Compose; GitHub</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Achieved</w:t>
            </w:r>
          </w:p>
        </w:tc>
      </w:tr>
      <w:tr>
        <w:trPr>
          <w:cantSplit/>
        </w:trPr>
        <w:tc>
          <w:tcPr>
            <w:tcW w:type="dxa" w:w="311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Resource target &lt; 2 GiB at all tested loads (KPI)</w:t>
            </w:r>
          </w:p>
        </w:tc>
        <w:tc>
          <w:tcPr>
            <w:tcW w:type="dxa" w:w="37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3.6 GiB at 50 Risk users</w:t>
            </w:r>
          </w:p>
        </w:tc>
        <w:tc>
          <w:tcPr>
            <w:tcW w:type="dxa" w:w="145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Partially achieved</w:t>
            </w:r>
          </w:p>
        </w:tc>
      </w:tr>
    </w:tbl>
    <w:p>
      <w:pPr>
        <w:spacing w:after="120"/>
      </w:pPr>
      <w:r>
        <w:rPr>
          <w:rFonts w:ascii="Times New Roman" w:cs="Times New Roman" w:eastAsia="Times New Roman" w:hAnsi="Times New Roman"/>
        </w:rPr>
        <w:t xml:space="preserve"/>
      </w:r>
    </w:p>
    <w:p>
      <w:pPr>
        <w:pStyle w:val="Heading2"/>
        <w:keepNext/>
      </w:pPr>
      <w:bookmarkStart w:name="_Toc106" w:id="106"/>
      <w:r>
        <w:rPr>
          <w:rFonts w:ascii="Times New Roman" w:cs="Times New Roman" w:eastAsia="Times New Roman" w:hAnsi="Times New Roman"/>
        </w:rPr>
        <w:t xml:space="preserve">10.7 Discussion of Findings</w:t>
      </w:r>
      <w:bookmarkEnd w:id="106"/>
    </w:p>
    <w:p>
      <w:pPr>
        <w:spacing w:after="120" w:line="360"/>
        <w:jc w:val="both"/>
      </w:pPr>
      <w:r>
        <w:rPr>
          <w:rFonts w:ascii="Times New Roman" w:cs="Times New Roman" w:eastAsia="Times New Roman" w:hAnsi="Times New Roman"/>
        </w:rPr>
        <w:t xml:space="preserve">Three findings stand out. First, </w:t>
      </w:r>
      <w:r>
        <w:rPr>
          <w:rFonts w:ascii="Times New Roman" w:cs="Times New Roman" w:eastAsia="Times New Roman" w:hAnsi="Times New Roman"/>
          <w:b/>
          <w:bCs/>
        </w:rPr>
        <w:t xml:space="preserve">simpler, well-regularised models generalised better than flexible ones</w:t>
      </w:r>
      <w:r>
        <w:rPr>
          <w:rFonts w:ascii="Times New Roman" w:cs="Times New Roman" w:eastAsia="Times New Roman" w:hAnsi="Times New Roman"/>
        </w:rPr>
        <w:t xml:space="preserve"> on short financial histories: in every engine a more complex model looked better in at least one test, and in each case the forward-in-time evidence favoured a simpler, shrunk or blended model. Second, </w:t>
      </w:r>
      <w:r>
        <w:rPr>
          <w:rFonts w:ascii="Times New Roman" w:cs="Times New Roman" w:eastAsia="Times New Roman" w:hAnsi="Times New Roman"/>
          <w:b/>
          <w:bCs/>
        </w:rPr>
        <w:t xml:space="preserve">data verification mattered as much as modelling</w:t>
      </w:r>
      <w:r>
        <w:rPr>
          <w:rFonts w:ascii="Times New Roman" w:cs="Times New Roman" w:eastAsia="Times New Roman" w:hAnsi="Times New Roman"/>
        </w:rPr>
        <w:t xml:space="preserve">: a wrong AMFI code silently gave two funds the same history, which no model could have corrected. Third, </w:t>
      </w:r>
      <w:r>
        <w:rPr>
          <w:rFonts w:ascii="Times New Roman" w:cs="Times New Roman" w:eastAsia="Times New Roman" w:hAnsi="Times New Roman"/>
          <w:b/>
          <w:bCs/>
        </w:rPr>
        <w:t xml:space="preserve">the system is fast for interactive use but CPU-bound for the heavy analyses</w:t>
      </w:r>
      <w:r>
        <w:rPr>
          <w:rFonts w:ascii="Times New Roman" w:cs="Times New Roman" w:eastAsia="Times New Roman" w:hAnsi="Times New Roman"/>
        </w:rPr>
        <w:t xml:space="preserve"> — an unexpected observation was that Risk throughput fell after 5 users instead of levelling off, which traced to unbounded parallel calculations rather than to the database or network. Making uncertainty visible — calibrated ranges, evidence on screen and labelled data sources — was central to the system’s usefulness.</w:t>
      </w:r>
    </w:p>
    <w:p>
      <w:pPr>
        <w:pStyle w:val="Heading2"/>
        <w:keepNext/>
      </w:pPr>
      <w:bookmarkStart w:name="_Toc107" w:id="107"/>
      <w:r>
        <w:rPr>
          <w:rFonts w:ascii="Times New Roman" w:cs="Times New Roman" w:eastAsia="Times New Roman" w:hAnsi="Times New Roman"/>
        </w:rPr>
        <w:t xml:space="preserve">10.8 Practical Applicability</w:t>
      </w:r>
      <w:bookmarkEnd w:id="107"/>
    </w:p>
    <w:p>
      <w:pPr>
        <w:spacing w:after="120" w:line="360"/>
        <w:jc w:val="both"/>
      </w:pPr>
      <w:r>
        <w:rPr>
          <w:rFonts w:ascii="Times New Roman" w:cs="Times New Roman" w:eastAsia="Times New Roman" w:hAnsi="Times New Roman"/>
        </w:rPr>
        <w:t xml:space="preserve">The system can be run by an investor on a laptop, by a relationship manager to review client portfolios, or by an institution for investor-education sessions; the Docker setup brings up the full stack with one command. With the concurrency limit of Section 8.9 and one or two replicas, it is suitable for a few dozen simultaneous users, which matches a classroom, a branch office or an advisory team. Its outputs are analytical estimates with stated assumptions, not investment advice.</w:t>
      </w:r>
    </w:p>
    <w:p>
      <w:pPr>
        <w:pageBreakBefore/>
        <w:spacing w:after="120"/>
        <w:jc w:val="center"/>
      </w:pPr>
      <w:r>
        <w:rPr>
          <w:rFonts w:ascii="Times New Roman" w:cs="Times New Roman" w:eastAsia="Times New Roman" w:hAnsi="Times New Roman"/>
          <w:b/>
          <w:bCs/>
          <w:sz w:val="28"/>
          <w:szCs w:val="28"/>
        </w:rPr>
        <w:t xml:space="preserve">CHAPTER 11</w:t>
      </w:r>
    </w:p>
    <w:p>
      <w:pPr>
        <w:pStyle w:val="Heading1"/>
        <w:jc w:val="center"/>
      </w:pPr>
      <w:bookmarkStart w:name="_Toc108" w:id="108"/>
      <w:r>
        <w:rPr>
          <w:rFonts w:ascii="Times New Roman" w:cs="Times New Roman" w:eastAsia="Times New Roman" w:hAnsi="Times New Roman"/>
        </w:rPr>
        <w:t xml:space="preserve">CONCLUSION AND FUTURE SCOPE</w:t>
      </w:r>
      <w:bookmarkEnd w:id="108"/>
    </w:p>
    <w:p>
      <w:pPr>
        <w:pStyle w:val="Heading2"/>
        <w:keepNext/>
      </w:pPr>
      <w:bookmarkStart w:name="_Toc109" w:id="109"/>
      <w:r>
        <w:rPr>
          <w:rFonts w:ascii="Times New Roman" w:cs="Times New Roman" w:eastAsia="Times New Roman" w:hAnsi="Times New Roman"/>
        </w:rPr>
        <w:t xml:space="preserve">11.1 Conclusion</w:t>
      </w:r>
      <w:bookmarkEnd w:id="109"/>
    </w:p>
    <w:p>
      <w:pPr>
        <w:spacing w:after="120" w:line="360"/>
        <w:jc w:val="both"/>
      </w:pPr>
      <w:r>
        <w:rPr>
          <w:rFonts w:ascii="Times New Roman" w:cs="Times New Roman" w:eastAsia="Times New Roman" w:hAnsi="Times New Roman"/>
        </w:rPr>
        <w:t xml:space="preserve">The project addressed a practical problem: investors cannot see how much their mutual funds really overlap, how risky the combination is under current conditions, or how likely their retirement plan is to last. Nexus Portfolio Intelligence solves this for the 35 Nippon India schemes with a layered web platform — a Next.js client, a FastAPI backend with 47 endpoints, PostgreSQL/TimescaleDB, Redis and Celery — and five engines, three of which have dedicated, validated models. The main outcomes are measurable: PLOS forward-in-time accuracy improved from R² 0.570 to 0.626, volatility forecast error fell by 20%, VaR/ES passes its backtests, ARISE’s 80% ranges now contain 82.8% of real outcomes, all 449 tests pass, and the interactive endpoints answer within 36 ms (p95) at 10 concurrent users.</w:t>
      </w:r>
    </w:p>
    <w:p>
      <w:pPr>
        <w:pStyle w:val="Heading2"/>
        <w:keepNext/>
      </w:pPr>
      <w:bookmarkStart w:name="_Toc110" w:id="110"/>
      <w:r>
        <w:rPr>
          <w:rFonts w:ascii="Times New Roman" w:cs="Times New Roman" w:eastAsia="Times New Roman" w:hAnsi="Times New Roman"/>
        </w:rPr>
        <w:t xml:space="preserve">11.2 Achievement of Objectives</w:t>
      </w:r>
      <w:bookmarkEnd w:id="110"/>
    </w:p>
    <w:p>
      <w:pPr>
        <w:spacing w:after="120" w:line="360"/>
        <w:jc w:val="both"/>
      </w:pPr>
      <w:r>
        <w:rPr>
          <w:rFonts w:ascii="Times New Roman" w:cs="Times New Roman" w:eastAsia="Times New Roman" w:hAnsi="Times New Roman"/>
        </w:rPr>
        <w:t xml:space="preserve">All six objectives of Section 1.4 were achieved (Table 10.7). The memory KPI was only partially achieved: it holds up to 10 concurrent users but not under heavy concurrent Risk load, for the reason identified in Section 8.8.</w:t>
      </w:r>
    </w:p>
    <w:p>
      <w:pPr>
        <w:pStyle w:val="Heading2"/>
        <w:keepNext/>
      </w:pPr>
      <w:bookmarkStart w:name="_Toc111" w:id="111"/>
      <w:r>
        <w:rPr>
          <w:rFonts w:ascii="Times New Roman" w:cs="Times New Roman" w:eastAsia="Times New Roman" w:hAnsi="Times New Roman"/>
        </w:rPr>
        <w:t xml:space="preserve">11.3 Major Engineering Contributions</w:t>
      </w:r>
      <w:bookmarkEnd w:id="111"/>
    </w:p>
    <w:p>
      <w:pPr>
        <w:pStyle w:val="ListParagraph"/>
        <w:numPr>
          <w:ilvl w:val="0"/>
          <w:numId w:val="3"/>
        </w:numPr>
        <w:spacing w:after="60" w:line="360"/>
        <w:jc w:val="both"/>
      </w:pPr>
      <w:r>
        <w:rPr>
          <w:rFonts w:ascii="Times New Roman" w:cs="Times New Roman" w:eastAsia="Times New Roman" w:hAnsi="Times New Roman"/>
          <w:b/>
          <w:bCs/>
        </w:rPr>
        <w:t xml:space="preserve">Design:</w:t>
      </w:r>
      <w:r>
        <w:rPr>
          <w:rFonts w:ascii="Times New Roman" w:cs="Times New Roman" w:eastAsia="Times New Roman" w:hAnsi="Times New Roman"/>
        </w:rPr>
        <w:t xml:space="preserve"> a layered modular architecture with pure, testable engines and a five-tier data fallback that labels every number with its source.</w:t>
      </w:r>
    </w:p>
    <w:p>
      <w:pPr>
        <w:pStyle w:val="ListParagraph"/>
        <w:numPr>
          <w:ilvl w:val="0"/>
          <w:numId w:val="3"/>
        </w:numPr>
        <w:spacing w:after="60" w:line="360"/>
        <w:jc w:val="both"/>
      </w:pPr>
      <w:r>
        <w:rPr>
          <w:rFonts w:ascii="Times New Roman" w:cs="Times New Roman" w:eastAsia="Times New Roman" w:hAnsi="Times New Roman"/>
          <w:b/>
          <w:bCs/>
        </w:rPr>
        <w:t xml:space="preserve">Implementation:</w:t>
      </w:r>
      <w:r>
        <w:rPr>
          <w:rFonts w:ascii="Times New Roman" w:cs="Times New Roman" w:eastAsia="Times New Roman" w:hAnsi="Times New Roman"/>
        </w:rPr>
        <w:t xml:space="preserve"> secure session handling with token rotation and reuse detection, an atomic distributed rate limiter, and exact FIFO tax accounting.</w:t>
      </w:r>
    </w:p>
    <w:p>
      <w:pPr>
        <w:pStyle w:val="ListParagraph"/>
        <w:numPr>
          <w:ilvl w:val="0"/>
          <w:numId w:val="3"/>
        </w:numPr>
        <w:spacing w:after="60" w:line="360"/>
        <w:jc w:val="both"/>
      </w:pPr>
      <w:r>
        <w:rPr>
          <w:rFonts w:ascii="Times New Roman" w:cs="Times New Roman" w:eastAsia="Times New Roman" w:hAnsi="Times New Roman"/>
          <w:b/>
          <w:bCs/>
        </w:rPr>
        <w:t xml:space="preserve">Algorithms:</w:t>
      </w:r>
      <w:r>
        <w:rPr>
          <w:rFonts w:ascii="Times New Roman" w:cs="Times New Roman" w:eastAsia="Times New Roman" w:hAnsi="Times New Roman"/>
        </w:rPr>
        <w:t xml:space="preserve"> PLOS v3 with exact Shapley explanations; a GARCH + HAR-X risk model with an extreme-value tail; a calibrated Monte Carlo retirement engine with estimation risk.</w:t>
      </w:r>
    </w:p>
    <w:p>
      <w:pPr>
        <w:pStyle w:val="ListParagraph"/>
        <w:numPr>
          <w:ilvl w:val="0"/>
          <w:numId w:val="3"/>
        </w:numPr>
        <w:spacing w:after="60" w:line="360"/>
        <w:jc w:val="both"/>
      </w:pPr>
      <w:r>
        <w:rPr>
          <w:rFonts w:ascii="Times New Roman" w:cs="Times New Roman" w:eastAsia="Times New Roman" w:hAnsi="Times New Roman"/>
          <w:b/>
          <w:bCs/>
        </w:rPr>
        <w:t xml:space="preserve">Performance and validation:</w:t>
      </w:r>
      <w:r>
        <w:rPr>
          <w:rFonts w:ascii="Times New Roman" w:cs="Times New Roman" w:eastAsia="Times New Roman" w:hAnsi="Times New Roman"/>
        </w:rPr>
        <w:t xml:space="preserve"> an out-of-sample validation process for every model and a measured performance profile of the whole system.</w:t>
      </w:r>
    </w:p>
    <w:p>
      <w:pPr>
        <w:pStyle w:val="Heading2"/>
        <w:keepNext/>
      </w:pPr>
      <w:bookmarkStart w:name="_Toc112" w:id="112"/>
      <w:r>
        <w:rPr>
          <w:rFonts w:ascii="Times New Roman" w:cs="Times New Roman" w:eastAsia="Times New Roman" w:hAnsi="Times New Roman"/>
        </w:rPr>
        <w:t xml:space="preserve">11.4 Current Limitations</w:t>
      </w:r>
      <w:bookmarkEnd w:id="112"/>
    </w:p>
    <w:p>
      <w:pPr>
        <w:pStyle w:val="ListParagraph"/>
        <w:numPr>
          <w:ilvl w:val="0"/>
          <w:numId w:val="3"/>
        </w:numPr>
        <w:spacing w:after="60" w:line="360"/>
        <w:jc w:val="both"/>
      </w:pPr>
      <w:r>
        <w:rPr>
          <w:rFonts w:ascii="Times New Roman" w:cs="Times New Roman" w:eastAsia="Times New Roman" w:hAnsi="Times New Roman"/>
        </w:rPr>
        <w:t xml:space="preserve">Only Nippon India schemes; factsheet holdings are a single monthly snapshot.</w:t>
      </w:r>
    </w:p>
    <w:p>
      <w:pPr>
        <w:pStyle w:val="ListParagraph"/>
        <w:numPr>
          <w:ilvl w:val="0"/>
          <w:numId w:val="3"/>
        </w:numPr>
        <w:spacing w:after="60" w:line="360"/>
        <w:jc w:val="both"/>
      </w:pPr>
      <w:r>
        <w:rPr>
          <w:rFonts w:ascii="Times New Roman" w:cs="Times New Roman" w:eastAsia="Times New Roman" w:hAnsi="Times New Roman"/>
        </w:rPr>
        <w:t xml:space="preserve">Risk and ARISE are CPU-bound beyond about 5 simultaneous users; memory approaches the container limit at 50.</w:t>
      </w:r>
    </w:p>
    <w:p>
      <w:pPr>
        <w:pStyle w:val="ListParagraph"/>
        <w:numPr>
          <w:ilvl w:val="0"/>
          <w:numId w:val="3"/>
        </w:numPr>
        <w:spacing w:after="60" w:line="360"/>
        <w:jc w:val="both"/>
      </w:pPr>
      <w:r>
        <w:rPr>
          <w:rFonts w:ascii="Times New Roman" w:cs="Times New Roman" w:eastAsia="Times New Roman" w:hAnsi="Times New Roman"/>
        </w:rPr>
        <w:t xml:space="preserve">About two decades of Indian data limit multi-year conclusions.</w:t>
      </w:r>
    </w:p>
    <w:p>
      <w:pPr>
        <w:pStyle w:val="ListParagraph"/>
        <w:numPr>
          <w:ilvl w:val="0"/>
          <w:numId w:val="3"/>
        </w:numPr>
        <w:spacing w:after="60" w:line="360"/>
        <w:jc w:val="both"/>
      </w:pPr>
      <w:r>
        <w:rPr>
          <w:rFonts w:ascii="Times New Roman" w:cs="Times New Roman" w:eastAsia="Times New Roman" w:hAnsi="Times New Roman"/>
        </w:rPr>
        <w:t xml:space="preserve">No cloud deployment, automated browser tests or mobile application yet.</w:t>
      </w:r>
    </w:p>
    <w:p>
      <w:pPr>
        <w:pStyle w:val="ListParagraph"/>
        <w:numPr>
          <w:ilvl w:val="0"/>
          <w:numId w:val="3"/>
        </w:numPr>
        <w:spacing w:after="60" w:line="360"/>
        <w:jc w:val="both"/>
      </w:pPr>
      <w:r>
        <w:rPr>
          <w:rFonts w:ascii="Times New Roman" w:cs="Times New Roman" w:eastAsia="Times New Roman" w:hAnsi="Times New Roman"/>
        </w:rPr>
        <w:t xml:space="preserve">The stored NAV table still contains the duplicated rows described in Table 9.5 (not used by any engine).</w:t>
      </w:r>
    </w:p>
    <w:p>
      <w:pPr>
        <w:pStyle w:val="Heading2"/>
        <w:keepNext/>
      </w:pPr>
      <w:bookmarkStart w:name="_Toc113" w:id="113"/>
      <w:r>
        <w:rPr>
          <w:rFonts w:ascii="Times New Roman" w:cs="Times New Roman" w:eastAsia="Times New Roman" w:hAnsi="Times New Roman"/>
        </w:rPr>
        <w:t xml:space="preserve">11.5 Future Enhancements</w:t>
      </w:r>
      <w:bookmarkEnd w:id="113"/>
    </w:p>
    <w:p>
      <w:pPr>
        <w:pStyle w:val="ListParagraph"/>
        <w:numPr>
          <w:ilvl w:val="0"/>
          <w:numId w:val="5"/>
        </w:numPr>
        <w:spacing w:after="60" w:line="360"/>
        <w:jc w:val="both"/>
      </w:pPr>
      <w:r>
        <w:rPr>
          <w:rFonts w:ascii="Times New Roman" w:cs="Times New Roman" w:eastAsia="Times New Roman" w:hAnsi="Times New Roman"/>
        </w:rPr>
        <w:t xml:space="preserve">Limit simultaneous engine calls per process, cache Risk results per portfolio and fit GARCH models nightly (Section 8.9), then repeat the load test.</w:t>
      </w:r>
    </w:p>
    <w:p>
      <w:pPr>
        <w:pStyle w:val="ListParagraph"/>
        <w:numPr>
          <w:ilvl w:val="0"/>
          <w:numId w:val="5"/>
        </w:numPr>
        <w:spacing w:after="60" w:line="360"/>
        <w:jc w:val="both"/>
      </w:pPr>
      <w:r>
        <w:rPr>
          <w:rFonts w:ascii="Times New Roman" w:cs="Times New Roman" w:eastAsia="Times New Roman" w:hAnsi="Times New Roman"/>
        </w:rPr>
        <w:t xml:space="preserve">Deploy to a cloud platform with two API replicas and managed PostgreSQL and Redis.</w:t>
      </w:r>
    </w:p>
    <w:p>
      <w:pPr>
        <w:pStyle w:val="ListParagraph"/>
        <w:numPr>
          <w:ilvl w:val="0"/>
          <w:numId w:val="5"/>
        </w:numPr>
        <w:spacing w:after="60" w:line="360"/>
        <w:jc w:val="both"/>
      </w:pPr>
      <w:r>
        <w:rPr>
          <w:rFonts w:ascii="Times New Roman" w:cs="Times New Roman" w:eastAsia="Times New Roman" w:hAnsi="Times New Roman"/>
        </w:rPr>
        <w:t xml:space="preserve">Extend the universe to other fund houses and use historical monthly portfolio disclosures.</w:t>
      </w:r>
    </w:p>
    <w:p>
      <w:pPr>
        <w:pStyle w:val="ListParagraph"/>
        <w:numPr>
          <w:ilvl w:val="0"/>
          <w:numId w:val="5"/>
        </w:numPr>
        <w:spacing w:after="60" w:line="360"/>
        <w:jc w:val="both"/>
      </w:pPr>
      <w:r>
        <w:rPr>
          <w:rFonts w:ascii="Times New Roman" w:cs="Times New Roman" w:eastAsia="Times New Roman" w:hAnsi="Times New Roman"/>
        </w:rPr>
        <w:t xml:space="preserve">Add automated browser tests and scheduled retraining with accuracy-drift alerts.</w:t>
      </w:r>
    </w:p>
    <w:p>
      <w:pPr>
        <w:pStyle w:val="ListParagraph"/>
        <w:numPr>
          <w:ilvl w:val="0"/>
          <w:numId w:val="5"/>
        </w:numPr>
        <w:spacing w:after="60" w:line="360"/>
        <w:jc w:val="both"/>
      </w:pPr>
      <w:r>
        <w:rPr>
          <w:rFonts w:ascii="Times New Roman" w:cs="Times New Roman" w:eastAsia="Times New Roman" w:hAnsi="Times New Roman"/>
        </w:rPr>
        <w:t xml:space="preserve">Add goal-based planning (education, home purchase), a mobile app and multilingual support.</w:t>
      </w:r>
    </w:p>
    <w:p>
      <w:pPr>
        <w:pStyle w:val="Heading2"/>
        <w:keepNext/>
      </w:pPr>
      <w:bookmarkStart w:name="_Toc114" w:id="114"/>
      <w:r>
        <w:rPr>
          <w:rFonts w:ascii="Times New Roman" w:cs="Times New Roman" w:eastAsia="Times New Roman" w:hAnsi="Times New Roman"/>
        </w:rPr>
        <w:t xml:space="preserve">11.6 Lessons Learned</w:t>
      </w:r>
      <w:bookmarkEnd w:id="114"/>
    </w:p>
    <w:p>
      <w:pPr>
        <w:pStyle w:val="ListParagraph"/>
        <w:numPr>
          <w:ilvl w:val="0"/>
          <w:numId w:val="3"/>
        </w:numPr>
        <w:spacing w:after="60" w:line="360"/>
        <w:jc w:val="both"/>
      </w:pPr>
      <w:r>
        <w:rPr>
          <w:rFonts w:ascii="Times New Roman" w:cs="Times New Roman" w:eastAsia="Times New Roman" w:hAnsi="Times New Roman"/>
          <w:b/>
          <w:bCs/>
        </w:rPr>
        <w:t xml:space="preserve">Verify data before modelling it.</w:t>
      </w:r>
      <w:r>
        <w:rPr>
          <w:rFonts w:ascii="Times New Roman" w:cs="Times New Roman" w:eastAsia="Times New Roman" w:hAnsi="Times New Roman"/>
        </w:rPr>
        <w:t xml:space="preserve"> The most serious defect was a data error, not a modelling error.</w:t>
      </w:r>
    </w:p>
    <w:p>
      <w:pPr>
        <w:pStyle w:val="ListParagraph"/>
        <w:numPr>
          <w:ilvl w:val="0"/>
          <w:numId w:val="3"/>
        </w:numPr>
        <w:spacing w:after="60" w:line="360"/>
        <w:jc w:val="both"/>
      </w:pPr>
      <w:r>
        <w:rPr>
          <w:rFonts w:ascii="Times New Roman" w:cs="Times New Roman" w:eastAsia="Times New Roman" w:hAnsi="Times New Roman"/>
          <w:b/>
          <w:bCs/>
        </w:rPr>
        <w:t xml:space="preserve">Measure, do not assume.</w:t>
      </w:r>
      <w:r>
        <w:rPr>
          <w:rFonts w:ascii="Times New Roman" w:cs="Times New Roman" w:eastAsia="Times New Roman" w:hAnsi="Times New Roman"/>
        </w:rPr>
        <w:t xml:space="preserve"> The load test revealed a bottleneck that code review had not.</w:t>
      </w:r>
    </w:p>
    <w:p>
      <w:pPr>
        <w:pStyle w:val="ListParagraph"/>
        <w:numPr>
          <w:ilvl w:val="0"/>
          <w:numId w:val="3"/>
        </w:numPr>
        <w:spacing w:after="60" w:line="360"/>
        <w:jc w:val="both"/>
      </w:pPr>
      <w:r>
        <w:rPr>
          <w:rFonts w:ascii="Times New Roman" w:cs="Times New Roman" w:eastAsia="Times New Roman" w:hAnsi="Times New Roman"/>
          <w:b/>
          <w:bCs/>
        </w:rPr>
        <w:t xml:space="preserve">Validate out of sample and keep the evidence.</w:t>
      </w:r>
      <w:r>
        <w:rPr>
          <w:rFonts w:ascii="Times New Roman" w:cs="Times New Roman" w:eastAsia="Times New Roman" w:hAnsi="Times New Roman"/>
        </w:rPr>
        <w:t xml:space="preserve"> Several attractive models were rejected only because their out-of-sample results were recorded.</w:t>
      </w:r>
    </w:p>
    <w:p>
      <w:pPr>
        <w:pStyle w:val="ListParagraph"/>
        <w:numPr>
          <w:ilvl w:val="0"/>
          <w:numId w:val="3"/>
        </w:numPr>
        <w:spacing w:after="60" w:line="360"/>
        <w:jc w:val="both"/>
      </w:pPr>
      <w:r>
        <w:rPr>
          <w:rFonts w:ascii="Times New Roman" w:cs="Times New Roman" w:eastAsia="Times New Roman" w:hAnsi="Times New Roman"/>
          <w:b/>
          <w:bCs/>
        </w:rPr>
        <w:t xml:space="preserve">Keep every phase runnable.</w:t>
      </w:r>
      <w:r>
        <w:rPr>
          <w:rFonts w:ascii="Times New Roman" w:cs="Times New Roman" w:eastAsia="Times New Roman" w:hAnsi="Times New Roman"/>
        </w:rPr>
        <w:t xml:space="preserve"> Building inside-out, with tests at each step, made every evaluation phase demonstrable and made integration predictable.</w:t>
      </w:r>
    </w:p>
    <w:p>
      <w:pPr>
        <w:pStyle w:val="ListParagraph"/>
        <w:numPr>
          <w:ilvl w:val="0"/>
          <w:numId w:val="3"/>
        </w:numPr>
        <w:spacing w:after="60" w:line="360"/>
        <w:jc w:val="both"/>
      </w:pPr>
      <w:r>
        <w:rPr>
          <w:rFonts w:ascii="Times New Roman" w:cs="Times New Roman" w:eastAsia="Times New Roman" w:hAnsi="Times New Roman"/>
          <w:b/>
          <w:bCs/>
        </w:rPr>
        <w:t xml:space="preserve">Version control discipline matters.</w:t>
      </w:r>
      <w:r>
        <w:rPr>
          <w:rFonts w:ascii="Times New Roman" w:cs="Times New Roman" w:eastAsia="Times New Roman" w:hAnsi="Times New Roman"/>
        </w:rPr>
        <w:t xml:space="preserve"> Squashing the history before the public push lost visible evidence of development; small, meaningful commits should be kept.</w:t>
      </w:r>
    </w:p>
    <w:p>
      <w:pPr>
        <w:pStyle w:val="Heading1"/>
        <w:pageBreakBefore/>
        <w:jc w:val="center"/>
      </w:pPr>
      <w:bookmarkStart w:name="_Toc115" w:id="115"/>
      <w:r>
        <w:rPr>
          <w:rFonts w:ascii="Times New Roman" w:cs="Times New Roman" w:eastAsia="Times New Roman" w:hAnsi="Times New Roman"/>
        </w:rPr>
        <w:t xml:space="preserve">REFERENCES</w:t>
      </w:r>
      <w:bookmarkEnd w:id="115"/>
    </w:p>
    <w:p>
      <w:pPr>
        <w:spacing w:after="100" w:line="300"/>
        <w:ind w:left="567" w:hanging="567"/>
        <w:jc w:val="left"/>
      </w:pPr>
      <w:r>
        <w:rPr>
          <w:rFonts w:ascii="Times New Roman" w:cs="Times New Roman" w:eastAsia="Times New Roman" w:hAnsi="Times New Roman"/>
          <w:b/>
          <w:bCs/>
        </w:rPr>
        <w:t xml:space="preserve">[1]  </w:t>
      </w:r>
      <w:r>
        <w:rPr>
          <w:rFonts w:ascii="Times New Roman" w:cs="Times New Roman" w:eastAsia="Times New Roman" w:hAnsi="Times New Roman"/>
        </w:rPr>
        <w:t xml:space="preserve">M. Antón and C. Polk, “Connected Stocks,” The Journal of Finance, vol. 69, no. 3, pp. 1099–1127, 2014.</w:t>
      </w:r>
    </w:p>
    <w:p>
      <w:pPr>
        <w:spacing w:after="100" w:line="300"/>
        <w:ind w:left="567" w:hanging="567"/>
        <w:jc w:val="left"/>
      </w:pPr>
      <w:r>
        <w:rPr>
          <w:rFonts w:ascii="Times New Roman" w:cs="Times New Roman" w:eastAsia="Times New Roman" w:hAnsi="Times New Roman"/>
          <w:b/>
          <w:bCs/>
        </w:rPr>
        <w:t xml:space="preserve">[2]  </w:t>
      </w:r>
      <w:r>
        <w:rPr>
          <w:rFonts w:ascii="Times New Roman" w:cs="Times New Roman" w:eastAsia="Times New Roman" w:hAnsi="Times New Roman"/>
        </w:rPr>
        <w:t xml:space="preserve">W. F. Sharpe, “Asset Allocation: Management Style and Performance Measurement,” Journal of Portfolio Management, vol. 18, no. 2, pp. 7–19, 1992.</w:t>
      </w:r>
    </w:p>
    <w:p>
      <w:pPr>
        <w:spacing w:after="100" w:line="300"/>
        <w:ind w:left="567" w:hanging="567"/>
        <w:jc w:val="left"/>
      </w:pPr>
      <w:r>
        <w:rPr>
          <w:rFonts w:ascii="Times New Roman" w:cs="Times New Roman" w:eastAsia="Times New Roman" w:hAnsi="Times New Roman"/>
          <w:b/>
          <w:bCs/>
        </w:rPr>
        <w:t xml:space="preserve">[3]  </w:t>
      </w:r>
      <w:r>
        <w:rPr>
          <w:rFonts w:ascii="Times New Roman" w:cs="Times New Roman" w:eastAsia="Times New Roman" w:hAnsi="Times New Roman"/>
        </w:rPr>
        <w:t xml:space="preserve">MSCI, “MSCI Fund Model Research Notes,” MSCI Inc. [Online]. Available: https://www.msci.com</w:t>
      </w:r>
    </w:p>
    <w:p>
      <w:pPr>
        <w:spacing w:after="100" w:line="300"/>
        <w:ind w:left="567" w:hanging="567"/>
        <w:jc w:val="left"/>
      </w:pPr>
      <w:r>
        <w:rPr>
          <w:rFonts w:ascii="Times New Roman" w:cs="Times New Roman" w:eastAsia="Times New Roman" w:hAnsi="Times New Roman"/>
          <w:b/>
          <w:bCs/>
        </w:rPr>
        <w:t xml:space="preserve">[4]  </w:t>
      </w:r>
      <w:r>
        <w:rPr>
          <w:rFonts w:ascii="Times New Roman" w:cs="Times New Roman" w:eastAsia="Times New Roman" w:hAnsi="Times New Roman"/>
        </w:rPr>
        <w:t xml:space="preserve">O. Ledoit and M. Wolf, “A Well-Conditioned Estimator for Large-Dimensional Covariance Matrices,” Journal of Multivariate Analysis, vol. 88, no. 2, pp. 365–411, 2004.</w:t>
      </w:r>
    </w:p>
    <w:p>
      <w:pPr>
        <w:spacing w:after="100" w:line="300"/>
        <w:ind w:left="567" w:hanging="567"/>
        <w:jc w:val="left"/>
      </w:pPr>
      <w:r>
        <w:rPr>
          <w:rFonts w:ascii="Times New Roman" w:cs="Times New Roman" w:eastAsia="Times New Roman" w:hAnsi="Times New Roman"/>
          <w:b/>
          <w:bCs/>
        </w:rPr>
        <w:t xml:space="preserve">[5]  </w:t>
      </w:r>
      <w:r>
        <w:rPr>
          <w:rFonts w:ascii="Times New Roman" w:cs="Times New Roman" w:eastAsia="Times New Roman" w:hAnsi="Times New Roman"/>
        </w:rPr>
        <w:t xml:space="preserve">O. Ledoit and M. Wolf, “Nonlinear Shrinkage of the Covariance Matrix for Portfolio Selection: Markowitz Meets Goldilocks,” The Review of Financial Studies, vol. 30, no. 12, pp. 4349–4388, 2017.</w:t>
      </w:r>
    </w:p>
    <w:p>
      <w:pPr>
        <w:spacing w:after="100" w:line="300"/>
        <w:ind w:left="567" w:hanging="567"/>
        <w:jc w:val="left"/>
      </w:pPr>
      <w:r>
        <w:rPr>
          <w:rFonts w:ascii="Times New Roman" w:cs="Times New Roman" w:eastAsia="Times New Roman" w:hAnsi="Times New Roman"/>
          <w:b/>
          <w:bCs/>
        </w:rPr>
        <w:t xml:space="preserve">[6]  </w:t>
      </w:r>
      <w:r>
        <w:rPr>
          <w:rFonts w:ascii="Times New Roman" w:cs="Times New Roman" w:eastAsia="Times New Roman" w:hAnsi="Times New Roman"/>
        </w:rPr>
        <w:t xml:space="preserve">T. Bollerslev, “Generalized Autoregressive Conditional Heteroskedasticity,” Journal of Econometrics, vol. 31, no. 3, pp. 307–327, 1986.</w:t>
      </w:r>
    </w:p>
    <w:p>
      <w:pPr>
        <w:spacing w:after="100" w:line="300"/>
        <w:ind w:left="567" w:hanging="567"/>
        <w:jc w:val="left"/>
      </w:pPr>
      <w:r>
        <w:rPr>
          <w:rFonts w:ascii="Times New Roman" w:cs="Times New Roman" w:eastAsia="Times New Roman" w:hAnsi="Times New Roman"/>
          <w:b/>
          <w:bCs/>
        </w:rPr>
        <w:t xml:space="preserve">[7]  </w:t>
      </w:r>
      <w:r>
        <w:rPr>
          <w:rFonts w:ascii="Times New Roman" w:cs="Times New Roman" w:eastAsia="Times New Roman" w:hAnsi="Times New Roman"/>
        </w:rPr>
        <w:t xml:space="preserve">L. R. Glosten, R. Jagannathan and D. E. Runkle, “On the Relation between the Expected Value and the Volatility of the Nominal Excess Return on Stocks,” The Journal of Finance, vol. 48, no. 5, pp. 1779–1801, 1993.</w:t>
      </w:r>
    </w:p>
    <w:p>
      <w:pPr>
        <w:spacing w:after="100" w:line="300"/>
        <w:ind w:left="567" w:hanging="567"/>
        <w:jc w:val="left"/>
      </w:pPr>
      <w:r>
        <w:rPr>
          <w:rFonts w:ascii="Times New Roman" w:cs="Times New Roman" w:eastAsia="Times New Roman" w:hAnsi="Times New Roman"/>
          <w:b/>
          <w:bCs/>
        </w:rPr>
        <w:t xml:space="preserve">[8]  </w:t>
      </w:r>
      <w:r>
        <w:rPr>
          <w:rFonts w:ascii="Times New Roman" w:cs="Times New Roman" w:eastAsia="Times New Roman" w:hAnsi="Times New Roman"/>
        </w:rPr>
        <w:t xml:space="preserve">F. Corsi, “A Simple Approximate Long-Memory Model of Realized Volatility,” Journal of Financial Econometrics, vol. 7, no. 2, pp. 174–196, 2009.</w:t>
      </w:r>
    </w:p>
    <w:p>
      <w:pPr>
        <w:spacing w:after="100" w:line="300"/>
        <w:ind w:left="567" w:hanging="567"/>
        <w:jc w:val="left"/>
      </w:pPr>
      <w:r>
        <w:rPr>
          <w:rFonts w:ascii="Times New Roman" w:cs="Times New Roman" w:eastAsia="Times New Roman" w:hAnsi="Times New Roman"/>
          <w:b/>
          <w:bCs/>
        </w:rPr>
        <w:t xml:space="preserve">[9]  </w:t>
      </w:r>
      <w:r>
        <w:rPr>
          <w:rFonts w:ascii="Times New Roman" w:cs="Times New Roman" w:eastAsia="Times New Roman" w:hAnsi="Times New Roman"/>
        </w:rPr>
        <w:t xml:space="preserve">K. Christensen, M. Siggaard and B. Veliyev, “A Machine Learning Approach to Volatility Forecasting,” Journal of Financial Econometrics, 2023. [Online]. Available: https://arxiv.org/html/2601.13014v1</w:t>
      </w:r>
    </w:p>
    <w:p>
      <w:pPr>
        <w:spacing w:after="100" w:line="300"/>
        <w:ind w:left="567" w:hanging="567"/>
        <w:jc w:val="left"/>
      </w:pPr>
      <w:r>
        <w:rPr>
          <w:rFonts w:ascii="Times New Roman" w:cs="Times New Roman" w:eastAsia="Times New Roman" w:hAnsi="Times New Roman"/>
          <w:b/>
          <w:bCs/>
        </w:rPr>
        <w:t xml:space="preserve">[10]  </w:t>
      </w:r>
      <w:r>
        <w:rPr>
          <w:rFonts w:ascii="Times New Roman" w:cs="Times New Roman" w:eastAsia="Times New Roman" w:hAnsi="Times New Roman"/>
        </w:rPr>
        <w:t xml:space="preserve">X. Li, M.Sc. thesis on volatility forecasting (GARCH, HEAVY and realized measures), Erasmus University Rotterdam, 2017. [Online]. Available: https://thesis.eur.nl/pub/38661/Li-X.-422186-.pdf</w:t>
      </w:r>
    </w:p>
    <w:p>
      <w:pPr>
        <w:spacing w:after="100" w:line="300"/>
        <w:ind w:left="567" w:hanging="567"/>
        <w:jc w:val="left"/>
      </w:pPr>
      <w:r>
        <w:rPr>
          <w:rFonts w:ascii="Times New Roman" w:cs="Times New Roman" w:eastAsia="Times New Roman" w:hAnsi="Times New Roman"/>
          <w:b/>
          <w:bCs/>
        </w:rPr>
        <w:t xml:space="preserve">[11]  </w:t>
      </w:r>
      <w:r>
        <w:rPr>
          <w:rFonts w:ascii="Times New Roman" w:cs="Times New Roman" w:eastAsia="Times New Roman" w:hAnsi="Times New Roman"/>
        </w:rPr>
        <w:t xml:space="preserve">V. Rajvanshi, A. Santra and S. Basu, IIM Calcutta Working Paper Series, WPS No. 688 (Nifty volatility forecasting with India VIX). [Online]. Available: https://studentlive.iimcal.ac.in/sites/all/files/pdfs/wps_688.pdf</w:t>
      </w:r>
    </w:p>
    <w:p>
      <w:pPr>
        <w:spacing w:after="100" w:line="300"/>
        <w:ind w:left="567" w:hanging="567"/>
        <w:jc w:val="left"/>
      </w:pPr>
      <w:r>
        <w:rPr>
          <w:rFonts w:ascii="Times New Roman" w:cs="Times New Roman" w:eastAsia="Times New Roman" w:hAnsi="Times New Roman"/>
          <w:b/>
          <w:bCs/>
        </w:rPr>
        <w:t xml:space="preserve">[12]  </w:t>
      </w:r>
      <w:r>
        <w:rPr>
          <w:rFonts w:ascii="Times New Roman" w:cs="Times New Roman" w:eastAsia="Times New Roman" w:hAnsi="Times New Roman"/>
        </w:rPr>
        <w:t xml:space="preserve">A. J. Patton, “Volatility Forecast Comparison Using Imperfect Volatility Proxies,” Journal of Econometrics, vol. 160, no. 1, pp. 246–256, 2011.</w:t>
      </w:r>
    </w:p>
    <w:p>
      <w:pPr>
        <w:spacing w:after="100" w:line="300"/>
        <w:ind w:left="567" w:hanging="567"/>
        <w:jc w:val="left"/>
      </w:pPr>
      <w:r>
        <w:rPr>
          <w:rFonts w:ascii="Times New Roman" w:cs="Times New Roman" w:eastAsia="Times New Roman" w:hAnsi="Times New Roman"/>
          <w:b/>
          <w:bCs/>
        </w:rPr>
        <w:t xml:space="preserve">[13]  </w:t>
      </w:r>
      <w:r>
        <w:rPr>
          <w:rFonts w:ascii="Times New Roman" w:cs="Times New Roman" w:eastAsia="Times New Roman" w:hAnsi="Times New Roman"/>
        </w:rPr>
        <w:t xml:space="preserve">P. H. Kupiec, “Techniques for Verifying the Accuracy of Risk Measurement Models,” Journal of Derivatives, vol. 3, no. 2, pp. 73–84, 1995.</w:t>
      </w:r>
    </w:p>
    <w:p>
      <w:pPr>
        <w:spacing w:after="100" w:line="300"/>
        <w:ind w:left="567" w:hanging="567"/>
        <w:jc w:val="left"/>
      </w:pPr>
      <w:r>
        <w:rPr>
          <w:rFonts w:ascii="Times New Roman" w:cs="Times New Roman" w:eastAsia="Times New Roman" w:hAnsi="Times New Roman"/>
          <w:b/>
          <w:bCs/>
        </w:rPr>
        <w:t xml:space="preserve">[14]  </w:t>
      </w:r>
      <w:r>
        <w:rPr>
          <w:rFonts w:ascii="Times New Roman" w:cs="Times New Roman" w:eastAsia="Times New Roman" w:hAnsi="Times New Roman"/>
        </w:rPr>
        <w:t xml:space="preserve">P. F. Christoffersen, “Evaluating Interval Forecasts,” International Economic Review, vol. 39, no. 4, pp. 841–862, 1998.</w:t>
      </w:r>
    </w:p>
    <w:p>
      <w:pPr>
        <w:spacing w:after="100" w:line="300"/>
        <w:ind w:left="567" w:hanging="567"/>
        <w:jc w:val="left"/>
      </w:pPr>
      <w:r>
        <w:rPr>
          <w:rFonts w:ascii="Times New Roman" w:cs="Times New Roman" w:eastAsia="Times New Roman" w:hAnsi="Times New Roman"/>
          <w:b/>
          <w:bCs/>
        </w:rPr>
        <w:t xml:space="preserve">[15]  </w:t>
      </w:r>
      <w:r>
        <w:rPr>
          <w:rFonts w:ascii="Times New Roman" w:cs="Times New Roman" w:eastAsia="Times New Roman" w:hAnsi="Times New Roman"/>
        </w:rPr>
        <w:t xml:space="preserve">I. Roy, “Estimating Value at Risk (VaR) using Filtered Historical Simulation in the Indian Capital Market,” Reserve Bank of India. [Online]. Available: https://www.rbi.org.in/scripts/bs_viewcontent.aspx?Id=2596</w:t>
      </w:r>
    </w:p>
    <w:p>
      <w:pPr>
        <w:spacing w:after="100" w:line="300"/>
        <w:ind w:left="567" w:hanging="567"/>
        <w:jc w:val="left"/>
      </w:pPr>
      <w:r>
        <w:rPr>
          <w:rFonts w:ascii="Times New Roman" w:cs="Times New Roman" w:eastAsia="Times New Roman" w:hAnsi="Times New Roman"/>
          <w:b/>
          <w:bCs/>
        </w:rPr>
        <w:t xml:space="preserve">[16]  </w:t>
      </w:r>
      <w:r>
        <w:rPr>
          <w:rFonts w:ascii="Times New Roman" w:cs="Times New Roman" w:eastAsia="Times New Roman" w:hAnsi="Times New Roman"/>
        </w:rPr>
        <w:t xml:space="preserve">A. J. McNeil and R. Frey, “Estimation of Tail-Related Risk Measures for Heteroscedastic Financial Time Series: An Extreme Value Approach,” Journal of Empirical Finance, vol. 7, no. 3–4, pp. 271–300, 2000.</w:t>
      </w:r>
    </w:p>
    <w:p>
      <w:pPr>
        <w:spacing w:after="100" w:line="300"/>
        <w:ind w:left="567" w:hanging="567"/>
        <w:jc w:val="left"/>
      </w:pPr>
      <w:r>
        <w:rPr>
          <w:rFonts w:ascii="Times New Roman" w:cs="Times New Roman" w:eastAsia="Times New Roman" w:hAnsi="Times New Roman"/>
          <w:b/>
          <w:bCs/>
        </w:rPr>
        <w:t xml:space="preserve">[17]  </w:t>
      </w:r>
      <w:r>
        <w:rPr>
          <w:rFonts w:ascii="Times New Roman" w:cs="Times New Roman" w:eastAsia="Times New Roman" w:hAnsi="Times New Roman"/>
        </w:rPr>
        <w:t xml:space="preserve">“Old-Fashioned Parametric Models Are Still the Best: A Comparison of Value-at-Risk Approaches in Several Volatility States,” Journal of Risk Model Validation. [Online]. Available: https://www.risk.net/journal-of-risk-model-validation/7553981</w:t>
      </w:r>
    </w:p>
    <w:p>
      <w:pPr>
        <w:spacing w:after="100" w:line="300"/>
        <w:ind w:left="567" w:hanging="567"/>
        <w:jc w:val="left"/>
      </w:pPr>
      <w:r>
        <w:rPr>
          <w:rFonts w:ascii="Times New Roman" w:cs="Times New Roman" w:eastAsia="Times New Roman" w:hAnsi="Times New Roman"/>
          <w:b/>
          <w:bCs/>
        </w:rPr>
        <w:t xml:space="preserve">[18]  </w:t>
      </w:r>
      <w:r>
        <w:rPr>
          <w:rFonts w:ascii="Times New Roman" w:cs="Times New Roman" w:eastAsia="Times New Roman" w:hAnsi="Times New Roman"/>
        </w:rPr>
        <w:t xml:space="preserve">T. Fissler and J. F. Ziegel, “Higher Order Elicitability and Osband’s Principle,” The Annals of Statistics, vol. 44, no. 4, pp. 1680–1707, 2016.</w:t>
      </w:r>
    </w:p>
    <w:p>
      <w:pPr>
        <w:spacing w:after="100" w:line="300"/>
        <w:ind w:left="567" w:hanging="567"/>
        <w:jc w:val="left"/>
      </w:pPr>
      <w:r>
        <w:rPr>
          <w:rFonts w:ascii="Times New Roman" w:cs="Times New Roman" w:eastAsia="Times New Roman" w:hAnsi="Times New Roman"/>
          <w:b/>
          <w:bCs/>
        </w:rPr>
        <w:t xml:space="preserve">[19]  </w:t>
      </w:r>
      <w:r>
        <w:rPr>
          <w:rFonts w:ascii="Times New Roman" w:cs="Times New Roman" w:eastAsia="Times New Roman" w:hAnsi="Times New Roman"/>
        </w:rPr>
        <w:t xml:space="preserve">A. J. Patton, J. F. Ziegel and R. Chen, “Dynamic Semiparametric Models for Expected Shortfall (and Value-at-Risk),” Journal of Econometrics, vol. 211, no. 2, pp. 388–413, 2019.</w:t>
      </w:r>
    </w:p>
    <w:p>
      <w:pPr>
        <w:spacing w:after="100" w:line="300"/>
        <w:ind w:left="567" w:hanging="567"/>
        <w:jc w:val="left"/>
      </w:pPr>
      <w:r>
        <w:rPr>
          <w:rFonts w:ascii="Times New Roman" w:cs="Times New Roman" w:eastAsia="Times New Roman" w:hAnsi="Times New Roman"/>
          <w:b/>
          <w:bCs/>
        </w:rPr>
        <w:t xml:space="preserve">[20]  </w:t>
      </w:r>
      <w:r>
        <w:rPr>
          <w:rFonts w:ascii="Times New Roman" w:cs="Times New Roman" w:eastAsia="Times New Roman" w:hAnsi="Times New Roman"/>
        </w:rPr>
        <w:t xml:space="preserve">The Poor Swiss, “Monte Carlo Simulations for FIRE.” [Online]. Available: https://thepoorswiss.com/monte-carlo-for-fire/</w:t>
      </w:r>
    </w:p>
    <w:p>
      <w:pPr>
        <w:spacing w:after="100" w:line="300"/>
        <w:ind w:left="567" w:hanging="567"/>
        <w:jc w:val="left"/>
      </w:pPr>
      <w:r>
        <w:rPr>
          <w:rFonts w:ascii="Times New Roman" w:cs="Times New Roman" w:eastAsia="Times New Roman" w:hAnsi="Times New Roman"/>
          <w:b/>
          <w:bCs/>
        </w:rPr>
        <w:t xml:space="preserve">[21]  </w:t>
      </w:r>
      <w:r>
        <w:rPr>
          <w:rFonts w:ascii="Times New Roman" w:cs="Times New Roman" w:eastAsia="Times New Roman" w:hAnsi="Times New Roman"/>
        </w:rPr>
        <w:t xml:space="preserve">J. T. Guyton and W. J. Klinger, “Decision Rules and Maximum Initial Withdrawal Rates,” Journal of Financial Planning, vol. 19, no. 3, pp. 48–58, 2006.</w:t>
      </w:r>
    </w:p>
    <w:p>
      <w:pPr>
        <w:spacing w:after="100" w:line="300"/>
        <w:ind w:left="567" w:hanging="567"/>
        <w:jc w:val="left"/>
      </w:pPr>
      <w:r>
        <w:rPr>
          <w:rFonts w:ascii="Times New Roman" w:cs="Times New Roman" w:eastAsia="Times New Roman" w:hAnsi="Times New Roman"/>
          <w:b/>
          <w:bCs/>
        </w:rPr>
        <w:t xml:space="preserve">[22]  </w:t>
      </w:r>
      <w:r>
        <w:rPr>
          <w:rFonts w:ascii="Times New Roman" w:cs="Times New Roman" w:eastAsia="Times New Roman" w:hAnsi="Times New Roman"/>
        </w:rPr>
        <w:t xml:space="preserve">D. Blanchett, “Exploring the Retirement Consumption Puzzle,” Journal of Financial Planning, vol. 27, no. 5, pp. 34–42, 2014.</w:t>
      </w:r>
    </w:p>
    <w:p>
      <w:pPr>
        <w:spacing w:after="100" w:line="300"/>
        <w:ind w:left="567" w:hanging="567"/>
        <w:jc w:val="left"/>
      </w:pPr>
      <w:r>
        <w:rPr>
          <w:rFonts w:ascii="Times New Roman" w:cs="Times New Roman" w:eastAsia="Times New Roman" w:hAnsi="Times New Roman"/>
          <w:b/>
          <w:bCs/>
        </w:rPr>
        <w:t xml:space="preserve">[23]  </w:t>
      </w:r>
      <w:r>
        <w:rPr>
          <w:rFonts w:ascii="Times New Roman" w:cs="Times New Roman" w:eastAsia="Times New Roman" w:hAnsi="Times New Roman"/>
        </w:rPr>
        <w:t xml:space="preserve">M. A. Milevsky and C. Robinson, “A Sustainable Spending Rate without Simulation,” Financial Analysts Journal, vol. 61, no. 6, pp. 89–100, 2005.</w:t>
      </w:r>
    </w:p>
    <w:p>
      <w:pPr>
        <w:spacing w:after="100" w:line="300"/>
        <w:ind w:left="567" w:hanging="567"/>
        <w:jc w:val="left"/>
      </w:pPr>
      <w:r>
        <w:rPr>
          <w:rFonts w:ascii="Times New Roman" w:cs="Times New Roman" w:eastAsia="Times New Roman" w:hAnsi="Times New Roman"/>
          <w:b/>
          <w:bCs/>
        </w:rPr>
        <w:t xml:space="preserve">[24]  </w:t>
      </w:r>
      <w:r>
        <w:rPr>
          <w:rFonts w:ascii="Times New Roman" w:cs="Times New Roman" w:eastAsia="Times New Roman" w:hAnsi="Times New Roman"/>
        </w:rPr>
        <w:t xml:space="preserve">K. L. Fisher and M. Statman, “Cognitive Biases in Market Forecasts,” Journal of Portfolio Management, vol. 27, no. 1, pp. 72–81, 2000.</w:t>
      </w:r>
    </w:p>
    <w:p>
      <w:pPr>
        <w:spacing w:after="100" w:line="300"/>
        <w:ind w:left="567" w:hanging="567"/>
        <w:jc w:val="left"/>
      </w:pPr>
      <w:r>
        <w:rPr>
          <w:rFonts w:ascii="Times New Roman" w:cs="Times New Roman" w:eastAsia="Times New Roman" w:hAnsi="Times New Roman"/>
          <w:b/>
          <w:bCs/>
        </w:rPr>
        <w:t xml:space="preserve">[25]  </w:t>
      </w:r>
      <w:r>
        <w:rPr>
          <w:rFonts w:ascii="Times New Roman" w:cs="Times New Roman" w:eastAsia="Times New Roman" w:hAnsi="Times New Roman"/>
        </w:rPr>
        <w:t xml:space="preserve">indexpe.in, “PE Ratio vs Future Returns: What 27 Years of Data Says.” [Online]. Available: https://indexpe.in/pe-vs-forward-returns</w:t>
      </w:r>
    </w:p>
    <w:p>
      <w:pPr>
        <w:spacing w:after="100" w:line="300"/>
        <w:ind w:left="567" w:hanging="567"/>
        <w:jc w:val="left"/>
      </w:pPr>
      <w:r>
        <w:rPr>
          <w:rFonts w:ascii="Times New Roman" w:cs="Times New Roman" w:eastAsia="Times New Roman" w:hAnsi="Times New Roman"/>
          <w:b/>
          <w:bCs/>
        </w:rPr>
        <w:t xml:space="preserve">[26]  </w:t>
      </w:r>
      <w:r>
        <w:rPr>
          <w:rFonts w:ascii="Times New Roman" w:cs="Times New Roman" w:eastAsia="Times New Roman" w:hAnsi="Times New Roman"/>
        </w:rPr>
        <w:t xml:space="preserve">“Multi-Scale Analysis of Nifty 50: Return Characteristics, Valuation Dynamics and Market Complexity (1990–2024),” arXiv:2509.00697. [Online]. Available: https://arxiv.org/html/2509.00697v1</w:t>
      </w:r>
    </w:p>
    <w:p>
      <w:pPr>
        <w:spacing w:after="100" w:line="300"/>
        <w:ind w:left="567" w:hanging="567"/>
        <w:jc w:val="left"/>
      </w:pPr>
      <w:r>
        <w:rPr>
          <w:rFonts w:ascii="Times New Roman" w:cs="Times New Roman" w:eastAsia="Times New Roman" w:hAnsi="Times New Roman"/>
          <w:b/>
          <w:bCs/>
        </w:rPr>
        <w:t xml:space="preserve">[27]  </w:t>
      </w:r>
      <w:r>
        <w:rPr>
          <w:rFonts w:ascii="Times New Roman" w:cs="Times New Roman" w:eastAsia="Times New Roman" w:hAnsi="Times New Roman"/>
        </w:rPr>
        <w:t xml:space="preserve">Y. Choueifaty and Y. Coignard, “Toward Maximum Diversification,” Journal of Portfolio Management, vol. 35, no. 1, pp. 40–51, 2008.</w:t>
      </w:r>
    </w:p>
    <w:p>
      <w:pPr>
        <w:spacing w:after="100" w:line="300"/>
        <w:ind w:left="567" w:hanging="567"/>
        <w:jc w:val="left"/>
      </w:pPr>
      <w:r>
        <w:rPr>
          <w:rFonts w:ascii="Times New Roman" w:cs="Times New Roman" w:eastAsia="Times New Roman" w:hAnsi="Times New Roman"/>
          <w:b/>
          <w:bCs/>
        </w:rPr>
        <w:t xml:space="preserve">[28]  </w:t>
      </w:r>
      <w:r>
        <w:rPr>
          <w:rFonts w:ascii="Times New Roman" w:cs="Times New Roman" w:eastAsia="Times New Roman" w:hAnsi="Times New Roman"/>
        </w:rPr>
        <w:t xml:space="preserve">A. Meucci, A. Santangelo and R. Deguest, “Risk Budgeting and Diversification Based on Optimized Uncorrelated Factors,” Risk, 2015. SSRN: 10.2139/ssrn.2276632.</w:t>
      </w:r>
    </w:p>
    <w:p>
      <w:pPr>
        <w:spacing w:after="100" w:line="300"/>
        <w:ind w:left="567" w:hanging="567"/>
        <w:jc w:val="left"/>
      </w:pPr>
      <w:r>
        <w:rPr>
          <w:rFonts w:ascii="Times New Roman" w:cs="Times New Roman" w:eastAsia="Times New Roman" w:hAnsi="Times New Roman"/>
          <w:b/>
          <w:bCs/>
        </w:rPr>
        <w:t xml:space="preserve">[29]  </w:t>
      </w:r>
      <w:r>
        <w:rPr>
          <w:rFonts w:ascii="Times New Roman" w:cs="Times New Roman" w:eastAsia="Times New Roman" w:hAnsi="Times New Roman"/>
        </w:rPr>
        <w:t xml:space="preserve">M. B. Garman and M. J. Klass, “On the Estimation of Security Price Volatilities from Historical Data,” Journal of Business, vol. 53, no. 1, pp. 67–78, 1980.</w:t>
      </w:r>
    </w:p>
    <w:p>
      <w:pPr>
        <w:spacing w:after="100" w:line="300"/>
        <w:ind w:left="567" w:hanging="567"/>
        <w:jc w:val="left"/>
      </w:pPr>
      <w:r>
        <w:rPr>
          <w:rFonts w:ascii="Times New Roman" w:cs="Times New Roman" w:eastAsia="Times New Roman" w:hAnsi="Times New Roman"/>
          <w:b/>
          <w:bCs/>
        </w:rPr>
        <w:t xml:space="preserve">[30]  </w:t>
      </w:r>
      <w:r>
        <w:rPr>
          <w:rFonts w:ascii="Times New Roman" w:cs="Times New Roman" w:eastAsia="Times New Roman" w:hAnsi="Times New Roman"/>
        </w:rPr>
        <w:t xml:space="preserve">F. X. Diebold and R. S. Mariano, “Comparing Predictive Accuracy,” Journal of Business &amp; Economic Statistics, vol. 13, no. 3, pp. 253–263, 1995.</w:t>
      </w:r>
    </w:p>
    <w:p>
      <w:pPr>
        <w:spacing w:after="100" w:line="300"/>
        <w:ind w:left="567" w:hanging="567"/>
        <w:jc w:val="left"/>
      </w:pPr>
      <w:r>
        <w:rPr>
          <w:rFonts w:ascii="Times New Roman" w:cs="Times New Roman" w:eastAsia="Times New Roman" w:hAnsi="Times New Roman"/>
          <w:b/>
          <w:bCs/>
        </w:rPr>
        <w:t xml:space="preserve">[31]  </w:t>
      </w:r>
      <w:r>
        <w:rPr>
          <w:rFonts w:ascii="Times New Roman" w:cs="Times New Roman" w:eastAsia="Times New Roman" w:hAnsi="Times New Roman"/>
        </w:rPr>
        <w:t xml:space="preserve">Association of Mutual Funds in India, NAV history (via mfapi.in). [Online]. Available: https://www.amfiindia.com</w:t>
      </w:r>
    </w:p>
    <w:p>
      <w:pPr>
        <w:spacing w:after="100" w:line="300"/>
        <w:ind w:left="567" w:hanging="567"/>
        <w:jc w:val="left"/>
      </w:pPr>
      <w:r>
        <w:rPr>
          <w:rFonts w:ascii="Times New Roman" w:cs="Times New Roman" w:eastAsia="Times New Roman" w:hAnsi="Times New Roman"/>
          <w:b/>
          <w:bCs/>
        </w:rPr>
        <w:t xml:space="preserve">[32]  </w:t>
      </w:r>
      <w:r>
        <w:rPr>
          <w:rFonts w:ascii="Times New Roman" w:cs="Times New Roman" w:eastAsia="Times New Roman" w:hAnsi="Times New Roman"/>
        </w:rPr>
        <w:t xml:space="preserve">NSE Indices Ltd., Historical P/E, P/B and dividend yield data. [Online]. Available: https://www.niftyindices.com</w:t>
      </w:r>
    </w:p>
    <w:p>
      <w:pPr>
        <w:spacing w:after="100" w:line="300"/>
        <w:ind w:left="567" w:hanging="567"/>
        <w:jc w:val="left"/>
      </w:pPr>
      <w:r>
        <w:rPr>
          <w:rFonts w:ascii="Times New Roman" w:cs="Times New Roman" w:eastAsia="Times New Roman" w:hAnsi="Times New Roman"/>
          <w:b/>
          <w:bCs/>
        </w:rPr>
        <w:t xml:space="preserve">[33]  </w:t>
      </w:r>
      <w:r>
        <w:rPr>
          <w:rFonts w:ascii="Times New Roman" w:cs="Times New Roman" w:eastAsia="Times New Roman" w:hAnsi="Times New Roman"/>
        </w:rPr>
        <w:t xml:space="preserve">Nippon India Mutual Fund, Monthly Factsheets, May 2026. [Online]. Available: https://mf.nipponindiaim.com</w:t>
      </w:r>
    </w:p>
    <w:p>
      <w:pPr>
        <w:spacing w:after="100" w:line="300"/>
        <w:ind w:left="567" w:hanging="567"/>
        <w:jc w:val="left"/>
      </w:pPr>
      <w:r>
        <w:rPr>
          <w:rFonts w:ascii="Times New Roman" w:cs="Times New Roman" w:eastAsia="Times New Roman" w:hAnsi="Times New Roman"/>
          <w:b/>
          <w:bCs/>
        </w:rPr>
        <w:t xml:space="preserve">[34]  </w:t>
      </w:r>
      <w:r>
        <w:rPr>
          <w:rFonts w:ascii="Times New Roman" w:cs="Times New Roman" w:eastAsia="Times New Roman" w:hAnsi="Times New Roman"/>
        </w:rPr>
        <w:t xml:space="preserve">FastAPI documentation. [Online]. Available: https://fastapi.tiangolo.com</w:t>
      </w:r>
    </w:p>
    <w:p>
      <w:pPr>
        <w:spacing w:after="100" w:line="300"/>
        <w:ind w:left="567" w:hanging="567"/>
        <w:jc w:val="left"/>
      </w:pPr>
      <w:r>
        <w:rPr>
          <w:rFonts w:ascii="Times New Roman" w:cs="Times New Roman" w:eastAsia="Times New Roman" w:hAnsi="Times New Roman"/>
          <w:b/>
          <w:bCs/>
        </w:rPr>
        <w:t xml:space="preserve">[35]  </w:t>
      </w:r>
      <w:r>
        <w:rPr>
          <w:rFonts w:ascii="Times New Roman" w:cs="Times New Roman" w:eastAsia="Times New Roman" w:hAnsi="Times New Roman"/>
        </w:rPr>
        <w:t xml:space="preserve">TimescaleDB documentation: Hypertables. [Online]. Available: https://docs.timescale.com</w:t>
      </w:r>
    </w:p>
    <w:p>
      <w:pPr>
        <w:spacing w:after="100" w:line="300"/>
        <w:ind w:left="567" w:hanging="567"/>
        <w:jc w:val="left"/>
      </w:pPr>
      <w:r>
        <w:rPr>
          <w:rFonts w:ascii="Times New Roman" w:cs="Times New Roman" w:eastAsia="Times New Roman" w:hAnsi="Times New Roman"/>
          <w:b/>
          <w:bCs/>
        </w:rPr>
        <w:t xml:space="preserve">[36]  </w:t>
      </w:r>
      <w:r>
        <w:rPr>
          <w:rFonts w:ascii="Times New Roman" w:cs="Times New Roman" w:eastAsia="Times New Roman" w:hAnsi="Times New Roman"/>
        </w:rPr>
        <w:t xml:space="preserve">Redis documentation: Sorted sets and Lua scripting. [Online]. Available: https://redis.io/docs</w:t>
      </w:r>
    </w:p>
    <w:p>
      <w:pPr>
        <w:pStyle w:val="Heading1"/>
        <w:pageBreakBefore/>
        <w:jc w:val="center"/>
      </w:pPr>
      <w:bookmarkStart w:name="_Toc116" w:id="116"/>
      <w:r>
        <w:rPr>
          <w:rFonts w:ascii="Times New Roman" w:cs="Times New Roman" w:eastAsia="Times New Roman" w:hAnsi="Times New Roman"/>
        </w:rPr>
        <w:t xml:space="preserve">APPENDIX A: API ENDPOINTS</w:t>
      </w:r>
      <w:bookmarkEnd w:id="116"/>
    </w:p>
    <w:p>
      <w:pPr>
        <w:pStyle w:val="Caption"/>
        <w:spacing w:after="240" w:before="80"/>
        <w:jc w:val="center"/>
      </w:pPr>
      <w:r>
        <w:rPr>
          <w:rFonts w:ascii="Times New Roman" w:cs="Times New Roman" w:eastAsia="Times New Roman" w:hAnsi="Times New Roman"/>
          <w:b/>
          <w:bCs/>
        </w:rPr>
        <w:t xml:space="preserve">Table A.</w:t>
      </w:r>
      <w:fldSimple w:instr="SEQ Table \* ARABIC \s 1">
        <w:r>
          <w:t xml:space="preserve">1</w:t>
        </w:r>
      </w:fldSimple>
      <w:r>
        <w:rPr>
          <w:rFonts w:ascii="Times New Roman" w:cs="Times New Roman" w:eastAsia="Times New Roman" w:hAnsi="Times New Roman"/>
        </w:rPr>
        <w:t xml:space="preserve">: Complete list of REST API endpoints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38"/>
        <w:gridCol w:w="4776"/>
        <w:gridCol w:w="2492"/>
      </w:tblGrid>
      <w:tr>
        <w:trPr>
          <w:tblHeader/>
        </w:trPr>
        <w:tc>
          <w:tcPr>
            <w:tcW w:type="dxa" w:w="1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Method</w:t>
            </w:r>
          </w:p>
        </w:tc>
        <w:tc>
          <w:tcPr>
            <w:tcW w:type="dxa" w:w="477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Path</w:t>
            </w:r>
          </w:p>
        </w:tc>
        <w:tc>
          <w:tcPr>
            <w:tcW w:type="dxa" w:w="249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spacing w:line="260"/>
            </w:pPr>
            <w:r>
              <w:rPr>
                <w:rFonts w:ascii="Times New Roman" w:cs="Times New Roman" w:eastAsia="Times New Roman" w:hAnsi="Times New Roman"/>
                <w:b/>
                <w:bCs/>
                <w:sz w:val="21"/>
                <w:szCs w:val="21"/>
              </w:rPr>
              <w:t xml:space="preserve">Purpose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/health</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Health</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/health/ready</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Ready</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/api/v1/meta/assumptions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 Assumptions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/api/v1/auth/register</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Register</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/api/v1/auth/login</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Login</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/api/v1/auth/refresh</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Refresh</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/api/v1/auth/logout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Logout</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/api/v1/auth/logout-all</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Logout All</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/api/v1/auth/me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/api/v1/auth/upstox/login</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Login</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/api/v1/auth/upstox/callback</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Callback</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/api/v1/auth/upstox/status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Status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/api/v1/auth/upstox/disconnect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Disconnect</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/api/v1/profile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Read Profile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PUT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/api/v1/profile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Update Profile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/api/v1/profile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Create Profile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/api/v1/schemes/filtered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Filtered</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/api/v1/schemes/select</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/api/v1/schemes/allocate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Allocate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/api/v1/schemes/selected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Selected</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/api/v1/schemes/{scheme_id}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Scheme Detail</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/api/v1/analysis/overlap</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Overlap</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/api/v1/analysis/plos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Plos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/api/v1/analysis/risk</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Risk</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/api/v1/analysis/arise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Arise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/api/v1/analysis/prices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Prices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/api/v1/analysis/compare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Compare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/api/v1/portfolio/transactions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Create Transaction</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/api/v1/portfolio/transactions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List Transactions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DELETE</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/api/v1/portfolio/transactions/{txn_id}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Delete Transaction</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/api/v1/portfolio/pnl</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Pnl</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/api/v1/portfolio/holdings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Holdings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/api/v1/market/portfolio-value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Portfolio Value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/api/v1/market/dashboard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Dashboard</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/api/v1/market/pnl</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Pnl</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/api/v1/market/fundamentals/{ticker}</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Fundamentals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/api/v1/market/nav/{scheme_id}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Nav</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/api/v1/market/tasks/download-prices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Trigger Download Prices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/api/v1/market/tasks/download-nav</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Trigger Download Nav</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/api/v1/market/tasks/refresh-holdings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Trigger Refresh Holdings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/api/v1/market/tasks/refresh-upstox-isin-map</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Trigger Refresh Upstox Isin Map</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/api/v1/reports/generate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Generate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/api/v1/reports</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List Reports</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/api/v1/reports/{report_id}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 Report</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/api/v1/reports/{report_id}/download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Download</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GET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/api/v1/notifications/mine</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Mine</w:t>
            </w:r>
          </w:p>
        </w:tc>
      </w:tr>
      <w:tr>
        <w:trPr>
          <w:cantSplit/>
        </w:trPr>
        <w:tc>
          <w:tcPr>
            <w:tcW w:type="dxa" w:w="10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POST</w:t>
            </w:r>
          </w:p>
        </w:tc>
        <w:tc>
          <w:tcPr>
            <w:tcW w:type="dxa" w:w="47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/api/v1/notifications/{notification_id}/read</w:t>
            </w:r>
          </w:p>
        </w:tc>
        <w:tc>
          <w:tcPr>
            <w:tcW w:type="dxa" w:w="249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60"/>
            </w:pPr>
            <w:r>
              <w:rPr>
                <w:rFonts w:ascii="Times New Roman" w:cs="Times New Roman" w:eastAsia="Times New Roman" w:hAnsi="Times New Roman"/>
                <w:b w:val="false"/>
                <w:bCs w:val="false"/>
                <w:sz w:val="21"/>
                <w:szCs w:val="21"/>
              </w:rPr>
              <w:t xml:space="preserve">Mark Read</w:t>
            </w:r>
          </w:p>
        </w:tc>
      </w:tr>
    </w:tbl>
    <w:p>
      <w:pPr>
        <w:spacing w:after="120"/>
      </w:pPr>
      <w:r>
        <w:rPr>
          <w:rFonts w:ascii="Times New Roman" w:cs="Times New Roman" w:eastAsia="Times New Roman" w:hAnsi="Times New Roman"/>
        </w:rPr>
        <w:t xml:space="preserve"/>
      </w:r>
    </w:p>
    <w:p>
      <w:pPr>
        <w:pStyle w:val="Heading1"/>
        <w:pageBreakBefore/>
        <w:jc w:val="center"/>
      </w:pPr>
      <w:bookmarkStart w:name="_Toc117" w:id="117"/>
      <w:r>
        <w:rPr>
          <w:rFonts w:ascii="Times New Roman" w:cs="Times New Roman" w:eastAsia="Times New Roman" w:hAnsi="Times New Roman"/>
        </w:rPr>
        <w:t xml:space="preserve">APPENDIX B: INSTALLATION AND USAGE</w:t>
      </w:r>
      <w:bookmarkEnd w:id="117"/>
    </w:p>
    <w:p>
      <w:pPr>
        <w:spacing w:after="120" w:line="360"/>
        <w:jc w:val="both"/>
      </w:pPr>
      <w:r>
        <w:rPr>
          <w:rFonts w:ascii="Times New Roman" w:cs="Times New Roman" w:eastAsia="Times New Roman" w:hAnsi="Times New Roman"/>
        </w:rPr>
        <w:t xml:space="preserve">The commands below set up and run the complete system locally. They require Docker Desktop, Python 3.12 and Node.js 20 or later.</w:t>
      </w:r>
    </w:p>
    <w:p>
      <w:pPr>
        <w:shd w:fill="F2F2F2" w:color="auto" w:val="clear"/>
        <w:spacing w:after="0" w:line="240"/>
        <w:ind w:left="200"/>
      </w:pPr>
      <w:r>
        <w:rPr>
          <w:rFonts w:ascii="Courier New" w:cs="Courier New" w:eastAsia="Courier New" w:hAnsi="Courier New"/>
          <w:sz w:val="17"/>
          <w:szCs w:val="17"/>
        </w:rPr>
        <w:t xml:space="preserve">git clone https://github.com/JINAYSHAH-888/nexus-portfolio-intelligence.git</w:t>
      </w:r>
    </w:p>
    <w:p>
      <w:pPr>
        <w:shd w:fill="F2F2F2" w:color="auto" w:val="clear"/>
        <w:spacing w:after="0" w:line="240"/>
        <w:ind w:left="200"/>
      </w:pPr>
      <w:r>
        <w:rPr>
          <w:rFonts w:ascii="Courier New" w:cs="Courier New" w:eastAsia="Courier New" w:hAnsi="Courier New"/>
          <w:sz w:val="17"/>
          <w:szCs w:val="17"/>
        </w:rPr>
        <w:t xml:space="preserve">cd nexus-portfolio-intelligence</w:t>
      </w:r>
    </w:p>
    <w:p>
      <w:pPr>
        <w:shd w:fill="F2F2F2" w:color="auto" w:val="clear"/>
        <w:spacing w:after="0" w:line="240"/>
        <w:ind w:left="200"/>
      </w:pPr>
      <w:r>
        <w:rPr>
          <w:rFonts w:ascii="Courier New" w:cs="Courier New" w:eastAsia="Courier New" w:hAnsi="Courier New"/>
          <w:sz w:val="17"/>
          <w:szCs w:val="17"/>
        </w:rPr>
        <w:t xml:space="preserve">make setup          # backend virtualenv + frontend dependencies</w:t>
      </w:r>
    </w:p>
    <w:p>
      <w:pPr>
        <w:shd w:fill="F2F2F2" w:color="auto" w:val="clear"/>
        <w:spacing w:after="0" w:line="240"/>
        <w:ind w:left="200"/>
      </w:pPr>
      <w:r>
        <w:rPr>
          <w:rFonts w:ascii="Courier New" w:cs="Courier New" w:eastAsia="Courier New" w:hAnsi="Courier New"/>
          <w:sz w:val="17"/>
          <w:szCs w:val="17"/>
        </w:rPr>
        <w:t xml:space="preserve">make stack          # web :3400, api :8000, database, redis, workers</w:t>
      </w:r>
    </w:p>
    <w:p>
      <w:pPr>
        <w:shd w:fill="F2F2F2" w:color="auto" w:val="clear"/>
        <w:spacing w:after="0" w:line="240"/>
        <w:ind w:left="200"/>
      </w:pPr>
      <w:r>
        <w:rPr>
          <w:rFonts w:ascii="Courier New" w:cs="Courier New" w:eastAsia="Courier New" w:hAnsi="Courier New"/>
          <w:sz w:val="17"/>
          <w:szCs w:val="17"/>
        </w:rPr>
        <w:t xml:space="preserve">docker compose exec api alembic upgrade head</w:t>
      </w:r>
    </w:p>
    <w:p>
      <w:pPr>
        <w:shd w:fill="F2F2F2" w:color="auto" w:val="clear"/>
        <w:spacing w:after="0" w:line="240"/>
        <w:ind w:left="200"/>
      </w:pPr>
      <w:r>
        <w:rPr>
          <w:rFonts w:ascii="Courier New" w:cs="Courier New" w:eastAsia="Courier New" w:hAnsi="Courier New"/>
          <w:sz w:val="17"/>
          <w:szCs w:val="17"/>
        </w:rPr>
        <w:t xml:space="preserve">make seed           # local demo investor</w:t>
      </w:r>
    </w:p>
    <w:p>
      <w:pPr>
        <w:shd w:fill="F2F2F2" w:color="auto" w:val="clear"/>
        <w:spacing w:after="0" w:line="240"/>
        <w:ind w:left="200"/>
      </w:pPr>
      <w:r>
        <w:rPr>
          <w:rFonts w:ascii="Courier New" w:cs="Courier New" w:eastAsia="Courier New" w:hAnsi="Courier New"/>
          <w:sz w:val="17"/>
          <w:szCs w:val="17"/>
        </w:rPr>
        <w:t xml:space="preserve">make fetch-market   # download and verify market data (~3 min)</w:t>
      </w:r>
    </w:p>
    <w:p>
      <w:pPr>
        <w:shd w:fill="F2F2F2" w:color="auto" w:val="clear"/>
        <w:spacing w:after="0" w:line="240"/>
        <w:ind w:left="200"/>
      </w:pPr>
      <w:r>
        <w:rPr>
          <w:rFonts w:ascii="Courier New" w:cs="Courier New" w:eastAsia="Courier New" w:hAnsi="Courier New"/>
          <w:sz w:val="17"/>
          <w:szCs w:val="17"/>
        </w:rPr>
        <w:t xml:space="preserve">make train-models   # train and validate all models (~5 min)</w:t>
      </w:r>
    </w:p>
    <w:p>
      <w:pPr>
        <w:shd w:fill="F2F2F2" w:color="auto" w:val="clear"/>
        <w:spacing w:after="160" w:line="240"/>
        <w:ind w:left="200"/>
      </w:pPr>
      <w:r>
        <w:rPr>
          <w:rFonts w:ascii="Courier New" w:cs="Courier New" w:eastAsia="Courier New" w:hAnsi="Courier New"/>
          <w:sz w:val="17"/>
          <w:szCs w:val="17"/>
        </w:rPr>
        <w:t xml:space="preserve">make ci             # lint, tests, type check, generated-data checks</w:t>
      </w:r>
    </w:p>
    <w:p>
      <w:pPr>
        <w:spacing w:after="120" w:line="360"/>
        <w:jc w:val="both"/>
      </w:pPr>
      <w:r>
        <w:rPr>
          <w:rFonts w:ascii="Times New Roman" w:cs="Times New Roman" w:eastAsia="Times New Roman" w:hAnsi="Times New Roman"/>
        </w:rPr>
        <w:t xml:space="preserve">The application then runs at http://localhost:3400, and interactive API documentation is at http://localhost:8000/docs. The load-test and scaling scripts used in Chapter 8 are supplied with the report data (bench/load_test.py, bench/scale_test.py).</w:t>
      </w:r>
    </w:p>
    <w:p>
      <w:pPr>
        <w:pStyle w:val="Heading1"/>
        <w:pageBreakBefore/>
        <w:jc w:val="center"/>
      </w:pPr>
      <w:bookmarkStart w:name="_Toc118" w:id="118"/>
      <w:r>
        <w:rPr>
          <w:rFonts w:ascii="Times New Roman" w:cs="Times New Roman" w:eastAsia="Times New Roman" w:hAnsi="Times New Roman"/>
        </w:rPr>
        <w:t xml:space="preserve">APPENDIX C: PLAGIARISM REPORT</w:t>
      </w:r>
      <w:bookmarkEnd w:id="118"/>
    </w:p>
    <w:p>
      <w:pPr>
        <w:spacing w:after="120" w:line="360"/>
        <w:jc w:val="both"/>
      </w:pPr>
      <w:r>
        <w:rPr>
          <w:rFonts w:ascii="Times New Roman" w:cs="Times New Roman" w:eastAsia="Times New Roman" w:hAnsi="Times New Roman"/>
        </w:rPr>
        <w:t xml:space="preserve">The first page(s) of the plagiarism report generated by the plagiarism-detection tool prescribed by the department, clearly showing the similarity percentage, are attached here after the check is carried out with the project guide.</w:t>
      </w:r>
    </w:p>
    <w:p>
      <w:pPr>
        <w:spacing w:after="120" w:line="360"/>
        <w:jc w:val="both"/>
      </w:pPr>
      <w:r>
        <w:rPr>
          <w:rFonts w:ascii="Times New Roman" w:cs="Times New Roman" w:eastAsia="Times New Roman" w:hAnsi="Times New Roman"/>
        </w:rPr>
        <w:t xml:space="preserve">Similarity index: </w:t>
      </w:r>
      <w:r>
        <w:rPr>
          <w:rFonts w:ascii="Times New Roman" w:cs="Times New Roman" w:eastAsia="Times New Roman" w:hAnsi="Times New Roman"/>
          <w:b/>
          <w:bCs/>
        </w:rPr>
        <w:t xml:space="preserve">[ ____ % ]</w:t>
      </w:r>
      <w:r>
        <w:rPr>
          <w:rFonts w:ascii="Times New Roman" w:cs="Times New Roman" w:eastAsia="Times New Roman" w:hAnsi="Times New Roman"/>
        </w:rPr>
        <w:t xml:space="preserve">     Tool: </w:t>
      </w:r>
      <w:r>
        <w:rPr>
          <w:rFonts w:ascii="Times New Roman" w:cs="Times New Roman" w:eastAsia="Times New Roman" w:hAnsi="Times New Roman"/>
          <w:b/>
          <w:bCs/>
        </w:rPr>
        <w:t xml:space="preserve">[tool name]</w:t>
      </w:r>
      <w:r>
        <w:rPr>
          <w:rFonts w:ascii="Times New Roman" w:cs="Times New Roman" w:eastAsia="Times New Roman" w:hAnsi="Times New Roman"/>
        </w:rPr>
        <w:t xml:space="preserve">     Date: </w:t>
      </w:r>
      <w:r>
        <w:rPr>
          <w:rFonts w:ascii="Times New Roman" w:cs="Times New Roman" w:eastAsia="Times New Roman" w:hAnsi="Times New Roman"/>
          <w:b/>
          <w:bCs/>
        </w:rPr>
        <w:t xml:space="preserve">[DD / MM / YYYY]</w:t>
      </w:r>
    </w:p>
    <w:p>
      <w:r>
        <w:rPr>
          <w:rFonts w:ascii="Times New Roman" w:cs="Times New Roman" w:eastAsia="Times New Roman" w:hAnsi="Times New Roman"/>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9000" w:hRule="atLeast"/>
        </w:trPr>
        <w:tc>
          <w:tcPr>
            <w:tcW w:type="dxa" w:w="8306"/>
            <w:tcBorders>
              <w:top w:val="single" w:color="000000" w:sz="8"/>
              <w:left w:val="single" w:color="000000" w:sz="8"/>
              <w:bottom w:val="single" w:color="000000" w:sz="8"/>
              <w:right w:val="single" w:color="000000" w:sz="8"/>
            </w:tcBorders>
            <w:vAlign w:val="center"/>
          </w:tcPr>
          <w:p>
            <w:pPr>
              <w:spacing w:after="120" w:line="360"/>
              <w:jc w:val="center"/>
            </w:pPr>
            <w:r>
              <w:rPr>
                <w:rFonts w:ascii="Times New Roman" w:cs="Times New Roman" w:eastAsia="Times New Roman" w:hAnsi="Times New Roman"/>
                <w:i/>
                <w:iCs/>
              </w:rPr>
              <w:t xml:space="preserve">Attach the first page of the plagiarism report here</w:t>
            </w:r>
          </w:p>
          <w:p>
            <w:pPr>
              <w:spacing w:after="120" w:line="360"/>
              <w:jc w:val="center"/>
            </w:pPr>
            <w:r>
              <w:rPr>
                <w:rFonts w:ascii="Times New Roman" w:cs="Times New Roman" w:eastAsia="Times New Roman" w:hAnsi="Times New Roman"/>
                <w:i/>
                <w:iCs/>
              </w:rPr>
              <w:t xml:space="preserve">(showing the similarity percentage)</w:t>
            </w:r>
          </w:p>
        </w:tc>
      </w:tr>
    </w:tbl>
    <w:p>
      <w:pPr>
        <w:pStyle w:val="Heading1"/>
        <w:pageBreakBefore/>
        <w:jc w:val="center"/>
      </w:pPr>
      <w:bookmarkStart w:name="_Toc119" w:id="119"/>
      <w:r>
        <w:rPr>
          <w:rFonts w:ascii="Times New Roman" w:cs="Times New Roman" w:eastAsia="Times New Roman" w:hAnsi="Times New Roman"/>
        </w:rPr>
        <w:t xml:space="preserve">APPENDIX D: AI CONTENT DETECTION REPORT</w:t>
      </w:r>
      <w:bookmarkEnd w:id="119"/>
    </w:p>
    <w:p>
      <w:pPr>
        <w:spacing w:after="120" w:line="360"/>
        <w:jc w:val="both"/>
      </w:pPr>
      <w:r>
        <w:rPr>
          <w:rFonts w:ascii="Times New Roman" w:cs="Times New Roman" w:eastAsia="Times New Roman" w:hAnsi="Times New Roman"/>
        </w:rPr>
        <w:t xml:space="preserve">The first page(s) of the AI-generated-content detection report, clearly showing the AI-content percentage, are attached here after the check is carried out with the project guide.</w:t>
      </w:r>
    </w:p>
    <w:p>
      <w:pPr>
        <w:spacing w:after="120" w:line="360"/>
        <w:jc w:val="both"/>
      </w:pPr>
      <w:r>
        <w:rPr>
          <w:rFonts w:ascii="Times New Roman" w:cs="Times New Roman" w:eastAsia="Times New Roman" w:hAnsi="Times New Roman"/>
        </w:rPr>
        <w:t xml:space="preserve">AI-content percentage: </w:t>
      </w:r>
      <w:r>
        <w:rPr>
          <w:rFonts w:ascii="Times New Roman" w:cs="Times New Roman" w:eastAsia="Times New Roman" w:hAnsi="Times New Roman"/>
          <w:b/>
          <w:bCs/>
        </w:rPr>
        <w:t xml:space="preserve">[ ____ % ]</w:t>
      </w:r>
      <w:r>
        <w:rPr>
          <w:rFonts w:ascii="Times New Roman" w:cs="Times New Roman" w:eastAsia="Times New Roman" w:hAnsi="Times New Roman"/>
        </w:rPr>
        <w:t xml:space="preserve">     Tool: </w:t>
      </w:r>
      <w:r>
        <w:rPr>
          <w:rFonts w:ascii="Times New Roman" w:cs="Times New Roman" w:eastAsia="Times New Roman" w:hAnsi="Times New Roman"/>
          <w:b/>
          <w:bCs/>
        </w:rPr>
        <w:t xml:space="preserve">[tool name]</w:t>
      </w:r>
      <w:r>
        <w:rPr>
          <w:rFonts w:ascii="Times New Roman" w:cs="Times New Roman" w:eastAsia="Times New Roman" w:hAnsi="Times New Roman"/>
        </w:rPr>
        <w:t xml:space="preserve">     Date: </w:t>
      </w:r>
      <w:r>
        <w:rPr>
          <w:rFonts w:ascii="Times New Roman" w:cs="Times New Roman" w:eastAsia="Times New Roman" w:hAnsi="Times New Roman"/>
          <w:b/>
          <w:bCs/>
        </w:rPr>
        <w:t xml:space="preserve">[DD / MM / YYYY]</w:t>
      </w:r>
    </w:p>
    <w:p>
      <w:r>
        <w:rPr>
          <w:rFonts w:ascii="Times New Roman" w:cs="Times New Roman" w:eastAsia="Times New Roman" w:hAnsi="Times New Roman"/>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306"/>
      </w:tblGrid>
      <w:tr>
        <w:trPr>
          <w:trHeight w:val="9000" w:hRule="atLeast"/>
        </w:trPr>
        <w:tc>
          <w:tcPr>
            <w:tcW w:type="dxa" w:w="8306"/>
            <w:tcBorders>
              <w:top w:val="single" w:color="000000" w:sz="8"/>
              <w:left w:val="single" w:color="000000" w:sz="8"/>
              <w:bottom w:val="single" w:color="000000" w:sz="8"/>
              <w:right w:val="single" w:color="000000" w:sz="8"/>
            </w:tcBorders>
            <w:vAlign w:val="center"/>
          </w:tcPr>
          <w:p>
            <w:pPr>
              <w:spacing w:after="120" w:line="360"/>
              <w:jc w:val="center"/>
            </w:pPr>
            <w:r>
              <w:rPr>
                <w:rFonts w:ascii="Times New Roman" w:cs="Times New Roman" w:eastAsia="Times New Roman" w:hAnsi="Times New Roman"/>
                <w:i/>
                <w:iCs/>
              </w:rPr>
              <w:t xml:space="preserve">Attach the first page of the AI content detection report here</w:t>
            </w:r>
          </w:p>
          <w:p>
            <w:pPr>
              <w:spacing w:after="120" w:line="360"/>
              <w:jc w:val="center"/>
            </w:pPr>
            <w:r>
              <w:rPr>
                <w:rFonts w:ascii="Times New Roman" w:cs="Times New Roman" w:eastAsia="Times New Roman" w:hAnsi="Times New Roman"/>
                <w:i/>
                <w:iCs/>
              </w:rPr>
              <w:t xml:space="preserve">(showing the AI-content percentage)</w:t>
            </w:r>
          </w:p>
        </w:tc>
      </w:tr>
    </w:tbl>
    <w:sectPr>
      <w:headerReference w:type="default" r:id="rId8"/>
      <w:footerReference w:type="default" r:id="rId9"/>
      <w:pgSz w:w="11906" w:h="16838" w:orient="portrait"/>
      <w:pgMar w:top="1440" w:right="1440" w:bottom="1440" w:left="2160" w:header="708" w:footer="708" w:gutter="0"/>
      <w:pgBorders>
        <w:top w:val="single" w:color="000000" w:sz="6" w:space="24"/>
        <w:left w:val="single" w:color="000000" w:sz="6" w:space="24"/>
        <w:bottom w:val="single" w:color="000000" w:sz="6" w:space="24"/>
        <w:right w:val="single" w:color="000000" w:sz="6"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Nexus Portfolio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340"/>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360" w:before="1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 w:type="paragraph" w:styleId="Caption">
    <w:name w:val="Caption"/>
    <w:basedOn w:val="Normal"/>
    <w:next w:val="Normal"/>
    <w:qFormat/>
    <w:rPr>
      <w:rFonts w:ascii="Times New Roman" w:cs="Times New Roman" w:eastAsia="Times New Roman" w:hAnsi="Times New Roman"/>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1.xml"/><Relationship Id="rId9" Type="http://schemas.openxmlformats.org/officeDocument/2006/relationships/footer" Target="footer3.xml"/><Relationship Id="rId10" Type="http://schemas.openxmlformats.org/officeDocument/2006/relationships/theme" Target="theme/theme1.xml"/><Relationship Id="rId11" Type="http://schemas.openxmlformats.org/officeDocument/2006/relationships/image" Target="media/17667a3786975272a84157330419ddbabece5ca3.png"/><Relationship Id="rId12" Type="http://schemas.openxmlformats.org/officeDocument/2006/relationships/image" Target="media/ea1cd1c90677716c83a8d4a1f80e38886ed72140.jpg"/><Relationship Id="rId13" Type="http://schemas.openxmlformats.org/officeDocument/2006/relationships/image" Target="media/bccf1876e95505a7995759a3ada5a7eb76eb00dd.png"/><Relationship Id="rId14" Type="http://schemas.openxmlformats.org/officeDocument/2006/relationships/image" Target="media/61e28256a1c43da00d05cdb208b031f3a8460308.jpg"/><Relationship Id="rId15" Type="http://schemas.openxmlformats.org/officeDocument/2006/relationships/image" Target="media/fc78f180f216f5e055c29362849538b27f5cca63.jpg"/><Relationship Id="rId16" Type="http://schemas.openxmlformats.org/officeDocument/2006/relationships/image" Target="media/e4e9096224bbd4f90cc6800d9d0744d2b27544bb.jpg"/><Relationship Id="rId17" Type="http://schemas.openxmlformats.org/officeDocument/2006/relationships/image" Target="media/a6b764cb011015201fd482950d959a0d8235ab78.jpg"/><Relationship Id="rId18" Type="http://schemas.openxmlformats.org/officeDocument/2006/relationships/image" Target="media/e1dea9b58f1f9cdb9ccd8bbe23b4ce8191ce6f8d.jpg"/><Relationship Id="rId19" Type="http://schemas.openxmlformats.org/officeDocument/2006/relationships/image" Target="media/58e180d135fe97028e028df121e1a97c34ab14d4.jpg"/><Relationship Id="rId20" Type="http://schemas.openxmlformats.org/officeDocument/2006/relationships/image" Target="media/5b12a21d028c0012cd3a55962b3a1bb4913dcd2c.jpg"/><Relationship Id="rId21" Type="http://schemas.openxmlformats.org/officeDocument/2006/relationships/image" Target="media/58d3814085908af70efb1ec0b2e2ab7d63db26b6.png"/><Relationship Id="rId22" Type="http://schemas.openxmlformats.org/officeDocument/2006/relationships/image" Target="media/aa723d3ec3b33339e430127eaebb32a85f825b8a.png"/><Relationship Id="rId23" Type="http://schemas.openxmlformats.org/officeDocument/2006/relationships/image" Target="media/1088db135a7614e3f189ba3ddece74982a1c3e4e.jpg"/><Relationship Id="rId24" Type="http://schemas.openxmlformats.org/officeDocument/2006/relationships/image" Target="media/33ee79e2a04a94f10f6f28d3ffd77babdf3a56f7.png"/><Relationship Id="rId25" Type="http://schemas.openxmlformats.org/officeDocument/2006/relationships/image" Target="media/b5b976d626adb219627eab23acc9c1f442f39011.png"/><Relationship Id="rId26" Type="http://schemas.openxmlformats.org/officeDocument/2006/relationships/image" Target="media/66eab39f470fbfe4cd8786b3cf77b1b87b690a74.png"/><Relationship Id="rId27" Type="http://schemas.openxmlformats.org/officeDocument/2006/relationships/image" Target="media/e32648d363590457a4ffdabe2b82202cc976dcda.png"/><Relationship Id="rId28" Type="http://schemas.openxmlformats.org/officeDocument/2006/relationships/image" Target="media/a2e624997bebe3bbfd5cefe9f024fb16b3e445a4.png"/><Relationship Id="rId29" Type="http://schemas.openxmlformats.org/officeDocument/2006/relationships/image" Target="media/580851400242b5d83832fff8ddd50481ef345c2b.png"/><Relationship Id="rId30" Type="http://schemas.openxmlformats.org/officeDocument/2006/relationships/image" Target="media/2d8b1ab03ede2fd7b8ddc32a51ae258bce35ec16.png"/><Relationship Id="rId31" Type="http://schemas.openxmlformats.org/officeDocument/2006/relationships/image" Target="media/092cf00cca2cf7d1be8784a422f71624b594f9d3.png"/><Relationship Id="rId32" Type="http://schemas.openxmlformats.org/officeDocument/2006/relationships/image" Target="media/a4e5068fe642c4523d385dcd228b09305697f0e9.png"/><Relationship Id="rId33" Type="http://schemas.openxmlformats.org/officeDocument/2006/relationships/image" Target="media/a389e3f7255d7007d409d195afef53013a2e29b1.png"/><Relationship Id="rId34" Type="http://schemas.openxmlformats.org/officeDocument/2006/relationships/image" Target="media/6cee8dc61cf0094dd91d139cbe2cd3201b1b0c16.png"/><Relationship Id="rId35" Type="http://schemas.openxmlformats.org/officeDocument/2006/relationships/image" Target="media/abba1433568ab55947d58ca45bdebc42dc8a38ee.png"/><Relationship Id="rId36" Type="http://schemas.openxmlformats.org/officeDocument/2006/relationships/image" Target="media/2ec844397e2cc361daeaccc0c3658a4db384f8cb.png"/><Relationship Id="rId37" Type="http://schemas.openxmlformats.org/officeDocument/2006/relationships/image" Target="media/732a425f51a997481829adcfd0d5dba7215e6396.png"/><Relationship Id="rId38" Type="http://schemas.openxmlformats.org/officeDocument/2006/relationships/image" Target="media/b87325088d5fe2139400985af044569d44acdadc.png"/><Relationship Id="rId39" Type="http://schemas.openxmlformats.org/officeDocument/2006/relationships/image" Target="media/be2d185e5379f5d3301631a5528c5d6d47a656fd.png"/><Relationship Id="rId40" Type="http://schemas.openxmlformats.org/officeDocument/2006/relationships/image" Target="media/58a3540493224c73860ce2eae2db0251508b5870.png"/><Relationship Id="rId41" Type="http://schemas.openxmlformats.org/officeDocument/2006/relationships/image" Target="media/e0bf06e871eeb1e0a2e7d29faf1e16a42f14e186.png"/><Relationship Id="rId42" Type="http://schemas.openxmlformats.org/officeDocument/2006/relationships/image" Target="media/8b890a01376b13e5237badd54bc4032ee0fd7f57.png"/><Relationship Id="rId43" Type="http://schemas.openxmlformats.org/officeDocument/2006/relationships/image" Target="media/1ab93161820b52ffd986944c8f1287d4b5d51c74.png"/><Relationship Id="rId44" Type="http://schemas.openxmlformats.org/officeDocument/2006/relationships/image" Target="media/15023336f70e9449c62b9e9403b7e028697746fb.png"/><Relationship Id="rId45" Type="http://schemas.openxmlformats.org/officeDocument/2006/relationships/image" Target="media/d1fa4c304b273fb734242d1e30e19a7f7b657ff8.png"/><Relationship Id="rId46" Type="http://schemas.openxmlformats.org/officeDocument/2006/relationships/image" Target="media/bab8191bc3b0a5265f251ea2f02626479a6972d7.jpg"/><Relationship Id="rId47" Type="http://schemas.openxmlformats.org/officeDocument/2006/relationships/image" Target="media/346f8bd03975f83a9395b264c09c9c771c87978f.jpg"/><Relationship Id="rId48" Type="http://schemas.openxmlformats.org/officeDocument/2006/relationships/image" Target="media/bc5d0832de733b9455caa65135cb32ab957592e9.png"/><Relationship Id="rId49" Type="http://schemas.openxmlformats.org/officeDocument/2006/relationships/image" Target="media/b470225a13cf5b9128cb24321b466a0eb8b0f021.png"/><Relationship Id="rId50" Type="http://schemas.openxmlformats.org/officeDocument/2006/relationships/image" Target="media/8fb1a2872eb14e5e5e645b268b15591f03ec7344.png"/><Relationship Id="rId51" Type="http://schemas.openxmlformats.org/officeDocument/2006/relationships/image" Target="media/e7b3d02d04c11afed2c1264fc869f1c60af3bdb5.png"/><Relationship Id="rId52" Type="http://schemas.openxmlformats.org/officeDocument/2006/relationships/image" Target="media/bb366e9e438734a49c21be67222c09935ee5ee8d.png"/><Relationship Id="rId53" Type="http://schemas.openxmlformats.org/officeDocument/2006/relationships/image" Target="media/23595a72e2923c90dd4710e137fc34f4997dd31a.png"/><Relationship Id="rId54" Type="http://schemas.openxmlformats.org/officeDocument/2006/relationships/image" Target="media/d67d76e3d53a59ccbb25d032763611ce8e52d38e.png"/><Relationship Id="rId55" Type="http://schemas.openxmlformats.org/officeDocument/2006/relationships/image" Target="media/6fcbaee1821f81032280bc5c2e6b68e4469cc2da.png"/><Relationship Id="rId56" Type="http://schemas.openxmlformats.org/officeDocument/2006/relationships/image" Target="media/44f92c6217ccddf9c6cb8566c26896686d837c58.png"/><Relationship Id="rId57" Type="http://schemas.openxmlformats.org/officeDocument/2006/relationships/image" Target="media/4a15dbfac6773e93f813c4eb9c1c108224467ed0.jpg"/><Relationship Id="rId58" Type="http://schemas.openxmlformats.org/officeDocument/2006/relationships/image" Target="media/9dc7daaadcc3027b1f99eacbbe1e24e520c2232f.jpg"/><Relationship Id="rId59" Type="http://schemas.openxmlformats.org/officeDocument/2006/relationships/image" Target="media/1a82f69b059aaad0c893e942ac058b7c28037f4d.jpg"/><Relationship Id="rId60" Type="http://schemas.openxmlformats.org/officeDocument/2006/relationships/image" Target="media/5880896866aea689ad1bab4f5b412ff438e36639.jpg"/><Relationship Id="rId61" Type="http://schemas.openxmlformats.org/officeDocument/2006/relationships/image" Target="media/f975a2ca3b3c2d1a321c2225e6c5f9822662b631.jpg"/><Relationship Id="rId62" Type="http://schemas.openxmlformats.org/officeDocument/2006/relationships/image" Target="media/04921b4787bf4a20742c0bb4137ddb51a3174845.jpg"/><Relationship Id="rId63" Type="http://schemas.openxmlformats.org/officeDocument/2006/relationships/image" Target="media/8e69c4dcdbb5a77ef09d633fe826edaf853f9a3b.jpg"/><Relationship Id="rId64" Type="http://schemas.openxmlformats.org/officeDocument/2006/relationships/image" Target="media/ddb1775056a32a45dcf92abe31ddb29c6d9b7788.jpg"/><Relationship Id="rId65" Type="http://schemas.openxmlformats.org/officeDocument/2006/relationships/image" Target="media/70c9c7ea66a81254b47bd5f2a576b1af91e1d1cf.jpg"/><Relationship Id="rId66" Type="http://schemas.openxmlformats.org/officeDocument/2006/relationships/image" Target="media/3d03f2abe4422fa5f1ecabf71674792ee0dacda1.jpg"/><Relationship Id="rId67" Type="http://schemas.openxmlformats.org/officeDocument/2006/relationships/image" Target="media/c0e372641db4f8c6228a2146466c90d1dfb07286.png"/><Relationship Id="rId68" Type="http://schemas.openxmlformats.org/officeDocument/2006/relationships/image" Target="media/c3a5d302b3dde1a598797568644c8b51705b67e0.png"/><Relationship Id="rId69" Type="http://schemas.openxmlformats.org/officeDocument/2006/relationships/image" Target="media/a5252f4448fb03e9ac53d0255189aa3c31b58c37.png"/><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Portfolio Intelligence — T.E. Mini Project Report</dc:title>
  <dc:creator>Nexus Portfolio Intelligence project group</dc:creator>
  <cp:lastModifiedBy>Un-named</cp:lastModifiedBy>
  <cp:revision>1</cp:revision>
  <dcterms:created xsi:type="dcterms:W3CDTF">2026-10-25T12:54:25.378Z</dcterms:created>
  <dcterms:modified xsi:type="dcterms:W3CDTF">2026-10-25T12:54:25.379Z</dcterms:modified>
</cp:coreProperties>
</file>

<file path=docProps/custom.xml><?xml version="1.0" encoding="utf-8"?>
<Properties xmlns="http://schemas.openxmlformats.org/officeDocument/2006/custom-properties" xmlns:vt="http://schemas.openxmlformats.org/officeDocument/2006/docPropsVTypes"/>
</file>