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rPr>
        <w:t xml:space="preserve"/>
      </w:r>
    </w:p>
    <w:p>
      <w:pPr>
        <w:spacing w:after="120" w:line="360"/>
        <w:jc w:val="center"/>
      </w:pPr>
      <w:r>
        <w:rPr>
          <w:rFonts w:ascii="Times New Roman" w:cs="Times New Roman" w:eastAsia="Times New Roman" w:hAnsi="Times New Roman"/>
          <w:b/>
          <w:bCs/>
          <w:sz w:val="28"/>
          <w:szCs w:val="28"/>
        </w:rPr>
        <w:t xml:space="preserve">A PROJECT REPORT ON</w:t>
      </w:r>
    </w:p>
    <w:p>
      <w:r>
        <w:rPr>
          <w:rFonts w:ascii="Times New Roman" w:cs="Times New Roman" w:eastAsia="Times New Roman" w:hAnsi="Times New Roman"/>
        </w:rPr>
        <w:t xml:space="preserve"/>
      </w:r>
    </w:p>
    <w:p>
      <w:pPr>
        <w:spacing w:after="120" w:line="360"/>
        <w:jc w:val="center"/>
      </w:pPr>
      <w:r>
        <w:rPr>
          <w:rFonts w:ascii="Times New Roman" w:cs="Times New Roman" w:eastAsia="Times New Roman" w:hAnsi="Times New Roman"/>
          <w:b/>
          <w:bCs/>
          <w:sz w:val="40"/>
          <w:szCs w:val="40"/>
        </w:rPr>
        <w:t xml:space="preserve">NEXUS PORTFOLIO INTELLIGENCE</w:t>
      </w:r>
    </w:p>
    <w:p>
      <w:pPr>
        <w:spacing w:after="120" w:line="360"/>
        <w:jc w:val="center"/>
      </w:pPr>
      <w:r>
        <w:rPr>
          <w:rFonts w:ascii="Times New Roman" w:cs="Times New Roman" w:eastAsia="Times New Roman" w:hAnsi="Times New Roman"/>
          <w:sz w:val="26"/>
          <w:szCs w:val="26"/>
        </w:rPr>
        <w:t xml:space="preserve">Mutual Fund Overlap, Risk and Retirement Analytics with</w:t>
      </w:r>
    </w:p>
    <w:p>
      <w:pPr>
        <w:spacing w:after="120" w:line="360"/>
        <w:jc w:val="center"/>
      </w:pPr>
      <w:r>
        <w:rPr>
          <w:rFonts w:ascii="Times New Roman" w:cs="Times New Roman" w:eastAsia="Times New Roman" w:hAnsi="Times New Roman"/>
          <w:sz w:val="26"/>
          <w:szCs w:val="26"/>
        </w:rPr>
        <w:t xml:space="preserve">Machine-Learned and Quantitative Models</w:t>
      </w:r>
    </w:p>
    <w:p>
      <w:r>
        <w:rPr>
          <w:rFonts w:ascii="Times New Roman" w:cs="Times New Roman" w:eastAsia="Times New Roman" w:hAnsi="Times New Roman"/>
        </w:rPr>
        <w:t xml:space="preserve"/>
      </w:r>
    </w:p>
    <w:p>
      <w:pPr>
        <w:spacing w:after="120" w:line="360"/>
        <w:jc w:val="center"/>
      </w:pPr>
      <w:r>
        <w:rPr>
          <w:rFonts w:ascii="Times New Roman" w:cs="Times New Roman" w:eastAsia="Times New Roman" w:hAnsi="Times New Roman"/>
          <w:i/>
          <w:iCs/>
        </w:rPr>
        <w:t xml:space="preserve">Submitted in partial fulfilment of the requirements for the award of the degree of</w:t>
      </w:r>
    </w:p>
    <w:p>
      <w:pPr>
        <w:spacing w:after="120" w:line="360"/>
        <w:jc w:val="center"/>
      </w:pPr>
      <w:r>
        <w:rPr>
          <w:rFonts w:ascii="Times New Roman" w:cs="Times New Roman" w:eastAsia="Times New Roman" w:hAnsi="Times New Roman"/>
          <w:b/>
          <w:bCs/>
          <w:highlight w:val="yellow"/>
        </w:rPr>
        <w:t xml:space="preserve">[DEGREE, e.g. BACHELOR OF ENGINEERING / B.Sc. (IT) / MCA]</w:t>
      </w:r>
    </w:p>
    <w:p>
      <w:pPr>
        <w:spacing w:after="120" w:line="360"/>
        <w:jc w:val="center"/>
      </w:pPr>
      <w:r>
        <w:rPr>
          <w:rFonts w:ascii="Times New Roman" w:cs="Times New Roman" w:eastAsia="Times New Roman" w:hAnsi="Times New Roman"/>
        </w:rPr>
        <w:t xml:space="preserve">in</w:t>
      </w:r>
    </w:p>
    <w:p>
      <w:pPr>
        <w:spacing w:after="120" w:line="360"/>
        <w:jc w:val="center"/>
      </w:pPr>
      <w:r>
        <w:rPr>
          <w:rFonts w:ascii="Times New Roman" w:cs="Times New Roman" w:eastAsia="Times New Roman" w:hAnsi="Times New Roman"/>
          <w:b/>
          <w:bCs/>
          <w:highlight w:val="yellow"/>
        </w:rPr>
        <w:t xml:space="preserve">[BRANCH / DEPARTMENT, e.g. COMPUTER ENGINEERING]</w:t>
      </w:r>
    </w:p>
    <w:p>
      <w:r>
        <w:rPr>
          <w:rFonts w:ascii="Times New Roman" w:cs="Times New Roman" w:eastAsia="Times New Roman" w:hAnsi="Times New Roman"/>
        </w:rPr>
        <w:t xml:space="preserve"/>
      </w:r>
    </w:p>
    <w:p>
      <w:pPr>
        <w:spacing w:after="120" w:line="360"/>
        <w:jc w:val="center"/>
      </w:pPr>
      <w:r>
        <w:rPr>
          <w:rFonts w:ascii="Times New Roman" w:cs="Times New Roman" w:eastAsia="Times New Roman" w:hAnsi="Times New Roman"/>
          <w:i/>
          <w:iCs/>
        </w:rPr>
        <w:t xml:space="preserve">Submitted by</w:t>
      </w:r>
    </w:p>
    <w:p>
      <w:pPr>
        <w:spacing w:after="120" w:line="360"/>
        <w:jc w:val="center"/>
      </w:pPr>
      <w:r>
        <w:rPr>
          <w:rFonts w:ascii="Times New Roman" w:cs="Times New Roman" w:eastAsia="Times New Roman" w:hAnsi="Times New Roman"/>
          <w:b/>
          <w:bCs/>
          <w:highlight w:val="yellow"/>
        </w:rPr>
        <w:t xml:space="preserve">[STUDENT NAME]</w:t>
      </w:r>
      <w:r>
        <w:rPr>
          <w:rFonts w:ascii="Times New Roman" w:cs="Times New Roman" w:eastAsia="Times New Roman" w:hAnsi="Times New Roman"/>
          <w:b/>
          <w:bCs/>
        </w:rPr>
        <w:t xml:space="preserve">   (Roll No. </w:t>
      </w:r>
      <w:r>
        <w:rPr>
          <w:rFonts w:ascii="Times New Roman" w:cs="Times New Roman" w:eastAsia="Times New Roman" w:hAnsi="Times New Roman"/>
          <w:b/>
          <w:bCs/>
          <w:highlight w:val="yellow"/>
        </w:rPr>
        <w:t xml:space="preserve">[ROLL NO.]</w:t>
      </w:r>
      <w:r>
        <w:rPr>
          <w:rFonts w:ascii="Times New Roman" w:cs="Times New Roman" w:eastAsia="Times New Roman" w:hAnsi="Times New Roman"/>
          <w:b/>
          <w:bCs/>
        </w:rPr>
        <w:t xml:space="preserve">)</w:t>
      </w:r>
    </w:p>
    <w:p>
      <w:r>
        <w:rPr>
          <w:rFonts w:ascii="Times New Roman" w:cs="Times New Roman" w:eastAsia="Times New Roman" w:hAnsi="Times New Roman"/>
        </w:rPr>
        <w:t xml:space="preserve"/>
      </w:r>
    </w:p>
    <w:p>
      <w:pPr>
        <w:spacing w:after="120" w:line="360"/>
        <w:jc w:val="center"/>
      </w:pPr>
      <w:r>
        <w:rPr>
          <w:rFonts w:ascii="Times New Roman" w:cs="Times New Roman" w:eastAsia="Times New Roman" w:hAnsi="Times New Roman"/>
          <w:i/>
          <w:iCs/>
        </w:rPr>
        <w:t xml:space="preserve">Under the guidance of</w:t>
      </w:r>
    </w:p>
    <w:p>
      <w:pPr>
        <w:spacing w:after="120" w:line="360"/>
        <w:jc w:val="center"/>
      </w:pPr>
      <w:r>
        <w:rPr>
          <w:rFonts w:ascii="Times New Roman" w:cs="Times New Roman" w:eastAsia="Times New Roman" w:hAnsi="Times New Roman"/>
          <w:b/>
          <w:bCs/>
          <w:highlight w:val="yellow"/>
        </w:rPr>
        <w:t xml:space="preserve">[GUIDE NAME]</w:t>
      </w:r>
    </w:p>
    <w:p>
      <w:pPr>
        <w:spacing w:after="120" w:line="360"/>
        <w:jc w:val="center"/>
      </w:pPr>
      <w:r>
        <w:rPr>
          <w:rFonts w:ascii="Times New Roman" w:cs="Times New Roman" w:eastAsia="Times New Roman" w:hAnsi="Times New Roman"/>
          <w:b/>
          <w:bCs/>
          <w:highlight w:val="yellow"/>
        </w:rPr>
        <w:t xml:space="preserve">[GUIDE DESIGNATION]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line="360"/>
        <w:jc w:val="center"/>
      </w:pPr>
      <w:r>
        <w:rPr>
          <w:rFonts w:ascii="Times New Roman" w:cs="Times New Roman" w:eastAsia="Times New Roman" w:hAnsi="Times New Roman"/>
          <w:b/>
          <w:bCs/>
          <w:highlight w:val="yellow"/>
        </w:rPr>
        <w:t xml:space="preserve">[DEPARTMENT NAME]</w:t>
      </w:r>
    </w:p>
    <w:p>
      <w:pPr>
        <w:spacing w:after="120" w:line="360"/>
        <w:jc w:val="center"/>
      </w:pPr>
      <w:r>
        <w:rPr>
          <w:rFonts w:ascii="Times New Roman" w:cs="Times New Roman" w:eastAsia="Times New Roman" w:hAnsi="Times New Roman"/>
          <w:b/>
          <w:bCs/>
          <w:highlight w:val="yellow"/>
        </w:rPr>
        <w:t xml:space="preserve">[COLLEGE / INSTITUTE NAME]</w:t>
      </w:r>
    </w:p>
    <w:p>
      <w:pPr>
        <w:spacing w:after="120" w:line="360"/>
        <w:jc w:val="center"/>
      </w:pPr>
      <w:r>
        <w:rPr>
          <w:rFonts w:ascii="Times New Roman" w:cs="Times New Roman" w:eastAsia="Times New Roman" w:hAnsi="Times New Roman"/>
          <w:b/>
          <w:bCs/>
          <w:highlight w:val="yellow"/>
        </w:rPr>
        <w:t xml:space="preserve">[UNIVERSITY NAME]</w:t>
      </w:r>
    </w:p>
    <w:p>
      <w:pPr>
        <w:spacing w:after="120" w:line="360"/>
        <w:jc w:val="center"/>
        <w:sectPr>
          <w:pgSz w:w="11906" w:h="16838" w:orient="portrait"/>
          <w:pgMar w:top="1440" w:right="1440" w:bottom="1440" w:left="2160" w:header="708" w:footer="708" w:gutter="0"/>
          <w:pgBorders>
            <w:top w:val="single" w:color="000000" w:sz="6" w:space="24"/>
            <w:left w:val="single" w:color="000000" w:sz="6" w:space="24"/>
            <w:bottom w:val="single" w:color="000000" w:sz="6" w:space="24"/>
            <w:right w:val="single" w:color="000000" w:sz="6" w:space="24"/>
          </w:pgBorders>
          <w:pgNumType/>
          <w:docGrid w:linePitch="360"/>
        </w:sectPr>
      </w:pPr>
      <w:r>
        <w:rPr>
          <w:rFonts w:ascii="Times New Roman" w:cs="Times New Roman" w:eastAsia="Times New Roman" w:hAnsi="Times New Roman"/>
          <w:b/>
          <w:bCs/>
        </w:rPr>
        <w:t xml:space="preserve">ACADEMIC YEAR </w:t>
      </w:r>
      <w:r>
        <w:rPr>
          <w:rFonts w:ascii="Times New Roman" w:cs="Times New Roman" w:eastAsia="Times New Roman" w:hAnsi="Times New Roman"/>
          <w:b/>
          <w:bCs/>
          <w:highlight w:val="yellow"/>
        </w:rPr>
        <w:t xml:space="preserve">[2026 – 2027]</w:t>
      </w:r>
    </w:p>
    <w:p>
      <w:pPr>
        <w:pStyle w:val="Heading1"/>
        <w:pageBreakBefore/>
        <w:jc w:val="center"/>
      </w:pPr>
      <w:bookmarkStart w:name="_Toc1" w:id="1"/>
      <w:r>
        <w:rPr>
          <w:rFonts w:ascii="Times New Roman" w:cs="Times New Roman" w:eastAsia="Times New Roman" w:hAnsi="Times New Roman"/>
        </w:rPr>
        <w:t xml:space="preserve">CERTIFICATE</w:t>
      </w:r>
      <w:bookmarkEnd w:id="1"/>
    </w:p>
    <w:p>
      <w:r>
        <w:rPr>
          <w:rFonts w:ascii="Times New Roman" w:cs="Times New Roman" w:eastAsia="Times New Roman" w:hAnsi="Times New Roman"/>
        </w:rPr>
        <w:t xml:space="preserve"/>
      </w:r>
    </w:p>
    <w:p>
      <w:pPr>
        <w:spacing w:after="120" w:line="360"/>
        <w:jc w:val="both"/>
      </w:pPr>
      <w:r>
        <w:rPr>
          <w:rFonts w:ascii="Times New Roman" w:cs="Times New Roman" w:eastAsia="Times New Roman" w:hAnsi="Times New Roman"/>
        </w:rPr>
        <w:t xml:space="preserve">This is to certify that the project entitled </w:t>
      </w:r>
      <w:r>
        <w:rPr>
          <w:rFonts w:ascii="Times New Roman" w:cs="Times New Roman" w:eastAsia="Times New Roman" w:hAnsi="Times New Roman"/>
          <w:b/>
          <w:bCs/>
        </w:rPr>
        <w:t xml:space="preserve">“Nexus Portfolio Intelligence: Mutual Fund Overlap, Risk and Retirement Analytics with Machine-Learned and Quantitative Models”</w:t>
      </w:r>
      <w:r>
        <w:rPr>
          <w:rFonts w:ascii="Times New Roman" w:cs="Times New Roman" w:eastAsia="Times New Roman" w:hAnsi="Times New Roman"/>
        </w:rPr>
        <w:t xml:space="preserve"> is a bonafide work carried out by </w:t>
      </w:r>
      <w:r>
        <w:rPr>
          <w:rFonts w:ascii="Times New Roman" w:cs="Times New Roman" w:eastAsia="Times New Roman" w:hAnsi="Times New Roman"/>
          <w:b/>
          <w:bCs/>
          <w:highlight w:val="yellow"/>
        </w:rPr>
        <w:t xml:space="preserve">[STUDENT NAME]</w:t>
      </w:r>
      <w:r>
        <w:rPr>
          <w:rFonts w:ascii="Times New Roman" w:cs="Times New Roman" w:eastAsia="Times New Roman" w:hAnsi="Times New Roman"/>
        </w:rPr>
        <w:t xml:space="preserve"> (Roll No. </w:t>
      </w:r>
      <w:r>
        <w:rPr>
          <w:rFonts w:ascii="Times New Roman" w:cs="Times New Roman" w:eastAsia="Times New Roman" w:hAnsi="Times New Roman"/>
          <w:b/>
          <w:bCs/>
          <w:highlight w:val="yellow"/>
        </w:rPr>
        <w:t xml:space="preserve">[ROLL NO.]</w:t>
      </w:r>
      <w:r>
        <w:rPr>
          <w:rFonts w:ascii="Times New Roman" w:cs="Times New Roman" w:eastAsia="Times New Roman" w:hAnsi="Times New Roman"/>
        </w:rPr>
        <w:t xml:space="preserve">) in partial fulfilment of the requirements for the award of the degree of </w:t>
      </w:r>
      <w:r>
        <w:rPr>
          <w:rFonts w:ascii="Times New Roman" w:cs="Times New Roman" w:eastAsia="Times New Roman" w:hAnsi="Times New Roman"/>
          <w:b/>
          <w:bCs/>
          <w:highlight w:val="yellow"/>
        </w:rPr>
        <w:t xml:space="preserve">[DEGREE]</w:t>
      </w:r>
      <w:r>
        <w:rPr>
          <w:rFonts w:ascii="Times New Roman" w:cs="Times New Roman" w:eastAsia="Times New Roman" w:hAnsi="Times New Roman"/>
        </w:rPr>
        <w:t xml:space="preserve"> in </w:t>
      </w:r>
      <w:r>
        <w:rPr>
          <w:rFonts w:ascii="Times New Roman" w:cs="Times New Roman" w:eastAsia="Times New Roman" w:hAnsi="Times New Roman"/>
          <w:b/>
          <w:bCs/>
          <w:highlight w:val="yellow"/>
        </w:rPr>
        <w:t xml:space="preserve">[BRANCH]</w:t>
      </w:r>
      <w:r>
        <w:rPr>
          <w:rFonts w:ascii="Times New Roman" w:cs="Times New Roman" w:eastAsia="Times New Roman" w:hAnsi="Times New Roman"/>
        </w:rPr>
        <w:t xml:space="preserve"> of </w:t>
      </w:r>
      <w:r>
        <w:rPr>
          <w:rFonts w:ascii="Times New Roman" w:cs="Times New Roman" w:eastAsia="Times New Roman" w:hAnsi="Times New Roman"/>
          <w:b/>
          <w:bCs/>
          <w:highlight w:val="yellow"/>
        </w:rPr>
        <w:t xml:space="preserve">[UNIVERSITY NAME]</w:t>
      </w:r>
      <w:r>
        <w:rPr>
          <w:rFonts w:ascii="Times New Roman" w:cs="Times New Roman" w:eastAsia="Times New Roman" w:hAnsi="Times New Roman"/>
        </w:rPr>
        <w:t xml:space="preserve"> during the academic year </w:t>
      </w:r>
      <w:r>
        <w:rPr>
          <w:rFonts w:ascii="Times New Roman" w:cs="Times New Roman" w:eastAsia="Times New Roman" w:hAnsi="Times New Roman"/>
          <w:b/>
          <w:bCs/>
          <w:highlight w:val="yellow"/>
        </w:rPr>
        <w:t xml:space="preserve">[2026 – 2027]</w:t>
      </w:r>
      <w:r>
        <w:rPr>
          <w:rFonts w:ascii="Times New Roman" w:cs="Times New Roman" w:eastAsia="Times New Roman" w:hAnsi="Times New Roman"/>
        </w:rPr>
        <w:t xml:space="preserve">. The project report has been approved as it satisfies the academic requirements prescribed for the said degree.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8306"/>
        <w:tblBorders>
          <w:top w:val="none"/>
          <w:left w:val="none"/>
          <w:bottom w:val="none"/>
          <w:right w:val="none"/>
          <w:insideH w:val="none"/>
          <w:insideV w:val="none"/>
        </w:tblBorders>
      </w:tblPr>
      <w:tblGrid>
        <w:gridCol w:w="4153"/>
        <w:gridCol w:w="4153"/>
      </w:tblGrid>
      <w:tr>
        <w:tc>
          <w:tcPr>
            <w:tcW w:type="dxa" w:w="4153"/>
          </w:tcPr>
          <w:p>
            <w:pPr>
              <w:spacing w:after="120" w:line="360"/>
              <w:jc w:val="left"/>
            </w:pPr>
            <w:r>
              <w:rPr>
                <w:rFonts w:ascii="Times New Roman" w:cs="Times New Roman" w:eastAsia="Times New Roman" w:hAnsi="Times New Roman"/>
              </w:rPr>
              <w:t xml:space="preserve">____________________</w:t>
            </w:r>
          </w:p>
          <w:p>
            <w:pPr>
              <w:spacing w:after="120" w:line="360"/>
              <w:jc w:val="left"/>
            </w:pPr>
            <w:r>
              <w:rPr>
                <w:rFonts w:ascii="Times New Roman" w:cs="Times New Roman" w:eastAsia="Times New Roman" w:hAnsi="Times New Roman"/>
                <w:b/>
                <w:bCs/>
                <w:highlight w:val="yellow"/>
              </w:rPr>
              <w:t xml:space="preserve">[GUIDE NAME]</w:t>
            </w:r>
          </w:p>
          <w:p>
            <w:pPr>
              <w:spacing w:after="120" w:line="360"/>
              <w:jc w:val="left"/>
            </w:pPr>
            <w:r>
              <w:rPr>
                <w:rFonts w:ascii="Times New Roman" w:cs="Times New Roman" w:eastAsia="Times New Roman" w:hAnsi="Times New Roman"/>
              </w:rPr>
              <w:t xml:space="preserve">Project Guide</w:t>
            </w:r>
          </w:p>
        </w:tc>
        <w:tc>
          <w:tcPr>
            <w:tcW w:type="dxa" w:w="4153"/>
          </w:tcPr>
          <w:p>
            <w:pPr>
              <w:spacing w:after="120" w:line="360"/>
              <w:jc w:val="right"/>
            </w:pPr>
            <w:r>
              <w:rPr>
                <w:rFonts w:ascii="Times New Roman" w:cs="Times New Roman" w:eastAsia="Times New Roman" w:hAnsi="Times New Roman"/>
              </w:rPr>
              <w:t xml:space="preserve">____________________</w:t>
            </w:r>
          </w:p>
          <w:p>
            <w:pPr>
              <w:spacing w:after="120" w:line="360"/>
              <w:jc w:val="right"/>
            </w:pPr>
            <w:r>
              <w:rPr>
                <w:rFonts w:ascii="Times New Roman" w:cs="Times New Roman" w:eastAsia="Times New Roman" w:hAnsi="Times New Roman"/>
                <w:b/>
                <w:bCs/>
                <w:highlight w:val="yellow"/>
              </w:rPr>
              <w:t xml:space="preserve">[HOD NAME]</w:t>
            </w:r>
          </w:p>
          <w:p>
            <w:pPr>
              <w:spacing w:after="120" w:line="360"/>
              <w:jc w:val="right"/>
            </w:pPr>
            <w:r>
              <w:rPr>
                <w:rFonts w:ascii="Times New Roman" w:cs="Times New Roman" w:eastAsia="Times New Roman" w:hAnsi="Times New Roman"/>
              </w:rPr>
              <w:t xml:space="preserve">Head of Department</w:t>
            </w:r>
          </w:p>
        </w:tc>
      </w:tr>
      <w:tr>
        <w:tc>
          <w:tcPr>
            <w:tcW w:type="dxa" w:w="4153"/>
          </w:tcPr>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line="360"/>
              <w:jc w:val="left"/>
            </w:pPr>
            <w:r>
              <w:rPr>
                <w:rFonts w:ascii="Times New Roman" w:cs="Times New Roman" w:eastAsia="Times New Roman" w:hAnsi="Times New Roman"/>
              </w:rPr>
              <w:t xml:space="preserve">____________________</w:t>
            </w:r>
          </w:p>
          <w:p>
            <w:pPr>
              <w:spacing w:after="120" w:line="360"/>
              <w:jc w:val="left"/>
            </w:pPr>
            <w:r>
              <w:rPr>
                <w:rFonts w:ascii="Times New Roman" w:cs="Times New Roman" w:eastAsia="Times New Roman" w:hAnsi="Times New Roman"/>
              </w:rPr>
              <w:t xml:space="preserve">Internal Examiner</w:t>
            </w:r>
          </w:p>
        </w:tc>
        <w:tc>
          <w:tcPr>
            <w:tcW w:type="dxa" w:w="4153"/>
          </w:tcPr>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line="360"/>
              <w:jc w:val="right"/>
            </w:pPr>
            <w:r>
              <w:rPr>
                <w:rFonts w:ascii="Times New Roman" w:cs="Times New Roman" w:eastAsia="Times New Roman" w:hAnsi="Times New Roman"/>
              </w:rPr>
              <w:t xml:space="preserve">____________________</w:t>
            </w:r>
          </w:p>
          <w:p>
            <w:pPr>
              <w:spacing w:after="120" w:line="360"/>
              <w:jc w:val="right"/>
            </w:pPr>
            <w:r>
              <w:rPr>
                <w:rFonts w:ascii="Times New Roman" w:cs="Times New Roman" w:eastAsia="Times New Roman" w:hAnsi="Times New Roman"/>
              </w:rPr>
              <w:t xml:space="preserve">External Examiner</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line="360"/>
        <w:jc w:val="left"/>
      </w:pPr>
      <w:r>
        <w:rPr>
          <w:rFonts w:ascii="Times New Roman" w:cs="Times New Roman" w:eastAsia="Times New Roman" w:hAnsi="Times New Roman"/>
        </w:rPr>
        <w:t xml:space="preserve">Date: </w:t>
      </w:r>
      <w:r>
        <w:rPr>
          <w:rFonts w:ascii="Times New Roman" w:cs="Times New Roman" w:eastAsia="Times New Roman" w:hAnsi="Times New Roman"/>
          <w:b/>
          <w:bCs/>
          <w:highlight w:val="yellow"/>
        </w:rPr>
        <w:t xml:space="preserve">[DD / MM / YYYY]</w:t>
      </w:r>
      <w:r>
        <w:rPr>
          <w:rFonts w:ascii="Times New Roman" w:cs="Times New Roman" w:eastAsia="Times New Roman" w:hAnsi="Times New Roman"/>
        </w:rPr>
        <w:t xml:space="preserve">                                                  Place: </w:t>
      </w:r>
      <w:r>
        <w:rPr>
          <w:rFonts w:ascii="Times New Roman" w:cs="Times New Roman" w:eastAsia="Times New Roman" w:hAnsi="Times New Roman"/>
          <w:b/>
          <w:bCs/>
          <w:highlight w:val="yellow"/>
        </w:rPr>
        <w:t xml:space="preserve">[CITY]</w:t>
      </w:r>
    </w:p>
    <w:p>
      <w:pPr>
        <w:pStyle w:val="Heading1"/>
        <w:pageBreakBefore/>
        <w:jc w:val="center"/>
      </w:pPr>
      <w:bookmarkStart w:name="_Toc2" w:id="2"/>
      <w:r>
        <w:rPr>
          <w:rFonts w:ascii="Times New Roman" w:cs="Times New Roman" w:eastAsia="Times New Roman" w:hAnsi="Times New Roman"/>
        </w:rPr>
        <w:t xml:space="preserve">DECLARATION</w:t>
      </w:r>
      <w:bookmarkEnd w:id="2"/>
    </w:p>
    <w:p>
      <w:r>
        <w:rPr>
          <w:rFonts w:ascii="Times New Roman" w:cs="Times New Roman" w:eastAsia="Times New Roman" w:hAnsi="Times New Roman"/>
        </w:rPr>
        <w:t xml:space="preserve"/>
      </w:r>
    </w:p>
    <w:p>
      <w:pPr>
        <w:spacing w:after="120" w:line="360"/>
        <w:jc w:val="both"/>
      </w:pPr>
      <w:r>
        <w:rPr>
          <w:rFonts w:ascii="Times New Roman" w:cs="Times New Roman" w:eastAsia="Times New Roman" w:hAnsi="Times New Roman"/>
        </w:rPr>
        <w:t xml:space="preserve">I declare that this written submission represents my ideas in my own words, and where others’ ideas or words have been included, I have adequately cited and referenced the original sources. I also declare that I have adhered to all principles of academic honesty and integrity and have not misrepresented, fabricated or falsified any idea, data, fact or source in my submission. I understand that any violation of the above will be cause for disciplinary action by the Institute and can also evoke penal action from the sources which have not been properly cited or from whom proper permission has not been taken when needed.</w:t>
      </w:r>
    </w:p>
    <w:p>
      <w:pPr>
        <w:spacing w:after="120" w:line="360"/>
        <w:jc w:val="both"/>
      </w:pPr>
      <w:r>
        <w:rPr>
          <w:rFonts w:ascii="Times New Roman" w:cs="Times New Roman" w:eastAsia="Times New Roman" w:hAnsi="Times New Roman"/>
        </w:rPr>
        <w:t xml:space="preserve">All market data used in this project was downloaded from public sources (AMFI, NSE Indices and Yahoo Finance) and verified as described in Chapter 5; all scheme data was taken from published Nippon India Mutual Fund factsheets. No figure in this report has been invented.</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line="360"/>
        <w:jc w:val="right"/>
      </w:pPr>
      <w:r>
        <w:rPr>
          <w:rFonts w:ascii="Times New Roman" w:cs="Times New Roman" w:eastAsia="Times New Roman" w:hAnsi="Times New Roman"/>
        </w:rPr>
        <w:t xml:space="preserve">____________________</w:t>
      </w:r>
    </w:p>
    <w:p>
      <w:pPr>
        <w:spacing w:after="120" w:line="360"/>
        <w:jc w:val="right"/>
      </w:pPr>
      <w:r>
        <w:rPr>
          <w:rFonts w:ascii="Times New Roman" w:cs="Times New Roman" w:eastAsia="Times New Roman" w:hAnsi="Times New Roman"/>
          <w:b/>
          <w:bCs/>
          <w:highlight w:val="yellow"/>
        </w:rPr>
        <w:t xml:space="preserve">[STUDENT NAME]</w:t>
      </w:r>
    </w:p>
    <w:p>
      <w:pPr>
        <w:spacing w:after="120" w:line="360"/>
        <w:jc w:val="right"/>
      </w:pPr>
      <w:r>
        <w:rPr>
          <w:rFonts w:ascii="Times New Roman" w:cs="Times New Roman" w:eastAsia="Times New Roman" w:hAnsi="Times New Roman"/>
        </w:rPr>
        <w:t xml:space="preserve">Roll No. </w:t>
      </w:r>
      <w:r>
        <w:rPr>
          <w:rFonts w:ascii="Times New Roman" w:cs="Times New Roman" w:eastAsia="Times New Roman" w:hAnsi="Times New Roman"/>
          <w:b/>
          <w:bCs/>
          <w:highlight w:val="yellow"/>
        </w:rPr>
        <w:t xml:space="preserve">[ROLL NO.]</w:t>
      </w:r>
    </w:p>
    <w:p>
      <w:pPr>
        <w:spacing w:after="120" w:line="360"/>
        <w:jc w:val="left"/>
      </w:pPr>
      <w:r>
        <w:rPr>
          <w:rFonts w:ascii="Times New Roman" w:cs="Times New Roman" w:eastAsia="Times New Roman" w:hAnsi="Times New Roman"/>
        </w:rPr>
        <w:t xml:space="preserve">Date: </w:t>
      </w:r>
      <w:r>
        <w:rPr>
          <w:rFonts w:ascii="Times New Roman" w:cs="Times New Roman" w:eastAsia="Times New Roman" w:hAnsi="Times New Roman"/>
          <w:b/>
          <w:bCs/>
          <w:highlight w:val="yellow"/>
        </w:rPr>
        <w:t xml:space="preserve">[DD / MM / YYYY]</w:t>
      </w:r>
    </w:p>
    <w:p>
      <w:pPr>
        <w:pStyle w:val="Heading1"/>
        <w:pageBreakBefore/>
        <w:jc w:val="center"/>
      </w:pPr>
      <w:bookmarkStart w:name="_Toc3" w:id="3"/>
      <w:r>
        <w:rPr>
          <w:rFonts w:ascii="Times New Roman" w:cs="Times New Roman" w:eastAsia="Times New Roman" w:hAnsi="Times New Roman"/>
        </w:rPr>
        <w:t xml:space="preserve">ACKNOWLEDGEMENT</w:t>
      </w:r>
      <w:bookmarkEnd w:id="3"/>
    </w:p>
    <w:p>
      <w:r>
        <w:rPr>
          <w:rFonts w:ascii="Times New Roman" w:cs="Times New Roman" w:eastAsia="Times New Roman" w:hAnsi="Times New Roman"/>
        </w:rPr>
        <w:t xml:space="preserve"/>
      </w:r>
    </w:p>
    <w:p>
      <w:pPr>
        <w:spacing w:after="120" w:line="360"/>
        <w:jc w:val="both"/>
      </w:pPr>
      <w:r>
        <w:rPr>
          <w:rFonts w:ascii="Times New Roman" w:cs="Times New Roman" w:eastAsia="Times New Roman" w:hAnsi="Times New Roman"/>
        </w:rPr>
        <w:t xml:space="preserve">I express my sincere gratitude to my project guide, </w:t>
      </w:r>
      <w:r>
        <w:rPr>
          <w:rFonts w:ascii="Times New Roman" w:cs="Times New Roman" w:eastAsia="Times New Roman" w:hAnsi="Times New Roman"/>
          <w:b/>
          <w:bCs/>
          <w:highlight w:val="yellow"/>
        </w:rPr>
        <w:t xml:space="preserve">[GUIDE NAME]</w:t>
      </w:r>
      <w:r>
        <w:rPr>
          <w:rFonts w:ascii="Times New Roman" w:cs="Times New Roman" w:eastAsia="Times New Roman" w:hAnsi="Times New Roman"/>
        </w:rPr>
        <w:t xml:space="preserve">, for valuable guidance, constant encouragement and constructive feedback throughout this project. I am thankful to </w:t>
      </w:r>
      <w:r>
        <w:rPr>
          <w:rFonts w:ascii="Times New Roman" w:cs="Times New Roman" w:eastAsia="Times New Roman" w:hAnsi="Times New Roman"/>
          <w:b/>
          <w:bCs/>
          <w:highlight w:val="yellow"/>
        </w:rPr>
        <w:t xml:space="preserve">[HOD NAME]</w:t>
      </w:r>
      <w:r>
        <w:rPr>
          <w:rFonts w:ascii="Times New Roman" w:cs="Times New Roman" w:eastAsia="Times New Roman" w:hAnsi="Times New Roman"/>
        </w:rPr>
        <w:t xml:space="preserve">, Head of the </w:t>
      </w:r>
      <w:r>
        <w:rPr>
          <w:rFonts w:ascii="Times New Roman" w:cs="Times New Roman" w:eastAsia="Times New Roman" w:hAnsi="Times New Roman"/>
          <w:b/>
          <w:bCs/>
          <w:highlight w:val="yellow"/>
        </w:rPr>
        <w:t xml:space="preserve">[DEPARTMENT]</w:t>
      </w:r>
      <w:r>
        <w:rPr>
          <w:rFonts w:ascii="Times New Roman" w:cs="Times New Roman" w:eastAsia="Times New Roman" w:hAnsi="Times New Roman"/>
        </w:rPr>
        <w:t xml:space="preserve">, and to the Principal, </w:t>
      </w:r>
      <w:r>
        <w:rPr>
          <w:rFonts w:ascii="Times New Roman" w:cs="Times New Roman" w:eastAsia="Times New Roman" w:hAnsi="Times New Roman"/>
          <w:b/>
          <w:bCs/>
          <w:highlight w:val="yellow"/>
        </w:rPr>
        <w:t xml:space="preserve">[PRINCIPAL NAME]</w:t>
      </w:r>
      <w:r>
        <w:rPr>
          <w:rFonts w:ascii="Times New Roman" w:cs="Times New Roman" w:eastAsia="Times New Roman" w:hAnsi="Times New Roman"/>
        </w:rPr>
        <w:t xml:space="preserve">, for providing the facilities and an environment that made this work possible.</w:t>
      </w:r>
    </w:p>
    <w:p>
      <w:pPr>
        <w:spacing w:after="120" w:line="360"/>
        <w:jc w:val="both"/>
      </w:pPr>
      <w:r>
        <w:rPr>
          <w:rFonts w:ascii="Times New Roman" w:cs="Times New Roman" w:eastAsia="Times New Roman" w:hAnsi="Times New Roman"/>
        </w:rPr>
        <w:t xml:space="preserve">I also thank the faculty and staff of the department for their support, and the maintainers of the open-source projects on which this system is built: FastAPI, PostgreSQL, Redis, Celery, NumPy, SciPy, pandas, scikit-learn, Next.js, React, three.js and GSAP. Public data from the Association of Mutual Funds in India (AMFI), NSE Indices Ltd. and Nippon India Mutual Fund factsheets made the analysis possible.</w:t>
      </w:r>
    </w:p>
    <w:p>
      <w:pPr>
        <w:spacing w:after="120" w:line="360"/>
        <w:jc w:val="both"/>
      </w:pPr>
      <w:r>
        <w:rPr>
          <w:rFonts w:ascii="Times New Roman" w:cs="Times New Roman" w:eastAsia="Times New Roman" w:hAnsi="Times New Roman"/>
        </w:rPr>
        <w:t xml:space="preserve">Finally, I thank my family and friends for their patience and encouragement.</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line="360"/>
        <w:jc w:val="right"/>
      </w:pPr>
      <w:r>
        <w:rPr>
          <w:rFonts w:ascii="Times New Roman" w:cs="Times New Roman" w:eastAsia="Times New Roman" w:hAnsi="Times New Roman"/>
          <w:b/>
          <w:bCs/>
          <w:highlight w:val="yellow"/>
        </w:rPr>
        <w:t xml:space="preserve">[STUDENT NAME]</w:t>
      </w:r>
    </w:p>
    <w:p>
      <w:pPr>
        <w:pStyle w:val="Heading1"/>
        <w:pageBreakBefore/>
        <w:jc w:val="center"/>
      </w:pPr>
      <w:bookmarkStart w:name="_Toc4" w:id="4"/>
      <w:r>
        <w:rPr>
          <w:rFonts w:ascii="Times New Roman" w:cs="Times New Roman" w:eastAsia="Times New Roman" w:hAnsi="Times New Roman"/>
        </w:rPr>
        <w:t xml:space="preserve">ABSTRACT</w:t>
      </w:r>
      <w:bookmarkEnd w:id="4"/>
    </w:p>
    <w:p>
      <w:pPr>
        <w:spacing w:after="120" w:line="360"/>
        <w:jc w:val="both"/>
      </w:pPr>
      <w:r>
        <w:rPr>
          <w:rFonts w:ascii="Times New Roman" w:cs="Times New Roman" w:eastAsia="Times New Roman" w:hAnsi="Times New Roman"/>
        </w:rPr>
        <w:t xml:space="preserve">Retail investors in India commonly hold five or six mutual funds in the belief that more schemes mean more diversification. In practice, funds from the same fund house often hold the same large companies: in the Nippon India equity range, HDFC Bank, ICICI Bank, Axis Bank and State Bank of India each appear in 11 of 20 equity schemes, and two schemes that share only 15 holdings can still have 41% of their money in the same stocks. Existing tools report name overlap but not what overlap costs in co-movement, risk or retirement outcomes, and most retirement calculators present a single deterministic number.</w:t>
      </w:r>
    </w:p>
    <w:p>
      <w:pPr>
        <w:spacing w:after="120" w:line="360"/>
        <w:jc w:val="both"/>
      </w:pPr>
      <w:r>
        <w:rPr>
          <w:rFonts w:ascii="Times New Roman" w:cs="Times New Roman" w:eastAsia="Times New Roman" w:hAnsi="Times New Roman"/>
        </w:rPr>
        <w:t xml:space="preserve">This project, </w:t>
      </w:r>
      <w:r>
        <w:rPr>
          <w:rFonts w:ascii="Times New Roman" w:cs="Times New Roman" w:eastAsia="Times New Roman" w:hAnsi="Times New Roman"/>
          <w:b/>
          <w:bCs/>
        </w:rPr>
        <w:t xml:space="preserve">Nexus Portfolio Intelligence</w:t>
      </w:r>
      <w:r>
        <w:rPr>
          <w:rFonts w:ascii="Times New Roman" w:cs="Times New Roman" w:eastAsia="Times New Roman" w:hAnsi="Times New Roman"/>
        </w:rPr>
        <w:t xml:space="preserve">, is a full-stack analytics platform built on 35 real Nippon India schemes. A FastAPI backend with PostgreSQL, Redis and Celery exposes 47 REST endpoints, and a Next.js frontend presents the analysis with an investor-facing design. Five engines answer the investor’s questions: a consent-based scheme filter, holdings overlap, </w:t>
      </w:r>
      <w:r>
        <w:rPr>
          <w:rFonts w:ascii="Times New Roman" w:cs="Times New Roman" w:eastAsia="Times New Roman" w:hAnsi="Times New Roman"/>
          <w:b/>
          <w:bCs/>
        </w:rPr>
        <w:t xml:space="preserve">PLOS</w:t>
      </w:r>
      <w:r>
        <w:rPr>
          <w:rFonts w:ascii="Times New Roman" w:cs="Times New Roman" w:eastAsia="Times New Roman" w:hAnsi="Times New Roman"/>
        </w:rPr>
        <w:t xml:space="preserve"> (Portfolio Level Overlap Score), a </w:t>
      </w:r>
      <w:r>
        <w:rPr>
          <w:rFonts w:ascii="Times New Roman" w:cs="Times New Roman" w:eastAsia="Times New Roman" w:hAnsi="Times New Roman"/>
          <w:b/>
          <w:bCs/>
        </w:rPr>
        <w:t xml:space="preserve">Risk</w:t>
      </w:r>
      <w:r>
        <w:rPr>
          <w:rFonts w:ascii="Times New Roman" w:cs="Times New Roman" w:eastAsia="Times New Roman" w:hAnsi="Times New Roman"/>
        </w:rPr>
        <w:t xml:space="preserve"> engine and </w:t>
      </w:r>
      <w:r>
        <w:rPr>
          <w:rFonts w:ascii="Times New Roman" w:cs="Times New Roman" w:eastAsia="Times New Roman" w:hAnsi="Times New Roman"/>
          <w:b/>
          <w:bCs/>
        </w:rPr>
        <w:t xml:space="preserve">ARISE</w:t>
      </w:r>
      <w:r>
        <w:rPr>
          <w:rFonts w:ascii="Times New Roman" w:cs="Times New Roman" w:eastAsia="Times New Roman" w:hAnsi="Times New Roman"/>
        </w:rPr>
        <w:t xml:space="preserve">, a Monte Carlo retirement engine.</w:t>
      </w:r>
    </w:p>
    <w:p>
      <w:pPr>
        <w:spacing w:after="120" w:line="360"/>
        <w:jc w:val="both"/>
      </w:pPr>
      <w:r>
        <w:rPr>
          <w:rFonts w:ascii="Times New Roman" w:cs="Times New Roman" w:eastAsia="Times New Roman" w:hAnsi="Times New Roman"/>
        </w:rPr>
        <w:t xml:space="preserve">Each analytical engine was given its own machine-learned and quantitative model, trained offline on verified public data: 13 years of NAV history for 34 schemes (every AMFI code checked against the NAV printed on the factsheet), prices for 188 holding stocks, ten Nifty sector indices, India VIX, global market series and official NSE valuation history since 1999. Every model was judged out of sample against the model it replaces. PLOS v3 (Fisher-z learned weights, holdings-implied correlation, sector style analysis and exact Shapley contributions) raised forward-in-time accuracy from R² 0.570 to 0.626. Risk v2 (a HAR-X volatility model using India VIX and global factors, blended with GARCH and an extreme-value tail) cut volatility forecast error by 20% (Diebold–Mariano p &lt; 0.00001) and improved joint VaR/ES scores on 13 funds over 21,450 fund-days. ARISE v5 corrected an over-confident return process: its 80% forecast ranges now contain 82.8% of real three-year outcomes, up from 67.4%.</w:t>
      </w:r>
    </w:p>
    <w:p>
      <w:pPr>
        <w:spacing w:after="120" w:line="360"/>
        <w:jc w:val="both"/>
      </w:pPr>
      <w:r>
        <w:rPr>
          <w:rFonts w:ascii="Times New Roman" w:cs="Times New Roman" w:eastAsia="Times New Roman" w:hAnsi="Times New Roman"/>
        </w:rPr>
        <w:t xml:space="preserve">Complex alternatives that did not win — gradient-boosted trees, regime-switching models and a joint equity–inflation bootstrap — were rejected with documented evidence. The system is covered by 449 automated tests and continuous integration.</w:t>
      </w:r>
    </w:p>
    <w:p>
      <w:pPr>
        <w:spacing w:after="120" w:line="360"/>
        <w:jc w:val="both"/>
      </w:pPr>
      <w:r>
        <w:rPr>
          <w:rFonts w:ascii="Times New Roman" w:cs="Times New Roman" w:eastAsia="Times New Roman" w:hAnsi="Times New Roman"/>
          <w:b/>
          <w:bCs/>
        </w:rPr>
        <w:t xml:space="preserve">Keywords: </w:t>
      </w:r>
      <w:r>
        <w:rPr>
          <w:rFonts w:ascii="Times New Roman" w:cs="Times New Roman" w:eastAsia="Times New Roman" w:hAnsi="Times New Roman"/>
          <w:i/>
          <w:iCs/>
        </w:rPr>
        <w:t xml:space="preserve">mutual fund overlap, portfolio diversification, value at risk, volatility forecasting, HAR model, GARCH, Monte Carlo simulation, retirement planning, machine learning, out-of-sample validation.</w:t>
      </w:r>
    </w:p>
    <w:p>
      <w:pPr>
        <w:pStyle w:val="Heading1"/>
        <w:pageBreakBefore/>
        <w:jc w:val="center"/>
      </w:pPr>
      <w:bookmarkStart w:name="_Toc5" w:id="5"/>
      <w:r>
        <w:rPr>
          <w:rFonts w:ascii="Times New Roman" w:cs="Times New Roman" w:eastAsia="Times New Roman" w:hAnsi="Times New Roman"/>
        </w:rPr>
        <w:t xml:space="preserve">TABLE OF CONTENTS</w:t>
      </w:r>
      <w:bookmarkEnd w:id="5"/>
    </w:p>
    <w:sdt>
      <w:sdtPr>
        <w:alias w:val="Table of Contents"/>
      </w:sdtPr>
      <w:sdtContent>
        <w:p>
          <w:pPr>
            <w:pStyle w:val="TOC1"/>
            <w:tabs>
              <w:tab w:val="right" w:pos="8306" w:leader="dot"/>
            </w:tabs>
          </w:pPr>
          <w:r>
            <w:fldChar w:fldCharType="begin" w:dirty="true"/>
            <w:instrText xml:space="preserve">TOC \h \o "1-3"</w:instrText>
            <w:fldChar w:fldCharType="separate"/>
          </w:r>
          <w:hyperlink w:history="1" w:anchor="_Toc1">
            <w:r>
              <w:t xml:space="preserve">CERTIFICATE</w:t>
            </w:r>
            <w:r>
              <w:tab/>
            </w:r>
            <w:r>
              <w:fldChar w:fldCharType="begin" w:dirty="true"/>
              <w:instrText xml:space="preserve">PAGEREF _Toc1 \h</w:instrText>
              <w:fldChar w:fldCharType="separate"/>
              <w:fldChar w:fldCharType="end"/>
            </w:r>
          </w:hyperlink>
        </w:p>
        <w:p>
          <w:pPr>
            <w:pStyle w:val="TOC1"/>
            <w:tabs>
              <w:tab w:val="right" w:pos="8306" w:leader="dot"/>
            </w:tabs>
          </w:pPr>
          <w:hyperlink w:history="1" w:anchor="_Toc2">
            <w:r>
              <w:t xml:space="preserve">DECLARATION</w:t>
            </w:r>
            <w:r>
              <w:tab/>
            </w:r>
            <w:r>
              <w:fldChar w:fldCharType="begin" w:dirty="true"/>
              <w:instrText xml:space="preserve">PAGEREF _Toc2 \h</w:instrText>
              <w:fldChar w:fldCharType="separate"/>
              <w:fldChar w:fldCharType="end"/>
            </w:r>
          </w:hyperlink>
        </w:p>
        <w:p>
          <w:pPr>
            <w:pStyle w:val="TOC1"/>
            <w:tabs>
              <w:tab w:val="right" w:pos="8306" w:leader="dot"/>
            </w:tabs>
          </w:pPr>
          <w:hyperlink w:history="1" w:anchor="_Toc3">
            <w:r>
              <w:t xml:space="preserve">ACKNOWLEDGEMENT</w:t>
            </w:r>
            <w:r>
              <w:tab/>
            </w:r>
            <w:r>
              <w:fldChar w:fldCharType="begin" w:dirty="true"/>
              <w:instrText xml:space="preserve">PAGEREF _Toc3 \h</w:instrText>
              <w:fldChar w:fldCharType="separate"/>
              <w:fldChar w:fldCharType="end"/>
            </w:r>
          </w:hyperlink>
        </w:p>
        <w:p>
          <w:pPr>
            <w:pStyle w:val="TOC1"/>
            <w:tabs>
              <w:tab w:val="right" w:pos="8306" w:leader="dot"/>
            </w:tabs>
          </w:pPr>
          <w:hyperlink w:history="1" w:anchor="_Toc4">
            <w:r>
              <w:t xml:space="preserve">ABSTRACT</w:t>
            </w:r>
            <w:r>
              <w:tab/>
            </w:r>
            <w:r>
              <w:fldChar w:fldCharType="begin" w:dirty="true"/>
              <w:instrText xml:space="preserve">PAGEREF _Toc4 \h</w:instrText>
              <w:fldChar w:fldCharType="separate"/>
              <w:fldChar w:fldCharType="end"/>
            </w:r>
          </w:hyperlink>
        </w:p>
        <w:p>
          <w:pPr>
            <w:pStyle w:val="TOC1"/>
            <w:tabs>
              <w:tab w:val="right" w:pos="8306" w:leader="dot"/>
            </w:tabs>
          </w:pPr>
          <w:hyperlink w:history="1" w:anchor="_Toc5">
            <w:r>
              <w:t xml:space="preserve">TABLE OF CONTENTS</w:t>
            </w:r>
            <w:r>
              <w:tab/>
            </w:r>
            <w:r>
              <w:fldChar w:fldCharType="begin" w:dirty="true"/>
              <w:instrText xml:space="preserve">PAGEREF _Toc5 \h</w:instrText>
              <w:fldChar w:fldCharType="separate"/>
              <w:fldChar w:fldCharType="end"/>
            </w:r>
          </w:hyperlink>
        </w:p>
        <w:p>
          <w:pPr>
            <w:pStyle w:val="TOC1"/>
            <w:tabs>
              <w:tab w:val="right" w:pos="8306" w:leader="dot"/>
            </w:tabs>
          </w:pPr>
          <w:hyperlink w:history="1" w:anchor="_Toc6">
            <w:r>
              <w:t xml:space="preserve">LIST OF FIGURES</w:t>
            </w:r>
            <w:r>
              <w:tab/>
            </w:r>
            <w:r>
              <w:fldChar w:fldCharType="begin" w:dirty="true"/>
              <w:instrText xml:space="preserve">PAGEREF _Toc6 \h</w:instrText>
              <w:fldChar w:fldCharType="separate"/>
              <w:fldChar w:fldCharType="end"/>
            </w:r>
          </w:hyperlink>
        </w:p>
        <w:p>
          <w:pPr>
            <w:pStyle w:val="TOC1"/>
            <w:tabs>
              <w:tab w:val="right" w:pos="8306" w:leader="dot"/>
            </w:tabs>
          </w:pPr>
          <w:hyperlink w:history="1" w:anchor="_Toc7">
            <w:r>
              <w:t xml:space="preserve">LIST OF TABLES</w:t>
            </w:r>
            <w:r>
              <w:tab/>
            </w:r>
            <w:r>
              <w:fldChar w:fldCharType="begin" w:dirty="true"/>
              <w:instrText xml:space="preserve">PAGEREF _Toc7 \h</w:instrText>
              <w:fldChar w:fldCharType="separate"/>
              <w:fldChar w:fldCharType="end"/>
            </w:r>
          </w:hyperlink>
        </w:p>
        <w:p>
          <w:pPr>
            <w:pStyle w:val="TOC1"/>
            <w:tabs>
              <w:tab w:val="right" w:pos="8306" w:leader="dot"/>
            </w:tabs>
          </w:pPr>
          <w:hyperlink w:history="1" w:anchor="_Toc8">
            <w:r>
              <w:t xml:space="preserve">LIST OF ABBREVIATIONS</w:t>
            </w:r>
            <w:r>
              <w:tab/>
            </w:r>
            <w:r>
              <w:fldChar w:fldCharType="begin" w:dirty="true"/>
              <w:instrText xml:space="preserve">PAGEREF _Toc8 \h</w:instrText>
              <w:fldChar w:fldCharType="separate"/>
              <w:fldChar w:fldCharType="end"/>
            </w:r>
          </w:hyperlink>
        </w:p>
        <w:p>
          <w:pPr>
            <w:pStyle w:val="TOC1"/>
            <w:tabs>
              <w:tab w:val="right" w:pos="8306" w:leader="dot"/>
            </w:tabs>
          </w:pPr>
          <w:hyperlink w:history="1" w:anchor="_Toc9">
            <w:r>
              <w:t xml:space="preserve">INTRODUCTION</w:t>
            </w:r>
            <w:r>
              <w:tab/>
            </w:r>
            <w:r>
              <w:fldChar w:fldCharType="begin" w:dirty="true"/>
              <w:instrText xml:space="preserve">PAGEREF _Toc9 \h</w:instrText>
              <w:fldChar w:fldCharType="separate"/>
              <w:fldChar w:fldCharType="end"/>
            </w:r>
          </w:hyperlink>
        </w:p>
        <w:p>
          <w:pPr>
            <w:pStyle w:val="TOC2"/>
            <w:tabs>
              <w:tab w:val="right" w:pos="8306" w:leader="dot"/>
            </w:tabs>
          </w:pPr>
          <w:hyperlink w:history="1" w:anchor="_Toc10">
            <w:r>
              <w:t xml:space="preserve">1.1 Background</w:t>
            </w:r>
            <w:r>
              <w:tab/>
            </w:r>
            <w:r>
              <w:fldChar w:fldCharType="begin" w:dirty="true"/>
              <w:instrText xml:space="preserve">PAGEREF _Toc10 \h</w:instrText>
              <w:fldChar w:fldCharType="separate"/>
              <w:fldChar w:fldCharType="end"/>
            </w:r>
          </w:hyperlink>
        </w:p>
        <w:p>
          <w:pPr>
            <w:pStyle w:val="TOC2"/>
            <w:tabs>
              <w:tab w:val="right" w:pos="8306" w:leader="dot"/>
            </w:tabs>
          </w:pPr>
          <w:hyperlink w:history="1" w:anchor="_Toc11">
            <w:r>
              <w:t xml:space="preserve">1.2 Problem Statement</w:t>
            </w:r>
            <w:r>
              <w:tab/>
            </w:r>
            <w:r>
              <w:fldChar w:fldCharType="begin" w:dirty="true"/>
              <w:instrText xml:space="preserve">PAGEREF _Toc11 \h</w:instrText>
              <w:fldChar w:fldCharType="separate"/>
              <w:fldChar w:fldCharType="end"/>
            </w:r>
          </w:hyperlink>
        </w:p>
        <w:p>
          <w:pPr>
            <w:pStyle w:val="TOC2"/>
            <w:tabs>
              <w:tab w:val="right" w:pos="8306" w:leader="dot"/>
            </w:tabs>
          </w:pPr>
          <w:hyperlink w:history="1" w:anchor="_Toc12">
            <w:r>
              <w:t xml:space="preserve">1.3 Objectives</w:t>
            </w:r>
            <w:r>
              <w:tab/>
            </w:r>
            <w:r>
              <w:fldChar w:fldCharType="begin" w:dirty="true"/>
              <w:instrText xml:space="preserve">PAGEREF _Toc12 \h</w:instrText>
              <w:fldChar w:fldCharType="separate"/>
              <w:fldChar w:fldCharType="end"/>
            </w:r>
          </w:hyperlink>
        </w:p>
        <w:p>
          <w:pPr>
            <w:pStyle w:val="TOC2"/>
            <w:tabs>
              <w:tab w:val="right" w:pos="8306" w:leader="dot"/>
            </w:tabs>
          </w:pPr>
          <w:hyperlink w:history="1" w:anchor="_Toc13">
            <w:r>
              <w:t xml:space="preserve">1.4 Scope</w:t>
            </w:r>
            <w:r>
              <w:tab/>
            </w:r>
            <w:r>
              <w:fldChar w:fldCharType="begin" w:dirty="true"/>
              <w:instrText xml:space="preserve">PAGEREF _Toc13 \h</w:instrText>
              <w:fldChar w:fldCharType="separate"/>
              <w:fldChar w:fldCharType="end"/>
            </w:r>
          </w:hyperlink>
        </w:p>
        <w:p>
          <w:pPr>
            <w:pStyle w:val="TOC2"/>
            <w:tabs>
              <w:tab w:val="right" w:pos="8306" w:leader="dot"/>
            </w:tabs>
          </w:pPr>
          <w:hyperlink w:history="1" w:anchor="_Toc14">
            <w:r>
              <w:t xml:space="preserve">1.5 Methodology Overview</w:t>
            </w:r>
            <w:r>
              <w:tab/>
            </w:r>
            <w:r>
              <w:fldChar w:fldCharType="begin" w:dirty="true"/>
              <w:instrText xml:space="preserve">PAGEREF _Toc14 \h</w:instrText>
              <w:fldChar w:fldCharType="separate"/>
              <w:fldChar w:fldCharType="end"/>
            </w:r>
          </w:hyperlink>
        </w:p>
        <w:p>
          <w:pPr>
            <w:pStyle w:val="TOC2"/>
            <w:tabs>
              <w:tab w:val="right" w:pos="8306" w:leader="dot"/>
            </w:tabs>
          </w:pPr>
          <w:hyperlink w:history="1" w:anchor="_Toc15">
            <w:r>
              <w:t xml:space="preserve">1.6 Organisation of the Report</w:t>
            </w:r>
            <w:r>
              <w:tab/>
            </w:r>
            <w:r>
              <w:fldChar w:fldCharType="begin" w:dirty="true"/>
              <w:instrText xml:space="preserve">PAGEREF _Toc15 \h</w:instrText>
              <w:fldChar w:fldCharType="separate"/>
              <w:fldChar w:fldCharType="end"/>
            </w:r>
          </w:hyperlink>
        </w:p>
        <w:p>
          <w:pPr>
            <w:pStyle w:val="TOC1"/>
            <w:tabs>
              <w:tab w:val="right" w:pos="8306" w:leader="dot"/>
            </w:tabs>
          </w:pPr>
          <w:hyperlink w:history="1" w:anchor="_Toc16">
            <w:r>
              <w:t xml:space="preserve">LITERATURE SURVEY</w:t>
            </w:r>
            <w:r>
              <w:tab/>
            </w:r>
            <w:r>
              <w:fldChar w:fldCharType="begin" w:dirty="true"/>
              <w:instrText xml:space="preserve">PAGEREF _Toc16 \h</w:instrText>
              <w:fldChar w:fldCharType="separate"/>
              <w:fldChar w:fldCharType="end"/>
            </w:r>
          </w:hyperlink>
        </w:p>
        <w:p>
          <w:pPr>
            <w:pStyle w:val="TOC2"/>
            <w:tabs>
              <w:tab w:val="right" w:pos="8306" w:leader="dot"/>
            </w:tabs>
          </w:pPr>
          <w:hyperlink w:history="1" w:anchor="_Toc17">
            <w:r>
              <w:t xml:space="preserve">2.1 Portfolio Overlap and Common Ownership</w:t>
            </w:r>
            <w:r>
              <w:tab/>
            </w:r>
            <w:r>
              <w:fldChar w:fldCharType="begin" w:dirty="true"/>
              <w:instrText xml:space="preserve">PAGEREF _Toc17 \h</w:instrText>
              <w:fldChar w:fldCharType="separate"/>
              <w:fldChar w:fldCharType="end"/>
            </w:r>
          </w:hyperlink>
        </w:p>
        <w:p>
          <w:pPr>
            <w:pStyle w:val="TOC2"/>
            <w:tabs>
              <w:tab w:val="right" w:pos="8306" w:leader="dot"/>
            </w:tabs>
          </w:pPr>
          <w:hyperlink w:history="1" w:anchor="_Toc18">
            <w:r>
              <w:t xml:space="preserve">2.2 Covariance Estimation and Shrinkage</w:t>
            </w:r>
            <w:r>
              <w:tab/>
            </w:r>
            <w:r>
              <w:fldChar w:fldCharType="begin" w:dirty="true"/>
              <w:instrText xml:space="preserve">PAGEREF _Toc18 \h</w:instrText>
              <w:fldChar w:fldCharType="separate"/>
              <w:fldChar w:fldCharType="end"/>
            </w:r>
          </w:hyperlink>
        </w:p>
        <w:p>
          <w:pPr>
            <w:pStyle w:val="TOC2"/>
            <w:tabs>
              <w:tab w:val="right" w:pos="8306" w:leader="dot"/>
            </w:tabs>
          </w:pPr>
          <w:hyperlink w:history="1" w:anchor="_Toc19">
            <w:r>
              <w:t xml:space="preserve">2.3 Volatility Forecasting</w:t>
            </w:r>
            <w:r>
              <w:tab/>
            </w:r>
            <w:r>
              <w:fldChar w:fldCharType="begin" w:dirty="true"/>
              <w:instrText xml:space="preserve">PAGEREF _Toc19 \h</w:instrText>
              <w:fldChar w:fldCharType="separate"/>
              <w:fldChar w:fldCharType="end"/>
            </w:r>
          </w:hyperlink>
        </w:p>
        <w:p>
          <w:pPr>
            <w:pStyle w:val="TOC2"/>
            <w:tabs>
              <w:tab w:val="right" w:pos="8306" w:leader="dot"/>
            </w:tabs>
          </w:pPr>
          <w:hyperlink w:history="1" w:anchor="_Toc20">
            <w:r>
              <w:t xml:space="preserve">2.4 Value at Risk and Backtesting</w:t>
            </w:r>
            <w:r>
              <w:tab/>
            </w:r>
            <w:r>
              <w:fldChar w:fldCharType="begin" w:dirty="true"/>
              <w:instrText xml:space="preserve">PAGEREF _Toc20 \h</w:instrText>
              <w:fldChar w:fldCharType="separate"/>
              <w:fldChar w:fldCharType="end"/>
            </w:r>
          </w:hyperlink>
        </w:p>
        <w:p>
          <w:pPr>
            <w:pStyle w:val="TOC2"/>
            <w:tabs>
              <w:tab w:val="right" w:pos="8306" w:leader="dot"/>
            </w:tabs>
          </w:pPr>
          <w:hyperlink w:history="1" w:anchor="_Toc21">
            <w:r>
              <w:t xml:space="preserve">2.5 Retirement Simulation</w:t>
            </w:r>
            <w:r>
              <w:tab/>
            </w:r>
            <w:r>
              <w:fldChar w:fldCharType="begin" w:dirty="true"/>
              <w:instrText xml:space="preserve">PAGEREF _Toc21 \h</w:instrText>
              <w:fldChar w:fldCharType="separate"/>
              <w:fldChar w:fldCharType="end"/>
            </w:r>
          </w:hyperlink>
        </w:p>
        <w:p>
          <w:pPr>
            <w:pStyle w:val="TOC2"/>
            <w:tabs>
              <w:tab w:val="right" w:pos="8306" w:leader="dot"/>
            </w:tabs>
          </w:pPr>
          <w:hyperlink w:history="1" w:anchor="_Toc22">
            <w:r>
              <w:t xml:space="preserve">2.6 Valuation and Long-Horizon Returns</w:t>
            </w:r>
            <w:r>
              <w:tab/>
            </w:r>
            <w:r>
              <w:fldChar w:fldCharType="begin" w:dirty="true"/>
              <w:instrText xml:space="preserve">PAGEREF _Toc22 \h</w:instrText>
              <w:fldChar w:fldCharType="separate"/>
              <w:fldChar w:fldCharType="end"/>
            </w:r>
          </w:hyperlink>
        </w:p>
        <w:p>
          <w:pPr>
            <w:pStyle w:val="TOC2"/>
            <w:tabs>
              <w:tab w:val="right" w:pos="8306" w:leader="dot"/>
            </w:tabs>
          </w:pPr>
          <w:hyperlink w:history="1" w:anchor="_Toc23">
            <w:r>
              <w:t xml:space="preserve">2.7 Measuring Diversification</w:t>
            </w:r>
            <w:r>
              <w:tab/>
            </w:r>
            <w:r>
              <w:fldChar w:fldCharType="begin" w:dirty="true"/>
              <w:instrText xml:space="preserve">PAGEREF _Toc23 \h</w:instrText>
              <w:fldChar w:fldCharType="separate"/>
              <w:fldChar w:fldCharType="end"/>
            </w:r>
          </w:hyperlink>
        </w:p>
        <w:p>
          <w:pPr>
            <w:pStyle w:val="TOC2"/>
            <w:tabs>
              <w:tab w:val="right" w:pos="8306" w:leader="dot"/>
            </w:tabs>
          </w:pPr>
          <w:hyperlink w:history="1" w:anchor="_Toc24">
            <w:r>
              <w:t xml:space="preserve">2.8 Summary and Research Gap</w:t>
            </w:r>
            <w:r>
              <w:tab/>
            </w:r>
            <w:r>
              <w:fldChar w:fldCharType="begin" w:dirty="true"/>
              <w:instrText xml:space="preserve">PAGEREF _Toc24 \h</w:instrText>
              <w:fldChar w:fldCharType="separate"/>
              <w:fldChar w:fldCharType="end"/>
            </w:r>
          </w:hyperlink>
        </w:p>
        <w:p>
          <w:pPr>
            <w:pStyle w:val="TOC1"/>
            <w:tabs>
              <w:tab w:val="right" w:pos="8306" w:leader="dot"/>
            </w:tabs>
          </w:pPr>
          <w:hyperlink w:history="1" w:anchor="_Toc25">
            <w:r>
              <w:t xml:space="preserve">SYSTEM ANALYSIS AND REQUIREMENTS</w:t>
            </w:r>
            <w:r>
              <w:tab/>
            </w:r>
            <w:r>
              <w:fldChar w:fldCharType="begin" w:dirty="true"/>
              <w:instrText xml:space="preserve">PAGEREF _Toc25 \h</w:instrText>
              <w:fldChar w:fldCharType="separate"/>
              <w:fldChar w:fldCharType="end"/>
            </w:r>
          </w:hyperlink>
        </w:p>
        <w:p>
          <w:pPr>
            <w:pStyle w:val="TOC2"/>
            <w:tabs>
              <w:tab w:val="right" w:pos="8306" w:leader="dot"/>
            </w:tabs>
          </w:pPr>
          <w:hyperlink w:history="1" w:anchor="_Toc26">
            <w:r>
              <w:t xml:space="preserve">3.1 Existing System</w:t>
            </w:r>
            <w:r>
              <w:tab/>
            </w:r>
            <w:r>
              <w:fldChar w:fldCharType="begin" w:dirty="true"/>
              <w:instrText xml:space="preserve">PAGEREF _Toc26 \h</w:instrText>
              <w:fldChar w:fldCharType="separate"/>
              <w:fldChar w:fldCharType="end"/>
            </w:r>
          </w:hyperlink>
        </w:p>
        <w:p>
          <w:pPr>
            <w:pStyle w:val="TOC2"/>
            <w:tabs>
              <w:tab w:val="right" w:pos="8306" w:leader="dot"/>
            </w:tabs>
          </w:pPr>
          <w:hyperlink w:history="1" w:anchor="_Toc27">
            <w:r>
              <w:t xml:space="preserve">3.2 Proposed System</w:t>
            </w:r>
            <w:r>
              <w:tab/>
            </w:r>
            <w:r>
              <w:fldChar w:fldCharType="begin" w:dirty="true"/>
              <w:instrText xml:space="preserve">PAGEREF _Toc27 \h</w:instrText>
              <w:fldChar w:fldCharType="separate"/>
              <w:fldChar w:fldCharType="end"/>
            </w:r>
          </w:hyperlink>
        </w:p>
        <w:p>
          <w:pPr>
            <w:pStyle w:val="TOC2"/>
            <w:tabs>
              <w:tab w:val="right" w:pos="8306" w:leader="dot"/>
            </w:tabs>
          </w:pPr>
          <w:hyperlink w:history="1" w:anchor="_Toc28">
            <w:r>
              <w:t xml:space="preserve">3.3 Feasibility Study</w:t>
            </w:r>
            <w:r>
              <w:tab/>
            </w:r>
            <w:r>
              <w:fldChar w:fldCharType="begin" w:dirty="true"/>
              <w:instrText xml:space="preserve">PAGEREF _Toc28 \h</w:instrText>
              <w:fldChar w:fldCharType="separate"/>
              <w:fldChar w:fldCharType="end"/>
            </w:r>
          </w:hyperlink>
        </w:p>
        <w:p>
          <w:pPr>
            <w:pStyle w:val="TOC2"/>
            <w:tabs>
              <w:tab w:val="right" w:pos="8306" w:leader="dot"/>
            </w:tabs>
          </w:pPr>
          <w:hyperlink w:history="1" w:anchor="_Toc29">
            <w:r>
              <w:t xml:space="preserve">3.4 Functional Requirements</w:t>
            </w:r>
            <w:r>
              <w:tab/>
            </w:r>
            <w:r>
              <w:fldChar w:fldCharType="begin" w:dirty="true"/>
              <w:instrText xml:space="preserve">PAGEREF _Toc29 \h</w:instrText>
              <w:fldChar w:fldCharType="separate"/>
              <w:fldChar w:fldCharType="end"/>
            </w:r>
          </w:hyperlink>
        </w:p>
        <w:p>
          <w:pPr>
            <w:pStyle w:val="TOC2"/>
            <w:tabs>
              <w:tab w:val="right" w:pos="8306" w:leader="dot"/>
            </w:tabs>
          </w:pPr>
          <w:hyperlink w:history="1" w:anchor="_Toc30">
            <w:r>
              <w:t xml:space="preserve">3.5 Non-Functional Requirements</w:t>
            </w:r>
            <w:r>
              <w:tab/>
            </w:r>
            <w:r>
              <w:fldChar w:fldCharType="begin" w:dirty="true"/>
              <w:instrText xml:space="preserve">PAGEREF _Toc30 \h</w:instrText>
              <w:fldChar w:fldCharType="separate"/>
              <w:fldChar w:fldCharType="end"/>
            </w:r>
          </w:hyperlink>
        </w:p>
        <w:p>
          <w:pPr>
            <w:pStyle w:val="TOC2"/>
            <w:tabs>
              <w:tab w:val="right" w:pos="8306" w:leader="dot"/>
            </w:tabs>
          </w:pPr>
          <w:hyperlink w:history="1" w:anchor="_Toc31">
            <w:r>
              <w:t xml:space="preserve">3.6 Hardware and Software Requirements</w:t>
            </w:r>
            <w:r>
              <w:tab/>
            </w:r>
            <w:r>
              <w:fldChar w:fldCharType="begin" w:dirty="true"/>
              <w:instrText xml:space="preserve">PAGEREF _Toc31 \h</w:instrText>
              <w:fldChar w:fldCharType="separate"/>
              <w:fldChar w:fldCharType="end"/>
            </w:r>
          </w:hyperlink>
        </w:p>
        <w:p>
          <w:pPr>
            <w:pStyle w:val="TOC1"/>
            <w:tabs>
              <w:tab w:val="right" w:pos="8306" w:leader="dot"/>
            </w:tabs>
          </w:pPr>
          <w:hyperlink w:history="1" w:anchor="_Toc32">
            <w:r>
              <w:t xml:space="preserve">SYSTEM DESIGN</w:t>
            </w:r>
            <w:r>
              <w:tab/>
            </w:r>
            <w:r>
              <w:fldChar w:fldCharType="begin" w:dirty="true"/>
              <w:instrText xml:space="preserve">PAGEREF _Toc32 \h</w:instrText>
              <w:fldChar w:fldCharType="separate"/>
              <w:fldChar w:fldCharType="end"/>
            </w:r>
          </w:hyperlink>
        </w:p>
        <w:p>
          <w:pPr>
            <w:pStyle w:val="TOC2"/>
            <w:tabs>
              <w:tab w:val="right" w:pos="8306" w:leader="dot"/>
            </w:tabs>
          </w:pPr>
          <w:hyperlink w:history="1" w:anchor="_Toc33">
            <w:r>
              <w:t xml:space="preserve">4.1 System Architecture</w:t>
            </w:r>
            <w:r>
              <w:tab/>
            </w:r>
            <w:r>
              <w:fldChar w:fldCharType="begin" w:dirty="true"/>
              <w:instrText xml:space="preserve">PAGEREF _Toc33 \h</w:instrText>
              <w:fldChar w:fldCharType="separate"/>
              <w:fldChar w:fldCharType="end"/>
            </w:r>
          </w:hyperlink>
        </w:p>
        <w:p>
          <w:pPr>
            <w:pStyle w:val="TOC2"/>
            <w:tabs>
              <w:tab w:val="right" w:pos="8306" w:leader="dot"/>
            </w:tabs>
          </w:pPr>
          <w:hyperlink w:history="1" w:anchor="_Toc34">
            <w:r>
              <w:t xml:space="preserve">4.2 Data Flow Diagrams</w:t>
            </w:r>
            <w:r>
              <w:tab/>
            </w:r>
            <w:r>
              <w:fldChar w:fldCharType="begin" w:dirty="true"/>
              <w:instrText xml:space="preserve">PAGEREF _Toc34 \h</w:instrText>
              <w:fldChar w:fldCharType="separate"/>
              <w:fldChar w:fldCharType="end"/>
            </w:r>
          </w:hyperlink>
        </w:p>
        <w:p>
          <w:pPr>
            <w:pStyle w:val="TOC2"/>
            <w:tabs>
              <w:tab w:val="right" w:pos="8306" w:leader="dot"/>
            </w:tabs>
          </w:pPr>
          <w:hyperlink w:history="1" w:anchor="_Toc35">
            <w:r>
              <w:t xml:space="preserve">4.3 Use Case Diagram</w:t>
            </w:r>
            <w:r>
              <w:tab/>
            </w:r>
            <w:r>
              <w:fldChar w:fldCharType="begin" w:dirty="true"/>
              <w:instrText xml:space="preserve">PAGEREF _Toc35 \h</w:instrText>
              <w:fldChar w:fldCharType="separate"/>
              <w:fldChar w:fldCharType="end"/>
            </w:r>
          </w:hyperlink>
        </w:p>
        <w:p>
          <w:pPr>
            <w:pStyle w:val="TOC2"/>
            <w:tabs>
              <w:tab w:val="right" w:pos="8306" w:leader="dot"/>
            </w:tabs>
          </w:pPr>
          <w:hyperlink w:history="1" w:anchor="_Toc36">
            <w:r>
              <w:t xml:space="preserve">4.4 Database Design</w:t>
            </w:r>
            <w:r>
              <w:tab/>
            </w:r>
            <w:r>
              <w:fldChar w:fldCharType="begin" w:dirty="true"/>
              <w:instrText xml:space="preserve">PAGEREF _Toc36 \h</w:instrText>
              <w:fldChar w:fldCharType="separate"/>
              <w:fldChar w:fldCharType="end"/>
            </w:r>
          </w:hyperlink>
        </w:p>
        <w:p>
          <w:pPr>
            <w:pStyle w:val="TOC2"/>
            <w:tabs>
              <w:tab w:val="right" w:pos="8306" w:leader="dot"/>
            </w:tabs>
          </w:pPr>
          <w:hyperlink w:history="1" w:anchor="_Toc37">
            <w:r>
              <w:t xml:space="preserve">4.5 Flowchart of the Investor Journey</w:t>
            </w:r>
            <w:r>
              <w:tab/>
            </w:r>
            <w:r>
              <w:fldChar w:fldCharType="begin" w:dirty="true"/>
              <w:instrText xml:space="preserve">PAGEREF _Toc37 \h</w:instrText>
              <w:fldChar w:fldCharType="separate"/>
              <w:fldChar w:fldCharType="end"/>
            </w:r>
          </w:hyperlink>
        </w:p>
        <w:p>
          <w:pPr>
            <w:pStyle w:val="TOC2"/>
            <w:tabs>
              <w:tab w:val="right" w:pos="8306" w:leader="dot"/>
            </w:tabs>
          </w:pPr>
          <w:hyperlink w:history="1" w:anchor="_Toc38">
            <w:r>
              <w:t xml:space="preserve">4.6 Model Training Pipeline</w:t>
            </w:r>
            <w:r>
              <w:tab/>
            </w:r>
            <w:r>
              <w:fldChar w:fldCharType="begin" w:dirty="true"/>
              <w:instrText xml:space="preserve">PAGEREF _Toc38 \h</w:instrText>
              <w:fldChar w:fldCharType="separate"/>
              <w:fldChar w:fldCharType="end"/>
            </w:r>
          </w:hyperlink>
        </w:p>
        <w:p>
          <w:pPr>
            <w:pStyle w:val="TOC2"/>
            <w:tabs>
              <w:tab w:val="right" w:pos="8306" w:leader="dot"/>
            </w:tabs>
          </w:pPr>
          <w:hyperlink w:history="1" w:anchor="_Toc39">
            <w:r>
              <w:t xml:space="preserve">4.7 API Design</w:t>
            </w:r>
            <w:r>
              <w:tab/>
            </w:r>
            <w:r>
              <w:fldChar w:fldCharType="begin" w:dirty="true"/>
              <w:instrText xml:space="preserve">PAGEREF _Toc39 \h</w:instrText>
              <w:fldChar w:fldCharType="separate"/>
              <w:fldChar w:fldCharType="end"/>
            </w:r>
          </w:hyperlink>
        </w:p>
        <w:p>
          <w:pPr>
            <w:pStyle w:val="TOC2"/>
            <w:tabs>
              <w:tab w:val="right" w:pos="8306" w:leader="dot"/>
            </w:tabs>
          </w:pPr>
          <w:hyperlink w:history="1" w:anchor="_Toc40">
            <w:r>
              <w:t xml:space="preserve">4.8 User Interface Design</w:t>
            </w:r>
            <w:r>
              <w:tab/>
            </w:r>
            <w:r>
              <w:fldChar w:fldCharType="begin" w:dirty="true"/>
              <w:instrText xml:space="preserve">PAGEREF _Toc40 \h</w:instrText>
              <w:fldChar w:fldCharType="separate"/>
              <w:fldChar w:fldCharType="end"/>
            </w:r>
          </w:hyperlink>
        </w:p>
        <w:p>
          <w:pPr>
            <w:pStyle w:val="TOC1"/>
            <w:tabs>
              <w:tab w:val="right" w:pos="8306" w:leader="dot"/>
            </w:tabs>
          </w:pPr>
          <w:hyperlink w:history="1" w:anchor="_Toc41">
            <w:r>
              <w:t xml:space="preserve">IMPLEMENTATION</w:t>
            </w:r>
            <w:r>
              <w:tab/>
            </w:r>
            <w:r>
              <w:fldChar w:fldCharType="begin" w:dirty="true"/>
              <w:instrText xml:space="preserve">PAGEREF _Toc41 \h</w:instrText>
              <w:fldChar w:fldCharType="separate"/>
              <w:fldChar w:fldCharType="end"/>
            </w:r>
          </w:hyperlink>
        </w:p>
        <w:p>
          <w:pPr>
            <w:pStyle w:val="TOC2"/>
            <w:tabs>
              <w:tab w:val="right" w:pos="8306" w:leader="dot"/>
            </w:tabs>
          </w:pPr>
          <w:hyperlink w:history="1" w:anchor="_Toc42">
            <w:r>
              <w:t xml:space="preserve">5.1 Technology Stack</w:t>
            </w:r>
            <w:r>
              <w:tab/>
            </w:r>
            <w:r>
              <w:fldChar w:fldCharType="begin" w:dirty="true"/>
              <w:instrText xml:space="preserve">PAGEREF _Toc42 \h</w:instrText>
              <w:fldChar w:fldCharType="separate"/>
              <w:fldChar w:fldCharType="end"/>
            </w:r>
          </w:hyperlink>
        </w:p>
        <w:p>
          <w:pPr>
            <w:pStyle w:val="TOC2"/>
            <w:tabs>
              <w:tab w:val="right" w:pos="8306" w:leader="dot"/>
            </w:tabs>
          </w:pPr>
          <w:hyperlink w:history="1" w:anchor="_Toc43">
            <w:r>
              <w:t xml:space="preserve">5.2 Data Acquisition and Verification</w:t>
            </w:r>
            <w:r>
              <w:tab/>
            </w:r>
            <w:r>
              <w:fldChar w:fldCharType="begin" w:dirty="true"/>
              <w:instrText xml:space="preserve">PAGEREF _Toc43 \h</w:instrText>
              <w:fldChar w:fldCharType="separate"/>
              <w:fldChar w:fldCharType="end"/>
            </w:r>
          </w:hyperlink>
        </w:p>
        <w:p>
          <w:pPr>
            <w:pStyle w:val="TOC2"/>
            <w:tabs>
              <w:tab w:val="right" w:pos="8306" w:leader="dot"/>
            </w:tabs>
          </w:pPr>
          <w:hyperlink w:history="1" w:anchor="_Toc44">
            <w:r>
              <w:t xml:space="preserve">5.3 Filter and Overlap Modules</w:t>
            </w:r>
            <w:r>
              <w:tab/>
            </w:r>
            <w:r>
              <w:fldChar w:fldCharType="begin" w:dirty="true"/>
              <w:instrText xml:space="preserve">PAGEREF _Toc44 \h</w:instrText>
              <w:fldChar w:fldCharType="separate"/>
              <w:fldChar w:fldCharType="end"/>
            </w:r>
          </w:hyperlink>
        </w:p>
        <w:p>
          <w:pPr>
            <w:pStyle w:val="TOC2"/>
            <w:tabs>
              <w:tab w:val="right" w:pos="8306" w:leader="dot"/>
            </w:tabs>
          </w:pPr>
          <w:hyperlink w:history="1" w:anchor="_Toc45">
            <w:r>
              <w:t xml:space="preserve">5.4 PLOS v3 — Learned Overlap Model</w:t>
            </w:r>
            <w:r>
              <w:tab/>
            </w:r>
            <w:r>
              <w:fldChar w:fldCharType="begin" w:dirty="true"/>
              <w:instrText xml:space="preserve">PAGEREF _Toc45 \h</w:instrText>
              <w:fldChar w:fldCharType="separate"/>
              <w:fldChar w:fldCharType="end"/>
            </w:r>
          </w:hyperlink>
        </w:p>
        <w:p>
          <w:pPr>
            <w:pStyle w:val="TOC2"/>
            <w:tabs>
              <w:tab w:val="right" w:pos="8306" w:leader="dot"/>
            </w:tabs>
          </w:pPr>
          <w:hyperlink w:history="1" w:anchor="_Toc46">
            <w:r>
              <w:t xml:space="preserve">5.5 Risk v2 — Volatility and Tail Models</w:t>
            </w:r>
            <w:r>
              <w:tab/>
            </w:r>
            <w:r>
              <w:fldChar w:fldCharType="begin" w:dirty="true"/>
              <w:instrText xml:space="preserve">PAGEREF _Toc46 \h</w:instrText>
              <w:fldChar w:fldCharType="separate"/>
              <w:fldChar w:fldCharType="end"/>
            </w:r>
          </w:hyperlink>
        </w:p>
        <w:p>
          <w:pPr>
            <w:pStyle w:val="TOC2"/>
            <w:tabs>
              <w:tab w:val="right" w:pos="8306" w:leader="dot"/>
            </w:tabs>
          </w:pPr>
          <w:hyperlink w:history="1" w:anchor="_Toc47">
            <w:r>
              <w:t xml:space="preserve">5.6 ARISE v5 — Retirement Engine</w:t>
            </w:r>
            <w:r>
              <w:tab/>
            </w:r>
            <w:r>
              <w:fldChar w:fldCharType="begin" w:dirty="true"/>
              <w:instrText xml:space="preserve">PAGEREF _Toc47 \h</w:instrText>
              <w:fldChar w:fldCharType="separate"/>
              <w:fldChar w:fldCharType="end"/>
            </w:r>
          </w:hyperlink>
        </w:p>
        <w:p>
          <w:pPr>
            <w:pStyle w:val="TOC2"/>
            <w:tabs>
              <w:tab w:val="right" w:pos="8306" w:leader="dot"/>
            </w:tabs>
          </w:pPr>
          <w:hyperlink w:history="1" w:anchor="_Toc48">
            <w:r>
              <w:t xml:space="preserve">5.7 Frontend Implementation</w:t>
            </w:r>
            <w:r>
              <w:tab/>
            </w:r>
            <w:r>
              <w:fldChar w:fldCharType="begin" w:dirty="true"/>
              <w:instrText xml:space="preserve">PAGEREF _Toc48 \h</w:instrText>
              <w:fldChar w:fldCharType="separate"/>
              <w:fldChar w:fldCharType="end"/>
            </w:r>
          </w:hyperlink>
        </w:p>
        <w:p>
          <w:pPr>
            <w:pStyle w:val="TOC2"/>
            <w:tabs>
              <w:tab w:val="right" w:pos="8306" w:leader="dot"/>
            </w:tabs>
          </w:pPr>
          <w:hyperlink w:history="1" w:anchor="_Toc49">
            <w:r>
              <w:t xml:space="preserve">5.8 Representative Code</w:t>
            </w:r>
            <w:r>
              <w:tab/>
            </w:r>
            <w:r>
              <w:fldChar w:fldCharType="begin" w:dirty="true"/>
              <w:instrText xml:space="preserve">PAGEREF _Toc49 \h</w:instrText>
              <w:fldChar w:fldCharType="separate"/>
              <w:fldChar w:fldCharType="end"/>
            </w:r>
          </w:hyperlink>
        </w:p>
        <w:p>
          <w:pPr>
            <w:pStyle w:val="TOC1"/>
            <w:tabs>
              <w:tab w:val="right" w:pos="8306" w:leader="dot"/>
            </w:tabs>
          </w:pPr>
          <w:hyperlink w:history="1" w:anchor="_Toc50">
            <w:r>
              <w:t xml:space="preserve">TESTING</w:t>
            </w:r>
            <w:r>
              <w:tab/>
            </w:r>
            <w:r>
              <w:fldChar w:fldCharType="begin" w:dirty="true"/>
              <w:instrText xml:space="preserve">PAGEREF _Toc50 \h</w:instrText>
              <w:fldChar w:fldCharType="separate"/>
              <w:fldChar w:fldCharType="end"/>
            </w:r>
          </w:hyperlink>
        </w:p>
        <w:p>
          <w:pPr>
            <w:pStyle w:val="TOC2"/>
            <w:tabs>
              <w:tab w:val="right" w:pos="8306" w:leader="dot"/>
            </w:tabs>
          </w:pPr>
          <w:hyperlink w:history="1" w:anchor="_Toc51">
            <w:r>
              <w:t xml:space="preserve">6.1 Testing Strategy</w:t>
            </w:r>
            <w:r>
              <w:tab/>
            </w:r>
            <w:r>
              <w:fldChar w:fldCharType="begin" w:dirty="true"/>
              <w:instrText xml:space="preserve">PAGEREF _Toc51 \h</w:instrText>
              <w:fldChar w:fldCharType="separate"/>
              <w:fldChar w:fldCharType="end"/>
            </w:r>
          </w:hyperlink>
        </w:p>
        <w:p>
          <w:pPr>
            <w:pStyle w:val="TOC2"/>
            <w:tabs>
              <w:tab w:val="right" w:pos="8306" w:leader="dot"/>
            </w:tabs>
          </w:pPr>
          <w:hyperlink w:history="1" w:anchor="_Toc52">
            <w:r>
              <w:t xml:space="preserve">6.2 Test Cases</w:t>
            </w:r>
            <w:r>
              <w:tab/>
            </w:r>
            <w:r>
              <w:fldChar w:fldCharType="begin" w:dirty="true"/>
              <w:instrText xml:space="preserve">PAGEREF _Toc52 \h</w:instrText>
              <w:fldChar w:fldCharType="separate"/>
              <w:fldChar w:fldCharType="end"/>
            </w:r>
          </w:hyperlink>
        </w:p>
        <w:p>
          <w:pPr>
            <w:pStyle w:val="TOC2"/>
            <w:tabs>
              <w:tab w:val="right" w:pos="8306" w:leader="dot"/>
            </w:tabs>
          </w:pPr>
          <w:hyperlink w:history="1" w:anchor="_Toc53">
            <w:r>
              <w:t xml:space="preserve">6.3 Model Validation Methodology</w:t>
            </w:r>
            <w:r>
              <w:tab/>
            </w:r>
            <w:r>
              <w:fldChar w:fldCharType="begin" w:dirty="true"/>
              <w:instrText xml:space="preserve">PAGEREF _Toc53 \h</w:instrText>
              <w:fldChar w:fldCharType="separate"/>
              <w:fldChar w:fldCharType="end"/>
            </w:r>
          </w:hyperlink>
        </w:p>
        <w:p>
          <w:pPr>
            <w:pStyle w:val="TOC2"/>
            <w:tabs>
              <w:tab w:val="right" w:pos="8306" w:leader="dot"/>
            </w:tabs>
          </w:pPr>
          <w:hyperlink w:history="1" w:anchor="_Toc54">
            <w:r>
              <w:t xml:space="preserve">6.4 Test Results</w:t>
            </w:r>
            <w:r>
              <w:tab/>
            </w:r>
            <w:r>
              <w:fldChar w:fldCharType="begin" w:dirty="true"/>
              <w:instrText xml:space="preserve">PAGEREF _Toc54 \h</w:instrText>
              <w:fldChar w:fldCharType="separate"/>
              <w:fldChar w:fldCharType="end"/>
            </w:r>
          </w:hyperlink>
        </w:p>
        <w:p>
          <w:pPr>
            <w:pStyle w:val="TOC1"/>
            <w:tabs>
              <w:tab w:val="right" w:pos="8306" w:leader="dot"/>
            </w:tabs>
          </w:pPr>
          <w:hyperlink w:history="1" w:anchor="_Toc55">
            <w:r>
              <w:t xml:space="preserve">RESULTS AND DISCUSSION</w:t>
            </w:r>
            <w:r>
              <w:tab/>
            </w:r>
            <w:r>
              <w:fldChar w:fldCharType="begin" w:dirty="true"/>
              <w:instrText xml:space="preserve">PAGEREF _Toc55 \h</w:instrText>
              <w:fldChar w:fldCharType="separate"/>
              <w:fldChar w:fldCharType="end"/>
            </w:r>
          </w:hyperlink>
        </w:p>
        <w:p>
          <w:pPr>
            <w:pStyle w:val="TOC2"/>
            <w:tabs>
              <w:tab w:val="right" w:pos="8306" w:leader="dot"/>
            </w:tabs>
          </w:pPr>
          <w:hyperlink w:history="1" w:anchor="_Toc56">
            <w:r>
              <w:t xml:space="preserve">7.1 Application Screens</w:t>
            </w:r>
            <w:r>
              <w:tab/>
            </w:r>
            <w:r>
              <w:fldChar w:fldCharType="begin" w:dirty="true"/>
              <w:instrText xml:space="preserve">PAGEREF _Toc56 \h</w:instrText>
              <w:fldChar w:fldCharType="separate"/>
              <w:fldChar w:fldCharType="end"/>
            </w:r>
          </w:hyperlink>
        </w:p>
        <w:p>
          <w:pPr>
            <w:pStyle w:val="TOC2"/>
            <w:tabs>
              <w:tab w:val="right" w:pos="8306" w:leader="dot"/>
            </w:tabs>
          </w:pPr>
          <w:hyperlink w:history="1" w:anchor="_Toc57">
            <w:r>
              <w:t xml:space="preserve">7.2 PLOS Results</w:t>
            </w:r>
            <w:r>
              <w:tab/>
            </w:r>
            <w:r>
              <w:fldChar w:fldCharType="begin" w:dirty="true"/>
              <w:instrText xml:space="preserve">PAGEREF _Toc57 \h</w:instrText>
              <w:fldChar w:fldCharType="separate"/>
              <w:fldChar w:fldCharType="end"/>
            </w:r>
          </w:hyperlink>
        </w:p>
        <w:p>
          <w:pPr>
            <w:pStyle w:val="TOC2"/>
            <w:tabs>
              <w:tab w:val="right" w:pos="8306" w:leader="dot"/>
            </w:tabs>
          </w:pPr>
          <w:hyperlink w:history="1" w:anchor="_Toc58">
            <w:r>
              <w:t xml:space="preserve">7.3 Risk Results</w:t>
            </w:r>
            <w:r>
              <w:tab/>
            </w:r>
            <w:r>
              <w:fldChar w:fldCharType="begin" w:dirty="true"/>
              <w:instrText xml:space="preserve">PAGEREF _Toc58 \h</w:instrText>
              <w:fldChar w:fldCharType="separate"/>
              <w:fldChar w:fldCharType="end"/>
            </w:r>
          </w:hyperlink>
        </w:p>
        <w:p>
          <w:pPr>
            <w:pStyle w:val="TOC2"/>
            <w:tabs>
              <w:tab w:val="right" w:pos="8306" w:leader="dot"/>
            </w:tabs>
          </w:pPr>
          <w:hyperlink w:history="1" w:anchor="_Toc59">
            <w:r>
              <w:t xml:space="preserve">7.4 ARISE Results</w:t>
            </w:r>
            <w:r>
              <w:tab/>
            </w:r>
            <w:r>
              <w:fldChar w:fldCharType="begin" w:dirty="true"/>
              <w:instrText xml:space="preserve">PAGEREF _Toc59 \h</w:instrText>
              <w:fldChar w:fldCharType="separate"/>
              <w:fldChar w:fldCharType="end"/>
            </w:r>
          </w:hyperlink>
        </w:p>
        <w:p>
          <w:pPr>
            <w:pStyle w:val="TOC2"/>
            <w:tabs>
              <w:tab w:val="right" w:pos="8306" w:leader="dot"/>
            </w:tabs>
          </w:pPr>
          <w:hyperlink w:history="1" w:anchor="_Toc60">
            <w:r>
              <w:t xml:space="preserve">7.5 Approaches Tested and Rejected</w:t>
            </w:r>
            <w:r>
              <w:tab/>
            </w:r>
            <w:r>
              <w:fldChar w:fldCharType="begin" w:dirty="true"/>
              <w:instrText xml:space="preserve">PAGEREF _Toc60 \h</w:instrText>
              <w:fldChar w:fldCharType="separate"/>
              <w:fldChar w:fldCharType="end"/>
            </w:r>
          </w:hyperlink>
        </w:p>
        <w:p>
          <w:pPr>
            <w:pStyle w:val="TOC2"/>
            <w:tabs>
              <w:tab w:val="right" w:pos="8306" w:leader="dot"/>
            </w:tabs>
          </w:pPr>
          <w:hyperlink w:history="1" w:anchor="_Toc61">
            <w:r>
              <w:t xml:space="preserve">7.6 Discussion</w:t>
            </w:r>
            <w:r>
              <w:tab/>
            </w:r>
            <w:r>
              <w:fldChar w:fldCharType="begin" w:dirty="true"/>
              <w:instrText xml:space="preserve">PAGEREF _Toc61 \h</w:instrText>
              <w:fldChar w:fldCharType="separate"/>
              <w:fldChar w:fldCharType="end"/>
            </w:r>
          </w:hyperlink>
        </w:p>
        <w:p>
          <w:pPr>
            <w:pStyle w:val="TOC1"/>
            <w:tabs>
              <w:tab w:val="right" w:pos="8306" w:leader="dot"/>
            </w:tabs>
          </w:pPr>
          <w:hyperlink w:history="1" w:anchor="_Toc62">
            <w:r>
              <w:t xml:space="preserve">CONCLUSION AND FUTURE SCOPE</w:t>
            </w:r>
            <w:r>
              <w:tab/>
            </w:r>
            <w:r>
              <w:fldChar w:fldCharType="begin" w:dirty="true"/>
              <w:instrText xml:space="preserve">PAGEREF _Toc62 \h</w:instrText>
              <w:fldChar w:fldCharType="separate"/>
              <w:fldChar w:fldCharType="end"/>
            </w:r>
          </w:hyperlink>
        </w:p>
        <w:p>
          <w:pPr>
            <w:pStyle w:val="TOC2"/>
            <w:tabs>
              <w:tab w:val="right" w:pos="8306" w:leader="dot"/>
            </w:tabs>
          </w:pPr>
          <w:hyperlink w:history="1" w:anchor="_Toc63">
            <w:r>
              <w:t xml:space="preserve">8.1 Conclusion</w:t>
            </w:r>
            <w:r>
              <w:tab/>
            </w:r>
            <w:r>
              <w:fldChar w:fldCharType="begin" w:dirty="true"/>
              <w:instrText xml:space="preserve">PAGEREF _Toc63 \h</w:instrText>
              <w:fldChar w:fldCharType="separate"/>
              <w:fldChar w:fldCharType="end"/>
            </w:r>
          </w:hyperlink>
        </w:p>
        <w:p>
          <w:pPr>
            <w:pStyle w:val="TOC2"/>
            <w:tabs>
              <w:tab w:val="right" w:pos="8306" w:leader="dot"/>
            </w:tabs>
          </w:pPr>
          <w:hyperlink w:history="1" w:anchor="_Toc64">
            <w:r>
              <w:t xml:space="preserve">8.2 Limitations</w:t>
            </w:r>
            <w:r>
              <w:tab/>
            </w:r>
            <w:r>
              <w:fldChar w:fldCharType="begin" w:dirty="true"/>
              <w:instrText xml:space="preserve">PAGEREF _Toc64 \h</w:instrText>
              <w:fldChar w:fldCharType="separate"/>
              <w:fldChar w:fldCharType="end"/>
            </w:r>
          </w:hyperlink>
        </w:p>
        <w:p>
          <w:pPr>
            <w:pStyle w:val="TOC2"/>
            <w:tabs>
              <w:tab w:val="right" w:pos="8306" w:leader="dot"/>
            </w:tabs>
          </w:pPr>
          <w:hyperlink w:history="1" w:anchor="_Toc65">
            <w:r>
              <w:t xml:space="preserve">8.3 Future Scope</w:t>
            </w:r>
            <w:r>
              <w:tab/>
            </w:r>
            <w:r>
              <w:fldChar w:fldCharType="begin" w:dirty="true"/>
              <w:instrText xml:space="preserve">PAGEREF _Toc65 \h</w:instrText>
              <w:fldChar w:fldCharType="separate"/>
              <w:fldChar w:fldCharType="end"/>
            </w:r>
          </w:hyperlink>
        </w:p>
        <w:p>
          <w:pPr>
            <w:pStyle w:val="TOC1"/>
            <w:tabs>
              <w:tab w:val="right" w:pos="8306" w:leader="dot"/>
            </w:tabs>
          </w:pPr>
          <w:hyperlink w:history="1" w:anchor="_Toc66">
            <w:r>
              <w:t xml:space="preserve">REFERENCES</w:t>
            </w:r>
            <w:r>
              <w:tab/>
            </w:r>
            <w:r>
              <w:fldChar w:fldCharType="begin" w:dirty="true"/>
              <w:instrText xml:space="preserve">PAGEREF _Toc66 \h</w:instrText>
              <w:fldChar w:fldCharType="separate"/>
              <w:fldChar w:fldCharType="end"/>
            </w:r>
          </w:hyperlink>
        </w:p>
        <w:p>
          <w:pPr>
            <w:pStyle w:val="TOC1"/>
            <w:tabs>
              <w:tab w:val="right" w:pos="8306" w:leader="dot"/>
            </w:tabs>
          </w:pPr>
          <w:hyperlink w:history="1" w:anchor="_Toc67">
            <w:r>
              <w:t xml:space="preserve">APPENDIX A: API ENDPOINTS</w:t>
            </w:r>
            <w:r>
              <w:tab/>
            </w:r>
            <w:r>
              <w:fldChar w:fldCharType="begin" w:dirty="true"/>
              <w:instrText xml:space="preserve">PAGEREF _Toc67 \h</w:instrText>
              <w:fldChar w:fldCharType="separate"/>
              <w:fldChar w:fldCharType="end"/>
            </w:r>
          </w:hyperlink>
        </w:p>
        <w:p>
          <w:pPr>
            <w:pStyle w:val="TOC1"/>
            <w:tabs>
              <w:tab w:val="right" w:pos="8306" w:leader="dot"/>
            </w:tabs>
          </w:pPr>
          <w:hyperlink w:history="1" w:anchor="_Toc68">
            <w:r>
              <w:t xml:space="preserve">APPENDIX B: INSTALLATION AND USAGE</w:t>
            </w:r>
            <w:r>
              <w:tab/>
            </w:r>
            <w:r>
              <w:fldChar w:fldCharType="begin" w:dirty="true"/>
              <w:instrText xml:space="preserve">PAGEREF _Toc68 \h</w:instrText>
              <w:fldChar w:fldCharType="separate"/>
              <w:fldChar w:fldCharType="end"/>
            </w:r>
          </w:hyperlink>
        </w:p>
        <w:p>
          <w:pPr>
            <w:pStyle w:val="TOC1"/>
            <w:tabs>
              <w:tab w:val="right" w:pos="8306" w:leader="dot"/>
            </w:tabs>
          </w:pPr>
          <w:hyperlink w:history="1" w:anchor="_Toc69">
            <w:r>
              <w:t xml:space="preserve">APPENDIX C: GLOSSARY</w:t>
            </w:r>
            <w:r>
              <w:tab/>
            </w:r>
            <w:r>
              <w:fldChar w:fldCharType="begin" w:dirty="true"/>
              <w:instrText xml:space="preserve">PAGEREF _Toc69 \h</w:instrText>
              <w:fldChar w:fldCharType="separate"/>
              <w:fldChar w:fldCharType="end"/>
            </w:r>
          </w:hyperlink>
        </w:p>
        <w:p>
          <w:r>
            <w:fldChar w:fldCharType="end"/>
          </w:r>
        </w:p>
      </w:sdtContent>
    </w:sdt>
    <w:p>
      <w:pPr>
        <w:pStyle w:val="Heading1"/>
        <w:pageBreakBefore/>
        <w:jc w:val="center"/>
      </w:pPr>
      <w:bookmarkStart w:name="_Toc6" w:id="6"/>
      <w:r>
        <w:rPr>
          <w:rFonts w:ascii="Times New Roman" w:cs="Times New Roman" w:eastAsia="Times New Roman" w:hAnsi="Times New Roman"/>
        </w:rPr>
        <w:t xml:space="preserve">LIST OF FIGURES</w:t>
      </w:r>
      <w:bookmarkEnd w:id="6"/>
    </w:p>
    <w:sdt>
      <w:sdtPr>
        <w:alias w:val="List of Figures"/>
      </w:sdtPr>
      <w:sdtContent>
        <w:p>
          <w:r>
            <w:fldChar w:fldCharType="begin" w:dirty="true"/>
            <w:instrText xml:space="preserve">TOC \c "Figure" \h</w:instrText>
            <w:fldChar w:fldCharType="separate"/>
          </w:r>
        </w:p>
        <w:p>
          <w:r>
            <w:fldChar w:fldCharType="end"/>
          </w:r>
        </w:p>
      </w:sdtContent>
    </w:sdt>
    <w:p>
      <w:pPr>
        <w:pStyle w:val="Heading1"/>
        <w:pageBreakBefore/>
        <w:jc w:val="center"/>
      </w:pPr>
      <w:bookmarkStart w:name="_Toc7" w:id="7"/>
      <w:r>
        <w:rPr>
          <w:rFonts w:ascii="Times New Roman" w:cs="Times New Roman" w:eastAsia="Times New Roman" w:hAnsi="Times New Roman"/>
        </w:rPr>
        <w:t xml:space="preserve">LIST OF TABLES</w:t>
      </w:r>
      <w:bookmarkEnd w:id="7"/>
    </w:p>
    <w:sdt>
      <w:sdtPr>
        <w:alias w:val="List of Tables"/>
      </w:sdtPr>
      <w:sdtContent>
        <w:p>
          <w:r>
            <w:fldChar w:fldCharType="begin" w:dirty="true"/>
            <w:instrText xml:space="preserve">TOC \c "Table" \h</w:instrText>
            <w:fldChar w:fldCharType="separate"/>
          </w:r>
        </w:p>
        <w:p>
          <w:r>
            <w:fldChar w:fldCharType="end"/>
          </w:r>
        </w:p>
      </w:sdtContent>
    </w:sdt>
    <w:p>
      <w:pPr>
        <w:pStyle w:val="Heading1"/>
        <w:pageBreakBefore/>
        <w:jc w:val="center"/>
      </w:pPr>
      <w:bookmarkStart w:name="_Toc8" w:id="8"/>
      <w:r>
        <w:rPr>
          <w:rFonts w:ascii="Times New Roman" w:cs="Times New Roman" w:eastAsia="Times New Roman" w:hAnsi="Times New Roman"/>
        </w:rPr>
        <w:t xml:space="preserve">LIST OF ABBREVIATIONS</w:t>
      </w:r>
      <w:bookmarkEnd w:id="8"/>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List of abbreviations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7"/>
        <w:gridCol w:w="6229"/>
      </w:tblGrid>
      <w:tr>
        <w:trPr>
          <w:tblHeader/>
        </w:trPr>
        <w:tc>
          <w:tcPr>
            <w:tcW w:type="dxa" w:w="2077"/>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Abbreviation</w:t>
            </w:r>
          </w:p>
        </w:tc>
        <w:tc>
          <w:tcPr>
            <w:tcW w:type="dxa" w:w="6229"/>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Full form</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AMC</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Asset Management Company</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AMFI</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Association of Mutual Funds in India</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Application Programming Interface</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ARISE</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The project’s retirement simulation engine</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CRPS</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Continuous Ranked Probability Score</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DFD</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Data Flow Diagram</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ES / CVaR</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Expected Shortfall / Conditional Value at Risk</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EVT / GPD</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Extreme Value Theory / Generalised Pareto Distribution</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FHS</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Filtered Historical Simulation</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FZ0</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Fissler–Ziegel joint VaR/ES loss function</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GARCH</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Generalised Autoregressive Conditional Heteroskedasticity</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GJR</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Glosten–Jagannathan–Runkle (asymmetric GARCH)</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HAR / HAR-X</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Heterogeneous Autoregressive model (with exogenous inputs)</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HMM</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Hidden Markov Model</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JWT</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JSON Web Token</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LTCG</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Long-Term Capital Gains</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NAV</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Net Asset Value</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PLOS</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Portfolio Level Overlap Score (project engine)</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QLIKE</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Quasi-likelihood loss for variance forecasts</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SIP</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Systematic Investment Plan</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VaR</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Value at Risk</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VIX</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Volatility Index</w:t>
            </w:r>
          </w:p>
        </w:tc>
      </w:tr>
    </w:tbl>
    <w:p>
      <w:pPr>
        <w:spacing w:after="120"/>
        <w:sectPr>
          <w:footerReference w:type="default" r:id="rId6"/>
          <w:pgSz w:w="11906" w:h="16838" w:orient="portrait"/>
          <w:pgMar w:top="1440" w:right="1440" w:bottom="1440" w:left="2160" w:header="708" w:footer="708" w:gutter="0"/>
          <w:pgBorders>
            <w:top w:val="single" w:color="000000" w:sz="6" w:space="24"/>
            <w:left w:val="single" w:color="000000" w:sz="6" w:space="24"/>
            <w:bottom w:val="single" w:color="000000" w:sz="6" w:space="24"/>
            <w:right w:val="single" w:color="000000" w:sz="6" w:space="24"/>
          </w:pgBorders>
          <w:pgNumType w:start="1" w:fmt="lowerRoman"/>
          <w:docGrid w:linePitch="360"/>
        </w:sectPr>
      </w:pPr>
      <w:r>
        <w:rPr>
          <w:rFonts w:ascii="Times New Roman" w:cs="Times New Roman" w:eastAsia="Times New Roman" w:hAnsi="Times New Roman"/>
        </w:rPr>
        <w:t xml:space="preserve"/>
      </w:r>
    </w:p>
    <w:p>
      <w:pPr>
        <w:pageBreakBefore/>
        <w:spacing w:after="120"/>
        <w:jc w:val="center"/>
      </w:pPr>
      <w:r>
        <w:rPr>
          <w:rFonts w:ascii="Times New Roman" w:cs="Times New Roman" w:eastAsia="Times New Roman" w:hAnsi="Times New Roman"/>
          <w:b/>
          <w:bCs/>
          <w:sz w:val="28"/>
          <w:szCs w:val="28"/>
        </w:rPr>
        <w:t xml:space="preserve">CHAPTER 1</w:t>
      </w:r>
    </w:p>
    <w:p>
      <w:pPr>
        <w:pStyle w:val="Heading1"/>
        <w:jc w:val="center"/>
      </w:pPr>
      <w:bookmarkStart w:name="_Toc9" w:id="9"/>
      <w:r>
        <w:rPr>
          <w:rFonts w:ascii="Times New Roman" w:cs="Times New Roman" w:eastAsia="Times New Roman" w:hAnsi="Times New Roman"/>
        </w:rPr>
        <w:t xml:space="preserve">INTRODUCTION</w:t>
      </w:r>
      <w:bookmarkEnd w:id="9"/>
    </w:p>
    <w:p>
      <w:pPr>
        <w:pStyle w:val="Heading2"/>
        <w:keepNext/>
      </w:pPr>
      <w:bookmarkStart w:name="_Toc10" w:id="10"/>
      <w:r>
        <w:rPr>
          <w:rFonts w:ascii="Times New Roman" w:cs="Times New Roman" w:eastAsia="Times New Roman" w:hAnsi="Times New Roman"/>
        </w:rPr>
        <w:t xml:space="preserve">1.1 Background</w:t>
      </w:r>
      <w:bookmarkEnd w:id="10"/>
    </w:p>
    <w:p>
      <w:pPr>
        <w:spacing w:after="120" w:line="360"/>
        <w:jc w:val="both"/>
      </w:pPr>
      <w:r>
        <w:rPr>
          <w:rFonts w:ascii="Times New Roman" w:cs="Times New Roman" w:eastAsia="Times New Roman" w:hAnsi="Times New Roman"/>
        </w:rPr>
        <w:t xml:space="preserve">Mutual funds are the primary route by which Indian households invest in equity and debt markets. Investors are often advised to diversify across several schemes, and they commonly read diversification as the number of schemes held. However, schemes of the same fund house, and especially large-cap and multi-cap schemes, draw on the same pool of large companies. The result is that a portfolio of several funds may behave much like a single fund.</w:t>
      </w:r>
    </w:p>
    <w:p>
      <w:pPr>
        <w:spacing w:after="120" w:line="360"/>
        <w:jc w:val="both"/>
      </w:pPr>
      <w:r>
        <w:rPr>
          <w:rFonts w:ascii="Times New Roman" w:cs="Times New Roman" w:eastAsia="Times New Roman" w:hAnsi="Times New Roman"/>
        </w:rPr>
        <w:t xml:space="preserve">The factsheet data used in this project makes the effect concrete. In Nippon India’s 20 equity schemes (holdings as of 31 May 2026), HDFC Bank, ICICI Bank, Axis Bank and State Bank of India each appear in 11 schemes. Nippon India Large Cap Fund and Nippon India Quant Fund share only 15 holdings, yet 41% of their money is invested in the same stocks. Name-matching overlap tools cannot reveal this difference between shared names and shared money, nor what overlap means for risk and retirement.</w:t>
      </w:r>
    </w:p>
    <w:p>
      <w:pPr>
        <w:pStyle w:val="Heading2"/>
        <w:keepNext/>
      </w:pPr>
      <w:bookmarkStart w:name="_Toc11" w:id="11"/>
      <w:r>
        <w:rPr>
          <w:rFonts w:ascii="Times New Roman" w:cs="Times New Roman" w:eastAsia="Times New Roman" w:hAnsi="Times New Roman"/>
        </w:rPr>
        <w:t xml:space="preserve">1.2 Problem Statement</w:t>
      </w:r>
      <w:bookmarkEnd w:id="11"/>
    </w:p>
    <w:p>
      <w:pPr>
        <w:spacing w:after="120" w:line="360"/>
        <w:jc w:val="both"/>
      </w:pPr>
      <w:r>
        <w:rPr>
          <w:rFonts w:ascii="Times New Roman" w:cs="Times New Roman" w:eastAsia="Times New Roman" w:hAnsi="Times New Roman"/>
        </w:rPr>
        <w:t xml:space="preserve">Investors lack a single, transparent tool that (a) measures how much their funds truly overlap, both in holdings and in how they move together; (b) reports risk that reflects current market conditions rather than a long historical average; and (c) projects retirement outcomes as an honest probability range rather than a single number or an unjustified certainty. Existing calculators are frequently deterministic, and the models behind them are rarely validated against real outcomes.</w:t>
      </w:r>
    </w:p>
    <w:p>
      <w:pPr>
        <w:pStyle w:val="Heading2"/>
        <w:keepNext/>
      </w:pPr>
      <w:bookmarkStart w:name="_Toc12" w:id="12"/>
      <w:r>
        <w:rPr>
          <w:rFonts w:ascii="Times New Roman" w:cs="Times New Roman" w:eastAsia="Times New Roman" w:hAnsi="Times New Roman"/>
        </w:rPr>
        <w:t xml:space="preserve">1.3 Objectives</w:t>
      </w:r>
      <w:bookmarkEnd w:id="12"/>
    </w:p>
    <w:p>
      <w:pPr>
        <w:pStyle w:val="ListParagraph"/>
        <w:numPr>
          <w:ilvl w:val="0"/>
          <w:numId w:val="2"/>
        </w:numPr>
        <w:spacing w:after="60" w:line="360"/>
        <w:jc w:val="both"/>
      </w:pPr>
      <w:r>
        <w:rPr>
          <w:rFonts w:ascii="Times New Roman" w:cs="Times New Roman" w:eastAsia="Times New Roman" w:hAnsi="Times New Roman"/>
        </w:rPr>
        <w:t xml:space="preserve">Build a full-stack web platform that guides an investor from a detailed profile to overlap, diversification, risk and retirement analysis for real Nippon India schemes.</w:t>
      </w:r>
    </w:p>
    <w:p>
      <w:pPr>
        <w:pStyle w:val="ListParagraph"/>
        <w:numPr>
          <w:ilvl w:val="0"/>
          <w:numId w:val="2"/>
        </w:numPr>
        <w:spacing w:after="60" w:line="360"/>
        <w:jc w:val="both"/>
      </w:pPr>
      <w:r>
        <w:rPr>
          <w:rFonts w:ascii="Times New Roman" w:cs="Times New Roman" w:eastAsia="Times New Roman" w:hAnsi="Times New Roman"/>
        </w:rPr>
        <w:t xml:space="preserve">Measure overlap both as shared names (Jaccard) and shared money (weighted overlap), and predict how strongly each pair of funds will move together.</w:t>
      </w:r>
    </w:p>
    <w:p>
      <w:pPr>
        <w:pStyle w:val="ListParagraph"/>
        <w:numPr>
          <w:ilvl w:val="0"/>
          <w:numId w:val="2"/>
        </w:numPr>
        <w:spacing w:after="60" w:line="360"/>
        <w:jc w:val="both"/>
      </w:pPr>
      <w:r>
        <w:rPr>
          <w:rFonts w:ascii="Times New Roman" w:cs="Times New Roman" w:eastAsia="Times New Roman" w:hAnsi="Times New Roman"/>
        </w:rPr>
        <w:t xml:space="preserve">Provide risk measures (VaR and Expected Shortfall) that track the current volatility regime and pass formal backtests.</w:t>
      </w:r>
    </w:p>
    <w:p>
      <w:pPr>
        <w:pStyle w:val="ListParagraph"/>
        <w:numPr>
          <w:ilvl w:val="0"/>
          <w:numId w:val="2"/>
        </w:numPr>
        <w:spacing w:after="60" w:line="360"/>
        <w:jc w:val="both"/>
      </w:pPr>
      <w:r>
        <w:rPr>
          <w:rFonts w:ascii="Times New Roman" w:cs="Times New Roman" w:eastAsia="Times New Roman" w:hAnsi="Times New Roman"/>
        </w:rPr>
        <w:t xml:space="preserve">Project retirement outcomes with a Monte Carlo engine whose probability ranges are calibrated against real outcomes and never claim 0% or 100%.</w:t>
      </w:r>
    </w:p>
    <w:p>
      <w:pPr>
        <w:pStyle w:val="ListParagraph"/>
        <w:numPr>
          <w:ilvl w:val="0"/>
          <w:numId w:val="2"/>
        </w:numPr>
        <w:spacing w:after="60" w:line="360"/>
        <w:jc w:val="both"/>
      </w:pPr>
      <w:r>
        <w:rPr>
          <w:rFonts w:ascii="Times New Roman" w:cs="Times New Roman" w:eastAsia="Times New Roman" w:hAnsi="Times New Roman"/>
        </w:rPr>
        <w:t xml:space="preserve">Give each analytical engine its own machine-learned and quantitative model, trained on verified public data, and adopt a model only if it beats the existing one out of sample.</w:t>
      </w:r>
    </w:p>
    <w:p>
      <w:pPr>
        <w:pStyle w:val="ListParagraph"/>
        <w:numPr>
          <w:ilvl w:val="0"/>
          <w:numId w:val="2"/>
        </w:numPr>
        <w:spacing w:after="60" w:line="360"/>
        <w:jc w:val="both"/>
      </w:pPr>
      <w:r>
        <w:rPr>
          <w:rFonts w:ascii="Times New Roman" w:cs="Times New Roman" w:eastAsia="Times New Roman" w:hAnsi="Times New Roman"/>
        </w:rPr>
        <w:t xml:space="preserve">Ensure engineering quality: automated tests, continuous integration, containerised deployment and complete documentation.</w:t>
      </w:r>
    </w:p>
    <w:p>
      <w:pPr>
        <w:pStyle w:val="Heading2"/>
        <w:keepNext/>
      </w:pPr>
      <w:bookmarkStart w:name="_Toc13" w:id="13"/>
      <w:r>
        <w:rPr>
          <w:rFonts w:ascii="Times New Roman" w:cs="Times New Roman" w:eastAsia="Times New Roman" w:hAnsi="Times New Roman"/>
        </w:rPr>
        <w:t xml:space="preserve">1.4 Scope</w:t>
      </w:r>
      <w:bookmarkEnd w:id="13"/>
    </w:p>
    <w:p>
      <w:pPr>
        <w:pStyle w:val="ListParagraph"/>
        <w:numPr>
          <w:ilvl w:val="0"/>
          <w:numId w:val="3"/>
        </w:numPr>
        <w:spacing w:after="60" w:line="360"/>
        <w:jc w:val="both"/>
      </w:pPr>
      <w:r>
        <w:rPr>
          <w:rFonts w:ascii="Times New Roman" w:cs="Times New Roman" w:eastAsia="Times New Roman" w:hAnsi="Times New Roman"/>
          <w:b/>
          <w:bCs/>
        </w:rPr>
        <w:t xml:space="preserve">Universe:</w:t>
      </w:r>
      <w:r>
        <w:rPr>
          <w:rFonts w:ascii="Times New Roman" w:cs="Times New Roman" w:eastAsia="Times New Roman" w:hAnsi="Times New Roman"/>
        </w:rPr>
        <w:t xml:space="preserve"> 35 Nippon India schemes (20 equity, 15 debt) from published factsheets.</w:t>
      </w:r>
    </w:p>
    <w:p>
      <w:pPr>
        <w:pStyle w:val="ListParagraph"/>
        <w:numPr>
          <w:ilvl w:val="0"/>
          <w:numId w:val="3"/>
        </w:numPr>
        <w:spacing w:after="60" w:line="360"/>
        <w:jc w:val="both"/>
      </w:pPr>
      <w:r>
        <w:rPr>
          <w:rFonts w:ascii="Times New Roman" w:cs="Times New Roman" w:eastAsia="Times New Roman" w:hAnsi="Times New Roman"/>
          <w:b/>
          <w:bCs/>
        </w:rPr>
        <w:t xml:space="preserve">Users:</w:t>
      </w:r>
      <w:r>
        <w:rPr>
          <w:rFonts w:ascii="Times New Roman" w:cs="Times New Roman" w:eastAsia="Times New Roman" w:hAnsi="Times New Roman"/>
        </w:rPr>
        <w:t xml:space="preserve"> individual investors; a relationship-manager notification channel is included.</w:t>
      </w:r>
    </w:p>
    <w:p>
      <w:pPr>
        <w:pStyle w:val="ListParagraph"/>
        <w:numPr>
          <w:ilvl w:val="0"/>
          <w:numId w:val="3"/>
        </w:numPr>
        <w:spacing w:after="60" w:line="360"/>
        <w:jc w:val="both"/>
      </w:pPr>
      <w:r>
        <w:rPr>
          <w:rFonts w:ascii="Times New Roman" w:cs="Times New Roman" w:eastAsia="Times New Roman" w:hAnsi="Times New Roman"/>
          <w:b/>
          <w:bCs/>
        </w:rPr>
        <w:t xml:space="preserve">Analysis:</w:t>
      </w:r>
      <w:r>
        <w:rPr>
          <w:rFonts w:ascii="Times New Roman" w:cs="Times New Roman" w:eastAsia="Times New Roman" w:hAnsi="Times New Roman"/>
        </w:rPr>
        <w:t xml:space="preserve"> scheme filtering, overlap, PLOS, portfolio risk, retirement projection, transaction ledger with Indian capital-gains tax, and PDF reports.</w:t>
      </w:r>
    </w:p>
    <w:p>
      <w:pPr>
        <w:pStyle w:val="ListParagraph"/>
        <w:numPr>
          <w:ilvl w:val="0"/>
          <w:numId w:val="3"/>
        </w:numPr>
        <w:spacing w:after="60" w:line="360"/>
        <w:jc w:val="both"/>
      </w:pPr>
      <w:r>
        <w:rPr>
          <w:rFonts w:ascii="Times New Roman" w:cs="Times New Roman" w:eastAsia="Times New Roman" w:hAnsi="Times New Roman"/>
          <w:b/>
          <w:bCs/>
        </w:rPr>
        <w:t xml:space="preserve">Out of scope:</w:t>
      </w:r>
      <w:r>
        <w:rPr>
          <w:rFonts w:ascii="Times New Roman" w:cs="Times New Roman" w:eastAsia="Times New Roman" w:hAnsi="Times New Roman"/>
        </w:rPr>
        <w:t xml:space="preserve"> order execution, investment advice and schemes of other fund houses. The system is independent software and is not affiliated with Nippon Life India Asset Management or AMFI.</w:t>
      </w:r>
    </w:p>
    <w:p>
      <w:pPr>
        <w:pStyle w:val="Heading2"/>
        <w:keepNext/>
      </w:pPr>
      <w:bookmarkStart w:name="_Toc14" w:id="14"/>
      <w:r>
        <w:rPr>
          <w:rFonts w:ascii="Times New Roman" w:cs="Times New Roman" w:eastAsia="Times New Roman" w:hAnsi="Times New Roman"/>
        </w:rPr>
        <w:t xml:space="preserve">1.5 Methodology Overview</w:t>
      </w:r>
      <w:bookmarkEnd w:id="14"/>
    </w:p>
    <w:p>
      <w:pPr>
        <w:spacing w:after="120" w:line="360"/>
        <w:jc w:val="both"/>
      </w:pPr>
      <w:r>
        <w:rPr>
          <w:rFonts w:ascii="Times New Roman" w:cs="Times New Roman" w:eastAsia="Times New Roman" w:hAnsi="Times New Roman"/>
        </w:rPr>
        <w:t xml:space="preserve">Development followed an iterative approach: the analytical backend was built first, followed by the user interface, repository engineering and finally the model work. For every model, the same rule applied — define an accuracy measure, establish the existing model’s score on data it never saw, train candidates offline, and adopt a candidate only if it wins. Chapter 6 describes the validation design and Chapter 7 reports the results.</w:t>
      </w:r>
    </w:p>
    <w:p>
      <w:pPr>
        <w:pStyle w:val="Heading2"/>
        <w:keepNext/>
      </w:pPr>
      <w:bookmarkStart w:name="_Toc15" w:id="15"/>
      <w:r>
        <w:rPr>
          <w:rFonts w:ascii="Times New Roman" w:cs="Times New Roman" w:eastAsia="Times New Roman" w:hAnsi="Times New Roman"/>
        </w:rPr>
        <w:t xml:space="preserve">1.6 Organisation of the Report</w:t>
      </w:r>
      <w:bookmarkEnd w:id="15"/>
    </w:p>
    <w:p>
      <w:pPr>
        <w:spacing w:after="120" w:line="360"/>
        <w:jc w:val="both"/>
      </w:pPr>
      <w:r>
        <w:rPr>
          <w:rFonts w:ascii="Times New Roman" w:cs="Times New Roman" w:eastAsia="Times New Roman" w:hAnsi="Times New Roman"/>
        </w:rPr>
        <w:t xml:space="preserve">Chapter 2 surveys the literature behind each engine. Chapter 3 analyses requirements and feasibility. Chapter 4 presents the system design, including architecture, data flow, use-case, entity-relationship and flow diagrams. Chapter 5 describes the implementation of each module and its models. Chapter 6 covers testing and validation methodology, Chapter 7 presents results and discussion, and Chapter 8 concludes with future scope. References and appendices follow.</w:t>
      </w:r>
    </w:p>
    <w:p>
      <w:pPr>
        <w:pageBreakBefore/>
        <w:spacing w:after="120"/>
        <w:jc w:val="center"/>
      </w:pPr>
      <w:r>
        <w:rPr>
          <w:rFonts w:ascii="Times New Roman" w:cs="Times New Roman" w:eastAsia="Times New Roman" w:hAnsi="Times New Roman"/>
          <w:b/>
          <w:bCs/>
          <w:sz w:val="28"/>
          <w:szCs w:val="28"/>
        </w:rPr>
        <w:t xml:space="preserve">CHAPTER 2</w:t>
      </w:r>
    </w:p>
    <w:p>
      <w:pPr>
        <w:pStyle w:val="Heading1"/>
        <w:jc w:val="center"/>
      </w:pPr>
      <w:bookmarkStart w:name="_Toc16" w:id="16"/>
      <w:r>
        <w:rPr>
          <w:rFonts w:ascii="Times New Roman" w:cs="Times New Roman" w:eastAsia="Times New Roman" w:hAnsi="Times New Roman"/>
        </w:rPr>
        <w:t xml:space="preserve">LITERATURE SURVEY</w:t>
      </w:r>
      <w:bookmarkEnd w:id="16"/>
    </w:p>
    <w:p>
      <w:pPr>
        <w:spacing w:after="120" w:line="360"/>
        <w:jc w:val="both"/>
      </w:pPr>
      <w:r>
        <w:rPr>
          <w:rFonts w:ascii="Times New Roman" w:cs="Times New Roman" w:eastAsia="Times New Roman" w:hAnsi="Times New Roman"/>
        </w:rPr>
        <w:t xml:space="preserve">This chapter reviews the research that informs each engine. Before any model was built, the literature on overlap, covariance estimation, volatility forecasting, risk backtesting, retirement simulation, valuation and diversification measurement was surveyed. The findings shaped which candidate models were tested.</w:t>
      </w:r>
    </w:p>
    <w:p>
      <w:pPr>
        <w:pStyle w:val="Heading2"/>
        <w:keepNext/>
      </w:pPr>
      <w:bookmarkStart w:name="_Toc17" w:id="17"/>
      <w:r>
        <w:rPr>
          <w:rFonts w:ascii="Times New Roman" w:cs="Times New Roman" w:eastAsia="Times New Roman" w:hAnsi="Times New Roman"/>
        </w:rPr>
        <w:t xml:space="preserve">2.1 Portfolio Overlap and Common Ownership</w:t>
      </w:r>
      <w:bookmarkEnd w:id="17"/>
    </w:p>
    <w:p>
      <w:pPr>
        <w:spacing w:after="120" w:line="360"/>
        <w:jc w:val="both"/>
      </w:pPr>
      <w:r>
        <w:rPr>
          <w:rFonts w:ascii="Times New Roman" w:cs="Times New Roman" w:eastAsia="Times New Roman" w:hAnsi="Times New Roman"/>
        </w:rPr>
        <w:t xml:space="preserve">Antón and Polk [1] show that stocks sharing active mutual fund owners move together more than their fundamentals and style similarity predict, and that the degree of common ownership forecasts return correlation. This motivates measuring fund overlap by how funds co-move, not only by the names they hold. Sharpe’s returns-based style analysis [2] estimates a fund’s effective exposures by regressing its returns on asset-class indices under non-negativity and sum-to-one constraints. Practitioner literature disagrees on whether holdings-based or returns-based analysis forecasts better; hybrid approaches that combine the two are favoured by risk-model vendors [3]. PLOS v3 follows this hybrid approach.</w:t>
      </w:r>
    </w:p>
    <w:p>
      <w:pPr>
        <w:pStyle w:val="Heading2"/>
        <w:keepNext/>
      </w:pPr>
      <w:bookmarkStart w:name="_Toc18" w:id="18"/>
      <w:r>
        <w:rPr>
          <w:rFonts w:ascii="Times New Roman" w:cs="Times New Roman" w:eastAsia="Times New Roman" w:hAnsi="Times New Roman"/>
        </w:rPr>
        <w:t xml:space="preserve">2.2 Covariance Estimation and Shrinkage</w:t>
      </w:r>
      <w:bookmarkEnd w:id="18"/>
    </w:p>
    <w:p>
      <w:pPr>
        <w:spacing w:after="120" w:line="360"/>
        <w:jc w:val="both"/>
      </w:pPr>
      <w:r>
        <w:rPr>
          <w:rFonts w:ascii="Times New Roman" w:cs="Times New Roman" w:eastAsia="Times New Roman" w:hAnsi="Times New Roman"/>
        </w:rPr>
        <w:t xml:space="preserve">When the number of assets is comparable to the number of observations, the sample covariance matrix is noisy and may be singular. Ledoit and Wolf [4][5] propose shrinking it toward a structured target, linearly or non-linearly, which reduces out-of-sample portfolio risk. This project uses Ledoit–Wolf shrinkage both in the risk engine and for the roughly 190-stock covariance matrix behind the holdings-implied correlation.</w:t>
      </w:r>
    </w:p>
    <w:p>
      <w:pPr>
        <w:pStyle w:val="Heading2"/>
        <w:keepNext/>
      </w:pPr>
      <w:bookmarkStart w:name="_Toc19" w:id="19"/>
      <w:r>
        <w:rPr>
          <w:rFonts w:ascii="Times New Roman" w:cs="Times New Roman" w:eastAsia="Times New Roman" w:hAnsi="Times New Roman"/>
        </w:rPr>
        <w:t xml:space="preserve">2.3 Volatility Forecasting</w:t>
      </w:r>
      <w:bookmarkEnd w:id="19"/>
    </w:p>
    <w:p>
      <w:pPr>
        <w:spacing w:after="120" w:line="360"/>
        <w:jc w:val="both"/>
      </w:pPr>
      <w:r>
        <w:rPr>
          <w:rFonts w:ascii="Times New Roman" w:cs="Times New Roman" w:eastAsia="Times New Roman" w:hAnsi="Times New Roman"/>
        </w:rPr>
        <w:t xml:space="preserve">GARCH models [6] and their asymmetric GJR variant [7] make tomorrow’s variance depend on recent shocks. Corsi’s HAR model [8] forecasts realised volatility from its daily, weekly and monthly averages and is a strong benchmark. Christensen, Siggaard and Veliyev [9] find that machine-learning models are competitive with HAR, with gains mainly at longer horizons, while other studies find GARCH-family models hard to beat under the QLIKE loss [10]. For India, augmenting GARCH with India VIX improves Nifty volatility forecasts [11]. Patton [12] shows that QLIKE is robust to noise in the volatility proxy. These results motivated testing GARCH, GJR, HAR, an India-VIX-augmented HAR-X and a gradient-boosted HAR-X.</w:t>
      </w:r>
    </w:p>
    <w:p>
      <w:pPr>
        <w:pStyle w:val="Heading2"/>
        <w:keepNext/>
      </w:pPr>
      <w:bookmarkStart w:name="_Toc20" w:id="20"/>
      <w:r>
        <w:rPr>
          <w:rFonts w:ascii="Times New Roman" w:cs="Times New Roman" w:eastAsia="Times New Roman" w:hAnsi="Times New Roman"/>
        </w:rPr>
        <w:t xml:space="preserve">2.4 Value at Risk and Backtesting</w:t>
      </w:r>
      <w:bookmarkEnd w:id="20"/>
    </w:p>
    <w:p>
      <w:pPr>
        <w:spacing w:after="120" w:line="360"/>
        <w:jc w:val="both"/>
      </w:pPr>
      <w:r>
        <w:rPr>
          <w:rFonts w:ascii="Times New Roman" w:cs="Times New Roman" w:eastAsia="Times New Roman" w:hAnsi="Times New Roman"/>
        </w:rPr>
        <w:t xml:space="preserve">Kupiec’s proportion-of-failures test [13] checks that VaR is breached at the stated rate, and Christoffersen’s test [14] checks that breaches do not cluster. Filtered historical simulation (FHS) combines a GARCH volatility filter with the empirical distribution of standardised residuals and has been applied to Indian indices [15]. McNeil and Frey [16] model the extreme tail with a generalised Pareto distribution fitted to standardised residuals (GARCH-EVT). A comparison across emerging and developed markets found plain GARCH-t to be the most robust across volatility regimes [17], a reminder that complexity does not guarantee better risk estimates. Fissler and Ziegel [18] show that VaR and ES are jointly elicitable; the FZ0 loss of Patton, Ziegel and Chen [19] scores them together.</w:t>
      </w:r>
    </w:p>
    <w:p>
      <w:pPr>
        <w:pStyle w:val="Heading2"/>
        <w:keepNext/>
      </w:pPr>
      <w:bookmarkStart w:name="_Toc21" w:id="21"/>
      <w:r>
        <w:rPr>
          <w:rFonts w:ascii="Times New Roman" w:cs="Times New Roman" w:eastAsia="Times New Roman" w:hAnsi="Times New Roman"/>
        </w:rPr>
        <w:t xml:space="preserve">2.5 Retirement Simulation</w:t>
      </w:r>
      <w:bookmarkEnd w:id="21"/>
    </w:p>
    <w:p>
      <w:pPr>
        <w:spacing w:after="120" w:line="360"/>
        <w:jc w:val="both"/>
      </w:pPr>
      <w:r>
        <w:rPr>
          <w:rFonts w:ascii="Times New Roman" w:cs="Times New Roman" w:eastAsia="Times New Roman" w:hAnsi="Times New Roman"/>
        </w:rPr>
        <w:t xml:space="preserve">Monte Carlo simulation captures sequence-of-returns risk that deterministic projections ignore. Practitioner studies find that bootstrapped and parametric simulations give different success rates, partly because bootstrapping preserves the historical link between inflation and equity returns [20]. Spending rules such as Guyton–Klinger guardrails [21] and variable percentage withdrawal adapt withdrawals to markets, while Blanchett’s spending “smile” models the shape of retirement spending [22]. Milevsky and Robinson [23] provide a closed-form ruin approximation, used here as an independent cross-check.</w:t>
      </w:r>
    </w:p>
    <w:p>
      <w:pPr>
        <w:pStyle w:val="Heading2"/>
        <w:keepNext/>
      </w:pPr>
      <w:bookmarkStart w:name="_Toc22" w:id="22"/>
      <w:r>
        <w:rPr>
          <w:rFonts w:ascii="Times New Roman" w:cs="Times New Roman" w:eastAsia="Times New Roman" w:hAnsi="Times New Roman"/>
        </w:rPr>
        <w:t xml:space="preserve">2.6 Valuation and Long-Horizon Returns</w:t>
      </w:r>
      <w:bookmarkEnd w:id="22"/>
    </w:p>
    <w:p>
      <w:pPr>
        <w:spacing w:after="120" w:line="360"/>
        <w:jc w:val="both"/>
      </w:pPr>
      <w:r>
        <w:rPr>
          <w:rFonts w:ascii="Times New Roman" w:cs="Times New Roman" w:eastAsia="Times New Roman" w:hAnsi="Times New Roman"/>
        </w:rPr>
        <w:t xml:space="preserve">Valuation ratios are weak predictors of one-year returns but stronger over long horizons [24]. Indian practitioner studies of Nifty P/E bands since 1999 report higher subsequent returns from low valuations [25], and a multi-scale study of the Nifty 50 (1990–2024) finds a directional influence of valuation on future returns [26]. These sources rely on overlapping windows and a short history, so any valuation signal must be shrunk heavily.</w:t>
      </w:r>
    </w:p>
    <w:p>
      <w:pPr>
        <w:pStyle w:val="Heading2"/>
        <w:keepNext/>
      </w:pPr>
      <w:bookmarkStart w:name="_Toc23" w:id="23"/>
      <w:r>
        <w:rPr>
          <w:rFonts w:ascii="Times New Roman" w:cs="Times New Roman" w:eastAsia="Times New Roman" w:hAnsi="Times New Roman"/>
        </w:rPr>
        <w:t xml:space="preserve">2.7 Measuring Diversification</w:t>
      </w:r>
      <w:bookmarkEnd w:id="23"/>
    </w:p>
    <w:p>
      <w:pPr>
        <w:spacing w:after="120" w:line="360"/>
        <w:jc w:val="both"/>
      </w:pPr>
      <w:r>
        <w:rPr>
          <w:rFonts w:ascii="Times New Roman" w:cs="Times New Roman" w:eastAsia="Times New Roman" w:hAnsi="Times New Roman"/>
        </w:rPr>
        <w:t xml:space="preserve">Choueifaty and Coignard [27] define the diversification ratio as the weighted average volatility divided by portfolio volatility; for equal-volatility assets its square is the effective number of independent risk sources. Meucci, Santangelo and Deguest [28] propose the Effective Number of Minimum-Torsion Bets, which measures how evenly risk is spread across decorrelated factors. Both were evaluated for the “funds you really hold” measure (Section 7.5).</w:t>
      </w:r>
    </w:p>
    <w:p>
      <w:pPr>
        <w:pStyle w:val="Heading2"/>
        <w:keepNext/>
      </w:pPr>
      <w:bookmarkStart w:name="_Toc24" w:id="24"/>
      <w:r>
        <w:rPr>
          <w:rFonts w:ascii="Times New Roman" w:cs="Times New Roman" w:eastAsia="Times New Roman" w:hAnsi="Times New Roman"/>
        </w:rPr>
        <w:t xml:space="preserve">2.8 Summary and Research Gap</w:t>
      </w:r>
      <w:bookmarkEnd w:id="24"/>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Summary of the literature survey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350"/>
        <w:gridCol w:w="3426"/>
        <w:gridCol w:w="3530"/>
      </w:tblGrid>
      <w:tr>
        <w:trPr>
          <w:tblHeader/>
        </w:trPr>
        <w:tc>
          <w:tcPr>
            <w:tcW w:type="dxa" w:w="13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Area</w:t>
            </w:r>
          </w:p>
        </w:tc>
        <w:tc>
          <w:tcPr>
            <w:tcW w:type="dxa" w:w="3426"/>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Key finding from literature</w:t>
            </w:r>
          </w:p>
        </w:tc>
        <w:tc>
          <w:tcPr>
            <w:tcW w:type="dxa" w:w="35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Gap addressed by this project</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Overlap</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Common ownership predicts co-movement [1]; hybrid holdings + returns analysis is preferred [3]</w:t>
            </w:r>
          </w:p>
        </w:tc>
        <w:tc>
          <w:tcPr>
            <w:tcW w:type="dxa" w:w="35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No tool predicts future co-movement of Indian fund pairs with an explainable model</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Volatility</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HAR is a strong benchmark; India VIX helps [8][11]</w:t>
            </w:r>
          </w:p>
        </w:tc>
        <w:tc>
          <w:tcPr>
            <w:tcW w:type="dxa" w:w="35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No HAR-X with India VIX and global inputs evaluated for Indian funds</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VaR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FHS and EVT improve tails; results vary by market [15][16][17]</w:t>
            </w:r>
          </w:p>
        </w:tc>
        <w:tc>
          <w:tcPr>
            <w:tcW w:type="dxa" w:w="35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No fund-level VaR/ES backtest across many Indian schemes</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Retirement</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Monte Carlo captures sequence risk [20]</w:t>
            </w:r>
          </w:p>
        </w:tc>
        <w:tc>
          <w:tcPr>
            <w:tcW w:type="dxa" w:w="35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Calculators are rarely calibrated against real outcomes</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Valuation</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Long-horizon predictability exists but samples are short [24][25]</w:t>
            </w:r>
          </w:p>
        </w:tc>
        <w:tc>
          <w:tcPr>
            <w:tcW w:type="dxa" w:w="35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Valuation signal must be shrunk and validated out of sample</w:t>
            </w:r>
          </w:p>
        </w:tc>
      </w:tr>
    </w:tbl>
    <w:p>
      <w:pPr>
        <w:spacing w:after="120"/>
      </w:pPr>
      <w:r>
        <w:rPr>
          <w:rFonts w:ascii="Times New Roman" w:cs="Times New Roman" w:eastAsia="Times New Roman" w:hAnsi="Times New Roman"/>
        </w:rPr>
        <w:t xml:space="preserve"/>
      </w:r>
    </w:p>
    <w:p>
      <w:pPr>
        <w:pageBreakBefore/>
        <w:spacing w:after="120"/>
        <w:jc w:val="center"/>
      </w:pPr>
      <w:r>
        <w:rPr>
          <w:rFonts w:ascii="Times New Roman" w:cs="Times New Roman" w:eastAsia="Times New Roman" w:hAnsi="Times New Roman"/>
          <w:b/>
          <w:bCs/>
          <w:sz w:val="28"/>
          <w:szCs w:val="28"/>
        </w:rPr>
        <w:t xml:space="preserve">CHAPTER 3</w:t>
      </w:r>
    </w:p>
    <w:p>
      <w:pPr>
        <w:pStyle w:val="Heading1"/>
        <w:jc w:val="center"/>
      </w:pPr>
      <w:bookmarkStart w:name="_Toc25" w:id="25"/>
      <w:r>
        <w:rPr>
          <w:rFonts w:ascii="Times New Roman" w:cs="Times New Roman" w:eastAsia="Times New Roman" w:hAnsi="Times New Roman"/>
        </w:rPr>
        <w:t xml:space="preserve">SYSTEM ANALYSIS AND REQUIREMENTS</w:t>
      </w:r>
      <w:bookmarkEnd w:id="25"/>
    </w:p>
    <w:p>
      <w:pPr>
        <w:pStyle w:val="Heading2"/>
        <w:keepNext/>
      </w:pPr>
      <w:bookmarkStart w:name="_Toc26" w:id="26"/>
      <w:r>
        <w:rPr>
          <w:rFonts w:ascii="Times New Roman" w:cs="Times New Roman" w:eastAsia="Times New Roman" w:hAnsi="Times New Roman"/>
        </w:rPr>
        <w:t xml:space="preserve">3.1 Existing System</w:t>
      </w:r>
      <w:bookmarkEnd w:id="26"/>
    </w:p>
    <w:p>
      <w:pPr>
        <w:spacing w:after="120" w:line="360"/>
        <w:jc w:val="both"/>
      </w:pPr>
      <w:r>
        <w:rPr>
          <w:rFonts w:ascii="Times New Roman" w:cs="Times New Roman" w:eastAsia="Times New Roman" w:hAnsi="Times New Roman"/>
        </w:rPr>
        <w:t xml:space="preserve">An investor today relies on monthly factsheets, generic portfolio-overlap websites and online retirement calculators. Factsheets list holdings but do not compare schemes. Overlap tools typically report the percentage of common stock names, which ignores position sizes and says nothing about how funds move together. Retirement calculators usually assume a fixed return and produce one number, hiding uncertainty. None of these tools reports how accurate its own estimates have been historically.</w:t>
      </w:r>
    </w:p>
    <w:p>
      <w:pPr>
        <w:pStyle w:val="Heading2"/>
        <w:keepNext/>
      </w:pPr>
      <w:bookmarkStart w:name="_Toc27" w:id="27"/>
      <w:r>
        <w:rPr>
          <w:rFonts w:ascii="Times New Roman" w:cs="Times New Roman" w:eastAsia="Times New Roman" w:hAnsi="Times New Roman"/>
        </w:rPr>
        <w:t xml:space="preserve">3.2 Proposed System</w:t>
      </w:r>
      <w:bookmarkEnd w:id="27"/>
    </w:p>
    <w:p>
      <w:pPr>
        <w:spacing w:after="120" w:line="360"/>
        <w:jc w:val="both"/>
      </w:pPr>
      <w:r>
        <w:rPr>
          <w:rFonts w:ascii="Times New Roman" w:cs="Times New Roman" w:eastAsia="Times New Roman" w:hAnsi="Times New Roman"/>
        </w:rPr>
        <w:t xml:space="preserve">Nexus Portfolio Intelligence integrates the full journey in one platform. It keeps every scheme visible while flagging mismatches with the investor’s profile. It measures overlap by names and by money, predicts pairwise co-movement with a validated model, reports risk that adapts to current volatility, and projects retirement as a calibrated probability range. Each analysis screen displays the evidence for its model alongside the result.</w:t>
      </w:r>
    </w:p>
    <w:p>
      <w:pPr>
        <w:pStyle w:val="Heading2"/>
        <w:keepNext/>
      </w:pPr>
      <w:bookmarkStart w:name="_Toc28" w:id="28"/>
      <w:r>
        <w:rPr>
          <w:rFonts w:ascii="Times New Roman" w:cs="Times New Roman" w:eastAsia="Times New Roman" w:hAnsi="Times New Roman"/>
        </w:rPr>
        <w:t xml:space="preserve">3.3 Feasibility Study</w:t>
      </w:r>
      <w:bookmarkEnd w:id="28"/>
    </w:p>
    <w:p>
      <w:pPr>
        <w:pStyle w:val="ListParagraph"/>
        <w:numPr>
          <w:ilvl w:val="0"/>
          <w:numId w:val="3"/>
        </w:numPr>
        <w:spacing w:after="60" w:line="360"/>
        <w:jc w:val="both"/>
      </w:pPr>
      <w:r>
        <w:rPr>
          <w:rFonts w:ascii="Times New Roman" w:cs="Times New Roman" w:eastAsia="Times New Roman" w:hAnsi="Times New Roman"/>
          <w:b/>
          <w:bCs/>
        </w:rPr>
        <w:t xml:space="preserve">Technical feasibility:</w:t>
      </w:r>
      <w:r>
        <w:rPr>
          <w:rFonts w:ascii="Times New Roman" w:cs="Times New Roman" w:eastAsia="Times New Roman" w:hAnsi="Times New Roman"/>
        </w:rPr>
        <w:t xml:space="preserve"> all components use mature open-source technology (FastAPI, PostgreSQL, Redis, Celery, NumPy/SciPy/scikit-learn, Next.js). Model training completes in about five minutes on a laptop, and all models run at request time in under six seconds.</w:t>
      </w:r>
    </w:p>
    <w:p>
      <w:pPr>
        <w:pStyle w:val="ListParagraph"/>
        <w:numPr>
          <w:ilvl w:val="0"/>
          <w:numId w:val="3"/>
        </w:numPr>
        <w:spacing w:after="60" w:line="360"/>
        <w:jc w:val="both"/>
      </w:pPr>
      <w:r>
        <w:rPr>
          <w:rFonts w:ascii="Times New Roman" w:cs="Times New Roman" w:eastAsia="Times New Roman" w:hAnsi="Times New Roman"/>
          <w:b/>
          <w:bCs/>
        </w:rPr>
        <w:t xml:space="preserve">Economic feasibility:</w:t>
      </w:r>
      <w:r>
        <w:rPr>
          <w:rFonts w:ascii="Times New Roman" w:cs="Times New Roman" w:eastAsia="Times New Roman" w:hAnsi="Times New Roman"/>
        </w:rPr>
        <w:t xml:space="preserve"> the data sources (AMFI via mfapi.in, NSE Indices, Yahoo Finance) are free, and the system runs locally in Docker without paid services. Upstox and Alpha Vantage integrations are optional.</w:t>
      </w:r>
    </w:p>
    <w:p>
      <w:pPr>
        <w:pStyle w:val="ListParagraph"/>
        <w:numPr>
          <w:ilvl w:val="0"/>
          <w:numId w:val="3"/>
        </w:numPr>
        <w:spacing w:after="60" w:line="360"/>
        <w:jc w:val="both"/>
      </w:pPr>
      <w:r>
        <w:rPr>
          <w:rFonts w:ascii="Times New Roman" w:cs="Times New Roman" w:eastAsia="Times New Roman" w:hAnsi="Times New Roman"/>
          <w:b/>
          <w:bCs/>
        </w:rPr>
        <w:t xml:space="preserve">Operational feasibility:</w:t>
      </w:r>
      <w:r>
        <w:rPr>
          <w:rFonts w:ascii="Times New Roman" w:cs="Times New Roman" w:eastAsia="Times New Roman" w:hAnsi="Times New Roman"/>
        </w:rPr>
        <w:t xml:space="preserve"> the investor needs only a browser. Retraining is a single command, and the system falls back to its previous behaviour if a trained model is unavailable.</w:t>
      </w:r>
    </w:p>
    <w:p>
      <w:pPr>
        <w:pStyle w:val="Heading2"/>
        <w:keepNext/>
      </w:pPr>
      <w:bookmarkStart w:name="_Toc29" w:id="29"/>
      <w:r>
        <w:rPr>
          <w:rFonts w:ascii="Times New Roman" w:cs="Times New Roman" w:eastAsia="Times New Roman" w:hAnsi="Times New Roman"/>
        </w:rPr>
        <w:t xml:space="preserve">3.4 Functional Requirements</w:t>
      </w:r>
      <w:bookmarkEnd w:id="29"/>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Functional requirements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038"/>
        <w:gridCol w:w="7268"/>
      </w:tblGrid>
      <w:tr>
        <w:trPr>
          <w:tblHeader/>
        </w:trPr>
        <w:tc>
          <w:tcPr>
            <w:tcW w:type="dxa" w:w="10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ID</w:t>
            </w:r>
          </w:p>
        </w:tc>
        <w:tc>
          <w:tcPr>
            <w:tcW w:type="dxa" w:w="726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Requirement</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FR1</w:t>
            </w:r>
          </w:p>
        </w:tc>
        <w:tc>
          <w:tcPr>
            <w:tcW w:type="dxa" w:w="72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Register, log in, refresh and revoke sessions securely (JWT with rotating refresh tokens)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FR2</w:t>
            </w:r>
          </w:p>
        </w:tc>
        <w:tc>
          <w:tcPr>
            <w:tcW w:type="dxa" w:w="72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Capture a 10-field investor profile with optional SIP and annual step-up</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FR3</w:t>
            </w:r>
          </w:p>
        </w:tc>
        <w:tc>
          <w:tcPr>
            <w:tcW w:type="dxa" w:w="72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List all 35 schemes with eligibility flags, reasons and risk sub-tiers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FR4</w:t>
            </w:r>
          </w:p>
        </w:tc>
        <w:tc>
          <w:tcPr>
            <w:tcW w:type="dxa" w:w="72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Select schemes and allocate weights that sum to 100%</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FR5</w:t>
            </w:r>
          </w:p>
        </w:tc>
        <w:tc>
          <w:tcPr>
            <w:tcW w:type="dxa" w:w="72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Compute pairwise overlap (Jaccard and weighted) with heatmap and network views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FR6</w:t>
            </w:r>
          </w:p>
        </w:tc>
        <w:tc>
          <w:tcPr>
            <w:tcW w:type="dxa" w:w="72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Compute PLOS for every pair, the effective number of funds and redundancy clusters, with per-layer contributions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FR7</w:t>
            </w:r>
          </w:p>
        </w:tc>
        <w:tc>
          <w:tcPr>
            <w:tcW w:type="dxa" w:w="72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Compute portfolio risk metrics, conditional VaR/ES at 95% and 99% over 1 and 10 days, and backtests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FR8</w:t>
            </w:r>
          </w:p>
        </w:tc>
        <w:tc>
          <w:tcPr>
            <w:tcW w:type="dxa" w:w="72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Run the ARISE retirement projection with strategy comparison, stress test and calibration evidence</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FR9</w:t>
            </w:r>
          </w:p>
        </w:tc>
        <w:tc>
          <w:tcPr>
            <w:tcW w:type="dxa" w:w="72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Record transactions and compute P&amp;L, XIRR and Indian capital-gains tax</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FR10</w:t>
            </w:r>
          </w:p>
        </w:tc>
        <w:tc>
          <w:tcPr>
            <w:tcW w:type="dxa" w:w="72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Generate PDF reports and deliver notifications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FR11</w:t>
            </w:r>
          </w:p>
        </w:tc>
        <w:tc>
          <w:tcPr>
            <w:tcW w:type="dxa" w:w="72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Connect an Upstox account for live prices (optional)</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FR12</w:t>
            </w:r>
          </w:p>
        </w:tc>
        <w:tc>
          <w:tcPr>
            <w:tcW w:type="dxa" w:w="72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Download market data and retrain all models with one command</w:t>
            </w:r>
          </w:p>
        </w:tc>
      </w:tr>
    </w:tbl>
    <w:p>
      <w:pPr>
        <w:spacing w:after="120"/>
      </w:pPr>
      <w:r>
        <w:rPr>
          <w:rFonts w:ascii="Times New Roman" w:cs="Times New Roman" w:eastAsia="Times New Roman" w:hAnsi="Times New Roman"/>
        </w:rPr>
        <w:t xml:space="preserve"/>
      </w:r>
    </w:p>
    <w:p>
      <w:pPr>
        <w:pStyle w:val="Heading2"/>
        <w:keepNext/>
      </w:pPr>
      <w:bookmarkStart w:name="_Toc30" w:id="30"/>
      <w:r>
        <w:rPr>
          <w:rFonts w:ascii="Times New Roman" w:cs="Times New Roman" w:eastAsia="Times New Roman" w:hAnsi="Times New Roman"/>
        </w:rPr>
        <w:t xml:space="preserve">3.5 Non-Functional Requirements</w:t>
      </w:r>
      <w:bookmarkEnd w:id="30"/>
    </w:p>
    <w:p>
      <w:pPr>
        <w:pStyle w:val="ListParagraph"/>
        <w:numPr>
          <w:ilvl w:val="0"/>
          <w:numId w:val="3"/>
        </w:numPr>
        <w:spacing w:after="60" w:line="360"/>
        <w:jc w:val="both"/>
      </w:pPr>
      <w:r>
        <w:rPr>
          <w:rFonts w:ascii="Times New Roman" w:cs="Times New Roman" w:eastAsia="Times New Roman" w:hAnsi="Times New Roman"/>
          <w:b/>
          <w:bCs/>
        </w:rPr>
        <w:t xml:space="preserve">Accuracy and honesty:</w:t>
      </w:r>
      <w:r>
        <w:rPr>
          <w:rFonts w:ascii="Times New Roman" w:cs="Times New Roman" w:eastAsia="Times New Roman" w:hAnsi="Times New Roman"/>
        </w:rPr>
        <w:t xml:space="preserve"> no probability is shown as 0% or 100%; every model is validated out of sample; estimates and assumptions are labelled.</w:t>
      </w:r>
    </w:p>
    <w:p>
      <w:pPr>
        <w:pStyle w:val="ListParagraph"/>
        <w:numPr>
          <w:ilvl w:val="0"/>
          <w:numId w:val="3"/>
        </w:numPr>
        <w:spacing w:after="60" w:line="360"/>
        <w:jc w:val="both"/>
      </w:pPr>
      <w:r>
        <w:rPr>
          <w:rFonts w:ascii="Times New Roman" w:cs="Times New Roman" w:eastAsia="Times New Roman" w:hAnsi="Times New Roman"/>
          <w:b/>
          <w:bCs/>
        </w:rPr>
        <w:t xml:space="preserve">Security:</w:t>
      </w:r>
      <w:r>
        <w:rPr>
          <w:rFonts w:ascii="Times New Roman" w:cs="Times New Roman" w:eastAsia="Times New Roman" w:hAnsi="Times New Roman"/>
        </w:rPr>
        <w:t xml:space="preserve"> hashed passwords, token rotation with reuse detection, rate limiting, per-user data isolation, and secrets kept out of version control.</w:t>
      </w:r>
    </w:p>
    <w:p>
      <w:pPr>
        <w:pStyle w:val="ListParagraph"/>
        <w:numPr>
          <w:ilvl w:val="0"/>
          <w:numId w:val="3"/>
        </w:numPr>
        <w:spacing w:after="60" w:line="360"/>
        <w:jc w:val="both"/>
      </w:pPr>
      <w:r>
        <w:rPr>
          <w:rFonts w:ascii="Times New Roman" w:cs="Times New Roman" w:eastAsia="Times New Roman" w:hAnsi="Times New Roman"/>
          <w:b/>
          <w:bCs/>
        </w:rPr>
        <w:t xml:space="preserve">Performance:</w:t>
      </w:r>
      <w:r>
        <w:rPr>
          <w:rFonts w:ascii="Times New Roman" w:cs="Times New Roman" w:eastAsia="Times New Roman" w:hAnsi="Times New Roman"/>
        </w:rPr>
        <w:t xml:space="preserve"> analysis responses within about six seconds; the event loop is never blocked by computation.</w:t>
      </w:r>
    </w:p>
    <w:p>
      <w:pPr>
        <w:pStyle w:val="ListParagraph"/>
        <w:numPr>
          <w:ilvl w:val="0"/>
          <w:numId w:val="3"/>
        </w:numPr>
        <w:spacing w:after="60" w:line="360"/>
        <w:jc w:val="both"/>
      </w:pPr>
      <w:r>
        <w:rPr>
          <w:rFonts w:ascii="Times New Roman" w:cs="Times New Roman" w:eastAsia="Times New Roman" w:hAnsi="Times New Roman"/>
          <w:b/>
          <w:bCs/>
        </w:rPr>
        <w:t xml:space="preserve">Usability and accessibility:</w:t>
      </w:r>
      <w:r>
        <w:rPr>
          <w:rFonts w:ascii="Times New Roman" w:cs="Times New Roman" w:eastAsia="Times New Roman" w:hAnsi="Times New Roman"/>
        </w:rPr>
        <w:t xml:space="preserve"> responsive layout, light and dark themes, and colour contrast meeting WCAG 2.2 AA (enforced by 16 automated checks).</w:t>
      </w:r>
    </w:p>
    <w:p>
      <w:pPr>
        <w:pStyle w:val="ListParagraph"/>
        <w:numPr>
          <w:ilvl w:val="0"/>
          <w:numId w:val="3"/>
        </w:numPr>
        <w:spacing w:after="60" w:line="360"/>
        <w:jc w:val="both"/>
      </w:pPr>
      <w:r>
        <w:rPr>
          <w:rFonts w:ascii="Times New Roman" w:cs="Times New Roman" w:eastAsia="Times New Roman" w:hAnsi="Times New Roman"/>
          <w:b/>
          <w:bCs/>
        </w:rPr>
        <w:t xml:space="preserve">Maintainability:</w:t>
      </w:r>
      <w:r>
        <w:rPr>
          <w:rFonts w:ascii="Times New Roman" w:cs="Times New Roman" w:eastAsia="Times New Roman" w:hAnsi="Times New Roman"/>
        </w:rPr>
        <w:t xml:space="preserve"> layered architecture, 449 automated tests, continuous integration and documentation of every model and decision.</w:t>
      </w:r>
    </w:p>
    <w:p>
      <w:pPr>
        <w:pStyle w:val="Heading2"/>
        <w:keepNext/>
      </w:pPr>
      <w:bookmarkStart w:name="_Toc31" w:id="31"/>
      <w:r>
        <w:rPr>
          <w:rFonts w:ascii="Times New Roman" w:cs="Times New Roman" w:eastAsia="Times New Roman" w:hAnsi="Times New Roman"/>
        </w:rPr>
        <w:t xml:space="preserve">3.6 Hardware and Software Requirements</w:t>
      </w:r>
      <w:bookmarkEnd w:id="31"/>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Hardware and software requirements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7"/>
        <w:gridCol w:w="6229"/>
      </w:tblGrid>
      <w:tr>
        <w:trPr>
          <w:tblHeader/>
        </w:trPr>
        <w:tc>
          <w:tcPr>
            <w:tcW w:type="dxa" w:w="2077"/>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Category</w:t>
            </w:r>
          </w:p>
        </w:tc>
        <w:tc>
          <w:tcPr>
            <w:tcW w:type="dxa" w:w="6229"/>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Requirement</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Processor</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Any 64-bit dual-core CPU (development used Apple silicon)</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Memory</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8 GB RAM minimum (16 GB recommended for Docker and training)</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Storage</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5 GB free (Docker images, ~5 MB market data)</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Operating system</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macOS, Linux or Windows with Docker Desktop</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Backend</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Python 3.12, FastAPI, SQLAlchemy 2, Alembic, PostgreSQL / TimescaleDB, Redis, Celery</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Analytics</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NumPy, SciPy, pandas, scikit-learn</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Frontend</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Node.js 20+, Next.js 15, React 19, TypeScript, Tailwind CSS v4</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Visuals</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three.js / React Three Fiber, GSAP, Lenis, Motion, Recharts</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Tools</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Docker Compose, GitHub Actions, ruff, ESLint, pytest</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Client</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Any modern browser (Chrome, Safari, Firefox, Edge)</w:t>
            </w:r>
          </w:p>
        </w:tc>
      </w:tr>
    </w:tbl>
    <w:p>
      <w:pPr>
        <w:spacing w:after="120"/>
      </w:pPr>
      <w:r>
        <w:rPr>
          <w:rFonts w:ascii="Times New Roman" w:cs="Times New Roman" w:eastAsia="Times New Roman" w:hAnsi="Times New Roman"/>
        </w:rPr>
        <w:t xml:space="preserve"/>
      </w:r>
    </w:p>
    <w:p>
      <w:pPr>
        <w:pageBreakBefore/>
        <w:spacing w:after="120"/>
        <w:jc w:val="center"/>
      </w:pPr>
      <w:r>
        <w:rPr>
          <w:rFonts w:ascii="Times New Roman" w:cs="Times New Roman" w:eastAsia="Times New Roman" w:hAnsi="Times New Roman"/>
          <w:b/>
          <w:bCs/>
          <w:sz w:val="28"/>
          <w:szCs w:val="28"/>
        </w:rPr>
        <w:t xml:space="preserve">CHAPTER 4</w:t>
      </w:r>
    </w:p>
    <w:p>
      <w:pPr>
        <w:pStyle w:val="Heading1"/>
        <w:jc w:val="center"/>
      </w:pPr>
      <w:bookmarkStart w:name="_Toc32" w:id="32"/>
      <w:r>
        <w:rPr>
          <w:rFonts w:ascii="Times New Roman" w:cs="Times New Roman" w:eastAsia="Times New Roman" w:hAnsi="Times New Roman"/>
        </w:rPr>
        <w:t xml:space="preserve">SYSTEM DESIGN</w:t>
      </w:r>
      <w:bookmarkEnd w:id="32"/>
    </w:p>
    <w:p>
      <w:pPr>
        <w:pStyle w:val="Heading2"/>
        <w:keepNext/>
      </w:pPr>
      <w:bookmarkStart w:name="_Toc33" w:id="33"/>
      <w:r>
        <w:rPr>
          <w:rFonts w:ascii="Times New Roman" w:cs="Times New Roman" w:eastAsia="Times New Roman" w:hAnsi="Times New Roman"/>
        </w:rPr>
        <w:t xml:space="preserve">4.1 System Architecture</w:t>
      </w:r>
      <w:bookmarkEnd w:id="33"/>
    </w:p>
    <w:p>
      <w:pPr>
        <w:spacing w:after="120" w:line="360"/>
        <w:jc w:val="both"/>
      </w:pPr>
      <w:r>
        <w:rPr>
          <w:rFonts w:ascii="Times New Roman" w:cs="Times New Roman" w:eastAsia="Times New Roman" w:hAnsi="Times New Roman"/>
        </w:rPr>
        <w:t xml:space="preserve">The system has two halves. The live application consists of the browser frontend, the FastAPI service, the engines and the data stores. The offline pipeline downloads and verifies market data and trains the models. The engines only read the resulting artifacts, so no model is ever trained during a user request.</w:t>
      </w:r>
    </w:p>
    <w:p>
      <w:pPr>
        <w:keepNext/>
        <w:spacing w:before="120"/>
        <w:jc w:val="center"/>
      </w:pPr>
      <w:r>
        <w:drawing>
          <wp:inline distT="0" distB="0" distL="0" distR="0">
            <wp:extent cx="5334000" cy="32194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21945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System architecture: live application and offline training pipeline</w:t>
      </w:r>
    </w:p>
    <w:p>
      <w:pPr>
        <w:pStyle w:val="Heading2"/>
        <w:keepNext/>
      </w:pPr>
      <w:bookmarkStart w:name="_Toc34" w:id="34"/>
      <w:r>
        <w:rPr>
          <w:rFonts w:ascii="Times New Roman" w:cs="Times New Roman" w:eastAsia="Times New Roman" w:hAnsi="Times New Roman"/>
        </w:rPr>
        <w:t xml:space="preserve">4.2 Data Flow Diagrams</w:t>
      </w:r>
      <w:bookmarkEnd w:id="34"/>
    </w:p>
    <w:p>
      <w:pPr>
        <w:spacing w:after="120" w:line="360"/>
        <w:jc w:val="both"/>
      </w:pPr>
      <w:r>
        <w:rPr>
          <w:rFonts w:ascii="Times New Roman" w:cs="Times New Roman" w:eastAsia="Times New Roman" w:hAnsi="Times New Roman"/>
        </w:rPr>
        <w:t xml:space="preserve">The context diagram shows the system’s external entities: the investor and the data providers. The level-1 diagram decomposes the system into six processes and four data stores.</w:t>
      </w:r>
    </w:p>
    <w:p>
      <w:pPr>
        <w:keepNext/>
        <w:spacing w:before="120"/>
        <w:jc w:val="center"/>
      </w:pPr>
      <w:r>
        <w:drawing>
          <wp:inline distT="0" distB="0" distL="0" distR="0">
            <wp:extent cx="4953000" cy="2905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905125"/>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Data flow diagram, level 0 (context diagram)</w:t>
      </w:r>
    </w:p>
    <w:p>
      <w:pPr>
        <w:keepNext/>
        <w:spacing w:before="120"/>
        <w:jc w:val="center"/>
      </w:pPr>
      <w:r>
        <w:drawing>
          <wp:inline distT="0" distB="0" distL="0" distR="0">
            <wp:extent cx="5334000" cy="3857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857625"/>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Data flow diagram, level 1</w:t>
      </w:r>
    </w:p>
    <w:p>
      <w:pPr>
        <w:pStyle w:val="Heading2"/>
        <w:keepNext/>
      </w:pPr>
      <w:bookmarkStart w:name="_Toc35" w:id="35"/>
      <w:r>
        <w:rPr>
          <w:rFonts w:ascii="Times New Roman" w:cs="Times New Roman" w:eastAsia="Times New Roman" w:hAnsi="Times New Roman"/>
        </w:rPr>
        <w:t xml:space="preserve">4.3 Use Case Diagram</w:t>
      </w:r>
      <w:bookmarkEnd w:id="35"/>
    </w:p>
    <w:p>
      <w:pPr>
        <w:keepNext/>
        <w:spacing w:before="120"/>
        <w:jc w:val="center"/>
      </w:pPr>
      <w:r>
        <w:drawing>
          <wp:inline distT="0" distB="0" distL="0" distR="0">
            <wp:extent cx="4762500" cy="35242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52425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Use case diagram</w:t>
      </w:r>
    </w:p>
    <w:p>
      <w:pPr>
        <w:spacing w:after="120" w:line="360"/>
        <w:jc w:val="both"/>
      </w:pPr>
      <w:r>
        <w:rPr>
          <w:rFonts w:ascii="Times New Roman" w:cs="Times New Roman" w:eastAsia="Times New Roman" w:hAnsi="Times New Roman"/>
        </w:rPr>
        <w:t xml:space="preserve">The investor is the primary actor. A relationship manager can send notifications to investors. The offline training pipeline is a system actor that refreshes the models behind PLOS, Risk and ARISE.</w:t>
      </w:r>
    </w:p>
    <w:p>
      <w:pPr>
        <w:pStyle w:val="Heading2"/>
        <w:keepNext/>
      </w:pPr>
      <w:bookmarkStart w:name="_Toc36" w:id="36"/>
      <w:r>
        <w:rPr>
          <w:rFonts w:ascii="Times New Roman" w:cs="Times New Roman" w:eastAsia="Times New Roman" w:hAnsi="Times New Roman"/>
        </w:rPr>
        <w:t xml:space="preserve">4.4 Database Design</w:t>
      </w:r>
      <w:bookmarkEnd w:id="36"/>
    </w:p>
    <w:p>
      <w:pPr>
        <w:keepNext/>
        <w:spacing w:before="120"/>
        <w:jc w:val="center"/>
      </w:pPr>
      <w:r>
        <w:drawing>
          <wp:inline distT="0" distB="0" distL="0" distR="0">
            <wp:extent cx="5334000" cy="42672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426720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Entity-relationship diagram</w:t>
      </w:r>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Database tables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65"/>
        <w:gridCol w:w="3115"/>
        <w:gridCol w:w="3426"/>
      </w:tblGrid>
      <w:tr>
        <w:trPr>
          <w:tblHeader/>
        </w:trPr>
        <w:tc>
          <w:tcPr>
            <w:tcW w:type="dxa" w:w="1765"/>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Table</w:t>
            </w:r>
          </w:p>
        </w:tc>
        <w:tc>
          <w:tcPr>
            <w:tcW w:type="dxa" w:w="3115"/>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Purpose</w:t>
            </w:r>
          </w:p>
        </w:tc>
        <w:tc>
          <w:tcPr>
            <w:tcW w:type="dxa" w:w="3426"/>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Key columns</w:t>
            </w:r>
          </w:p>
        </w:tc>
      </w:tr>
      <w:tr>
        <w:trPr>
          <w:cantSplit/>
        </w:trPr>
        <w:tc>
          <w:tcPr>
            <w:tcW w:type="dxa" w:w="176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users</w:t>
            </w:r>
          </w:p>
        </w:tc>
        <w:tc>
          <w:tcPr>
            <w:tcW w:type="dxa" w:w="31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Accounts and roles</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id, email, hashed_password, role, is_active</w:t>
            </w:r>
          </w:p>
        </w:tc>
      </w:tr>
      <w:tr>
        <w:trPr>
          <w:cantSplit/>
        </w:trPr>
        <w:tc>
          <w:tcPr>
            <w:tcW w:type="dxa" w:w="176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refresh_tokens</w:t>
            </w:r>
          </w:p>
        </w:tc>
        <w:tc>
          <w:tcPr>
            <w:tcW w:type="dxa" w:w="31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Rotating refresh tokens with reuse detection</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user_id, jti, expires_at, revoked_at</w:t>
            </w:r>
          </w:p>
        </w:tc>
      </w:tr>
      <w:tr>
        <w:trPr>
          <w:cantSplit/>
        </w:trPr>
        <w:tc>
          <w:tcPr>
            <w:tcW w:type="dxa" w:w="176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investor_profiles</w:t>
            </w:r>
          </w:p>
        </w:tc>
        <w:tc>
          <w:tcPr>
            <w:tcW w:type="dxa" w:w="31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The 10-field deep profile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user_id, date_of_birth, income, corpus, goal, risk_appetite, monthly_sip</w:t>
            </w:r>
          </w:p>
        </w:tc>
      </w:tr>
      <w:tr>
        <w:trPr>
          <w:cantSplit/>
        </w:trPr>
        <w:tc>
          <w:tcPr>
            <w:tcW w:type="dxa" w:w="176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scheme_selections</w:t>
            </w:r>
          </w:p>
        </w:tc>
        <w:tc>
          <w:tcPr>
            <w:tcW w:type="dxa" w:w="31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Chosen schemes and weights (fractions summing to 1)</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user_id, selected_scheme_ids, weights</w:t>
            </w:r>
          </w:p>
        </w:tc>
      </w:tr>
      <w:tr>
        <w:trPr>
          <w:cantSplit/>
        </w:trPr>
        <w:tc>
          <w:tcPr>
            <w:tcW w:type="dxa" w:w="176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transactions</w:t>
            </w:r>
          </w:p>
        </w:tc>
        <w:tc>
          <w:tcPr>
            <w:tcW w:type="dxa" w:w="31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Ledger of purchases and redemptions (Decimal units/NAV)</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user_id, scheme_id, txn_type, units, nav, txn_date, external_ref</w:t>
            </w:r>
          </w:p>
        </w:tc>
      </w:tr>
      <w:tr>
        <w:trPr>
          <w:cantSplit/>
        </w:trPr>
        <w:tc>
          <w:tcPr>
            <w:tcW w:type="dxa" w:w="176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reports</w:t>
            </w:r>
          </w:p>
        </w:tc>
        <w:tc>
          <w:tcPr>
            <w:tcW w:type="dxa" w:w="31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Generated PDF reports</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user_id, status, scheme_ids, file_path</w:t>
            </w:r>
          </w:p>
        </w:tc>
      </w:tr>
      <w:tr>
        <w:trPr>
          <w:cantSplit/>
        </w:trPr>
        <w:tc>
          <w:tcPr>
            <w:tcW w:type="dxa" w:w="176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notifications</w:t>
            </w:r>
          </w:p>
        </w:tc>
        <w:tc>
          <w:tcPr>
            <w:tcW w:type="dxa" w:w="31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Messages from relationship managers</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investor_user_id, rm_user_id, subject, body, is_read</w:t>
            </w:r>
          </w:p>
        </w:tc>
      </w:tr>
      <w:tr>
        <w:trPr>
          <w:cantSplit/>
        </w:trPr>
        <w:tc>
          <w:tcPr>
            <w:tcW w:type="dxa" w:w="176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upstox_connections</w:t>
            </w:r>
          </w:p>
        </w:tc>
        <w:tc>
          <w:tcPr>
            <w:tcW w:type="dxa" w:w="31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Linked broker accounts</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user_id, upstox_user_id, last_connected_at</w:t>
            </w:r>
          </w:p>
        </w:tc>
      </w:tr>
    </w:tbl>
    <w:p>
      <w:pPr>
        <w:spacing w:after="120"/>
      </w:pPr>
      <w:r>
        <w:rPr>
          <w:rFonts w:ascii="Times New Roman" w:cs="Times New Roman" w:eastAsia="Times New Roman" w:hAnsi="Times New Roman"/>
        </w:rPr>
        <w:t xml:space="preserve"/>
      </w:r>
    </w:p>
    <w:p>
      <w:pPr>
        <w:spacing w:after="120" w:line="360"/>
        <w:jc w:val="both"/>
      </w:pPr>
      <w:r>
        <w:rPr>
          <w:rFonts w:ascii="Times New Roman" w:cs="Times New Roman" w:eastAsia="Times New Roman" w:hAnsi="Times New Roman"/>
        </w:rPr>
        <w:t xml:space="preserve">Price history is stored in TimescaleDB hypertables, and the schema is versioned with three Alembic migrations. Positions are always replayed from the transaction ledger using FIFO lots rather than stored as running balances, so a back-dated correction cannot cause drift.</w:t>
      </w:r>
    </w:p>
    <w:p>
      <w:pPr>
        <w:pStyle w:val="Heading2"/>
        <w:keepNext/>
      </w:pPr>
      <w:bookmarkStart w:name="_Toc37" w:id="37"/>
      <w:r>
        <w:rPr>
          <w:rFonts w:ascii="Times New Roman" w:cs="Times New Roman" w:eastAsia="Times New Roman" w:hAnsi="Times New Roman"/>
        </w:rPr>
        <w:t xml:space="preserve">4.5 Flowchart of the Investor Journey</w:t>
      </w:r>
      <w:bookmarkEnd w:id="37"/>
    </w:p>
    <w:p>
      <w:pPr>
        <w:keepNext/>
        <w:spacing w:before="120"/>
        <w:jc w:val="center"/>
      </w:pPr>
      <w:r>
        <w:drawing>
          <wp:inline distT="0" distB="0" distL="0" distR="0">
            <wp:extent cx="3429000" cy="50482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504825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Flowchart of the investor journey</w:t>
      </w:r>
    </w:p>
    <w:p>
      <w:pPr>
        <w:pStyle w:val="Heading2"/>
        <w:keepNext/>
      </w:pPr>
      <w:bookmarkStart w:name="_Toc38" w:id="38"/>
      <w:r>
        <w:rPr>
          <w:rFonts w:ascii="Times New Roman" w:cs="Times New Roman" w:eastAsia="Times New Roman" w:hAnsi="Times New Roman"/>
        </w:rPr>
        <w:t xml:space="preserve">4.6 Model Training Pipeline</w:t>
      </w:r>
      <w:bookmarkEnd w:id="38"/>
    </w:p>
    <w:p>
      <w:pPr>
        <w:keepNext/>
        <w:spacing w:before="120"/>
        <w:jc w:val="center"/>
      </w:pPr>
      <w:r>
        <w:drawing>
          <wp:inline distT="0" distB="0" distL="0" distR="0">
            <wp:extent cx="5334000" cy="18859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88595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Model training and selection pipeline</w:t>
      </w:r>
    </w:p>
    <w:p>
      <w:pPr>
        <w:spacing w:after="120" w:line="360"/>
        <w:jc w:val="both"/>
      </w:pPr>
      <w:r>
        <w:rPr>
          <w:rFonts w:ascii="Times New Roman" w:cs="Times New Roman" w:eastAsia="Times New Roman" w:hAnsi="Times New Roman"/>
        </w:rPr>
        <w:t xml:space="preserve">Every engine follows the same pipeline: download, verify, build features, train several candidates, test them on data they never saw, and write the winner as a plain JSON artifact. Artifacts are never stored as pickles, which could execute code and break across library versions.</w:t>
      </w:r>
    </w:p>
    <w:p>
      <w:pPr>
        <w:pStyle w:val="Heading2"/>
        <w:keepNext/>
      </w:pPr>
      <w:bookmarkStart w:name="_Toc39" w:id="39"/>
      <w:r>
        <w:rPr>
          <w:rFonts w:ascii="Times New Roman" w:cs="Times New Roman" w:eastAsia="Times New Roman" w:hAnsi="Times New Roman"/>
        </w:rPr>
        <w:t xml:space="preserve">4.7 API Design</w:t>
      </w:r>
      <w:bookmarkEnd w:id="39"/>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REST API endpoint groups (47 operations; full list in Appendix A)</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7"/>
        <w:gridCol w:w="6229"/>
      </w:tblGrid>
      <w:tr>
        <w:trPr>
          <w:tblHeader/>
        </w:trPr>
        <w:tc>
          <w:tcPr>
            <w:tcW w:type="dxa" w:w="2077"/>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Group</w:t>
            </w:r>
          </w:p>
        </w:tc>
        <w:tc>
          <w:tcPr>
            <w:tcW w:type="dxa" w:w="6229"/>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Endpoints</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Auth</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register, login (OAuth2 form), refresh, logout, logout-all, me</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Upstox</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login (authorise URL), callback, status, disconnect</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Profile</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create, read, update</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Schemes</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filtered, select, allocate, selected, scheme detail</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Analysis</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overlap, PLOS, risk, ARISE, prices, compare</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Portfolio</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transactions (create, list, delete), P&amp;L, holdings</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Market</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dashboard, portfolio value, NAV, fundamentals, background task triggers</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Reports and notifications</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generate, list, get, download; my notifications, mark read</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System</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health, readiness, model assumptions</w:t>
            </w:r>
          </w:p>
        </w:tc>
      </w:tr>
    </w:tbl>
    <w:p>
      <w:pPr>
        <w:spacing w:after="120"/>
      </w:pPr>
      <w:r>
        <w:rPr>
          <w:rFonts w:ascii="Times New Roman" w:cs="Times New Roman" w:eastAsia="Times New Roman" w:hAnsi="Times New Roman"/>
        </w:rPr>
        <w:t xml:space="preserve"/>
      </w:r>
    </w:p>
    <w:p>
      <w:pPr>
        <w:pStyle w:val="Heading2"/>
        <w:keepNext/>
      </w:pPr>
      <w:bookmarkStart w:name="_Toc40" w:id="40"/>
      <w:r>
        <w:rPr>
          <w:rFonts w:ascii="Times New Roman" w:cs="Times New Roman" w:eastAsia="Times New Roman" w:hAnsi="Times New Roman"/>
        </w:rPr>
        <w:t xml:space="preserve">4.8 User Interface Design</w:t>
      </w:r>
      <w:bookmarkEnd w:id="40"/>
    </w:p>
    <w:p>
      <w:pPr>
        <w:spacing w:after="120" w:line="360"/>
        <w:jc w:val="both"/>
      </w:pPr>
      <w:r>
        <w:rPr>
          <w:rFonts w:ascii="Times New Roman" w:cs="Times New Roman" w:eastAsia="Times New Roman" w:hAnsi="Times New Roman"/>
        </w:rPr>
        <w:t xml:space="preserve">The landing page is a cinematic dark scroll in five movements with a persistent 3D ruby “N” rendered in WebGL. Application screens use an off-white background, near-black “ink” for structure (navigation, primary buttons and headline cards) and red only for key figures and warnings. Colour tokens are generated in the OKLCH colour space, and the build fails unless all 16 text/surface pairs pass WCAG AA contrast in both themes.</w:t>
      </w:r>
    </w:p>
    <w:p>
      <w:pPr>
        <w:pageBreakBefore/>
        <w:spacing w:after="120"/>
        <w:jc w:val="center"/>
      </w:pPr>
      <w:r>
        <w:rPr>
          <w:rFonts w:ascii="Times New Roman" w:cs="Times New Roman" w:eastAsia="Times New Roman" w:hAnsi="Times New Roman"/>
          <w:b/>
          <w:bCs/>
          <w:sz w:val="28"/>
          <w:szCs w:val="28"/>
        </w:rPr>
        <w:t xml:space="preserve">CHAPTER 5</w:t>
      </w:r>
    </w:p>
    <w:p>
      <w:pPr>
        <w:pStyle w:val="Heading1"/>
        <w:jc w:val="center"/>
      </w:pPr>
      <w:bookmarkStart w:name="_Toc41" w:id="41"/>
      <w:r>
        <w:rPr>
          <w:rFonts w:ascii="Times New Roman" w:cs="Times New Roman" w:eastAsia="Times New Roman" w:hAnsi="Times New Roman"/>
        </w:rPr>
        <w:t xml:space="preserve">IMPLEMENTATION</w:t>
      </w:r>
      <w:bookmarkEnd w:id="41"/>
    </w:p>
    <w:p>
      <w:pPr>
        <w:pStyle w:val="Heading2"/>
        <w:keepNext/>
      </w:pPr>
      <w:bookmarkStart w:name="_Toc42" w:id="42"/>
      <w:r>
        <w:rPr>
          <w:rFonts w:ascii="Times New Roman" w:cs="Times New Roman" w:eastAsia="Times New Roman" w:hAnsi="Times New Roman"/>
        </w:rPr>
        <w:t xml:space="preserve">5.1 Technology Stack</w:t>
      </w:r>
      <w:bookmarkEnd w:id="42"/>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Technology stack</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61"/>
        <w:gridCol w:w="3322"/>
        <w:gridCol w:w="3323"/>
      </w:tblGrid>
      <w:tr>
        <w:trPr>
          <w:tblHeader/>
        </w:trPr>
        <w:tc>
          <w:tcPr>
            <w:tcW w:type="dxa" w:w="1661"/>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Layer</w:t>
            </w:r>
          </w:p>
        </w:tc>
        <w:tc>
          <w:tcPr>
            <w:tcW w:type="dxa" w:w="3322"/>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Technology</w:t>
            </w:r>
          </w:p>
        </w:tc>
        <w:tc>
          <w:tcPr>
            <w:tcW w:type="dxa" w:w="3323"/>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Reason for choice</w:t>
            </w:r>
          </w:p>
        </w:tc>
      </w:tr>
      <w:tr>
        <w:trPr>
          <w:cantSplit/>
        </w:trPr>
        <w:tc>
          <w:tcPr>
            <w:tcW w:type="dxa" w:w="16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Web frontend</w:t>
            </w:r>
          </w:p>
        </w:tc>
        <w:tc>
          <w:tcPr>
            <w:tcW w:type="dxa" w:w="33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Next.js 15, React 19, TypeScript, Tailwind v4</w:t>
            </w:r>
          </w:p>
        </w:tc>
        <w:tc>
          <w:tcPr>
            <w:tcW w:type="dxa" w:w="33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Server rendering, type safety, design tokens</w:t>
            </w:r>
          </w:p>
        </w:tc>
      </w:tr>
      <w:tr>
        <w:trPr>
          <w:cantSplit/>
        </w:trPr>
        <w:tc>
          <w:tcPr>
            <w:tcW w:type="dxa" w:w="16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3D and motion</w:t>
            </w:r>
          </w:p>
        </w:tc>
        <w:tc>
          <w:tcPr>
            <w:tcW w:type="dxa" w:w="33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three.js, React Three Fiber, GSAP, Lenis</w:t>
            </w:r>
          </w:p>
        </w:tc>
        <w:tc>
          <w:tcPr>
            <w:tcW w:type="dxa" w:w="33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Persistent WebGL scene, scroll-driven animation</w:t>
            </w:r>
          </w:p>
        </w:tc>
      </w:tr>
      <w:tr>
        <w:trPr>
          <w:cantSplit/>
        </w:trPr>
        <w:tc>
          <w:tcPr>
            <w:tcW w:type="dxa" w:w="16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w:t>
            </w:r>
          </w:p>
        </w:tc>
        <w:tc>
          <w:tcPr>
            <w:tcW w:type="dxa" w:w="33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FastAPI (Python 3.12)</w:t>
            </w:r>
          </w:p>
        </w:tc>
        <w:tc>
          <w:tcPr>
            <w:tcW w:type="dxa" w:w="33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Async I/O, automatic OpenAPI documentation, Pydantic validation</w:t>
            </w:r>
          </w:p>
        </w:tc>
      </w:tr>
      <w:tr>
        <w:trPr>
          <w:cantSplit/>
        </w:trPr>
        <w:tc>
          <w:tcPr>
            <w:tcW w:type="dxa" w:w="16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Data</w:t>
            </w:r>
          </w:p>
        </w:tc>
        <w:tc>
          <w:tcPr>
            <w:tcW w:type="dxa" w:w="33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PostgreSQL / TimescaleDB, Redis</w:t>
            </w:r>
          </w:p>
        </w:tc>
        <w:tc>
          <w:tcPr>
            <w:tcW w:type="dxa" w:w="33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Relational integrity, time-series prices, caching and rate limits</w:t>
            </w:r>
          </w:p>
        </w:tc>
      </w:tr>
      <w:tr>
        <w:trPr>
          <w:cantSplit/>
        </w:trPr>
        <w:tc>
          <w:tcPr>
            <w:tcW w:type="dxa" w:w="16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Jobs</w:t>
            </w:r>
          </w:p>
        </w:tc>
        <w:tc>
          <w:tcPr>
            <w:tcW w:type="dxa" w:w="33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Celery worker and beat</w:t>
            </w:r>
          </w:p>
        </w:tc>
        <w:tc>
          <w:tcPr>
            <w:tcW w:type="dxa" w:w="33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Nightly NAV and price refresh</w:t>
            </w:r>
          </w:p>
        </w:tc>
      </w:tr>
      <w:tr>
        <w:trPr>
          <w:cantSplit/>
        </w:trPr>
        <w:tc>
          <w:tcPr>
            <w:tcW w:type="dxa" w:w="16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Analytics and ML</w:t>
            </w:r>
          </w:p>
        </w:tc>
        <w:tc>
          <w:tcPr>
            <w:tcW w:type="dxa" w:w="33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NumPy, SciPy, pandas, scikit-learn</w:t>
            </w:r>
          </w:p>
        </w:tc>
        <w:tc>
          <w:tcPr>
            <w:tcW w:type="dxa" w:w="33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Optimisation, statistics, shrinkage, gradient boosting</w:t>
            </w:r>
          </w:p>
        </w:tc>
      </w:tr>
      <w:tr>
        <w:trPr>
          <w:cantSplit/>
        </w:trPr>
        <w:tc>
          <w:tcPr>
            <w:tcW w:type="dxa" w:w="16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DevOps</w:t>
            </w:r>
          </w:p>
        </w:tc>
        <w:tc>
          <w:tcPr>
            <w:tcW w:type="dxa" w:w="33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Docker Compose, GitHub Actions, Dependabot</w:t>
            </w:r>
          </w:p>
        </w:tc>
        <w:tc>
          <w:tcPr>
            <w:tcW w:type="dxa" w:w="33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One-command stack, CI on every push</w:t>
            </w:r>
          </w:p>
        </w:tc>
      </w:tr>
    </w:tbl>
    <w:p>
      <w:pPr>
        <w:spacing w:after="120"/>
      </w:pPr>
      <w:r>
        <w:rPr>
          <w:rFonts w:ascii="Times New Roman" w:cs="Times New Roman" w:eastAsia="Times New Roman" w:hAnsi="Times New Roman"/>
        </w:rPr>
        <w:t xml:space="preserve"/>
      </w:r>
    </w:p>
    <w:p>
      <w:pPr>
        <w:pStyle w:val="Heading2"/>
        <w:keepNext/>
      </w:pPr>
      <w:bookmarkStart w:name="_Toc43" w:id="43"/>
      <w:r>
        <w:rPr>
          <w:rFonts w:ascii="Times New Roman" w:cs="Times New Roman" w:eastAsia="Times New Roman" w:hAnsi="Times New Roman"/>
        </w:rPr>
        <w:t xml:space="preserve">5.2 Data Acquisition and Verification</w:t>
      </w:r>
      <w:bookmarkEnd w:id="43"/>
    </w:p>
    <w:p>
      <w:pPr>
        <w:spacing w:after="120" w:line="360"/>
        <w:jc w:val="both"/>
      </w:pPr>
      <w:r>
        <w:rPr>
          <w:rFonts w:ascii="Times New Roman" w:cs="Times New Roman" w:eastAsia="Times New Roman" w:hAnsi="Times New Roman"/>
        </w:rPr>
        <w:t xml:space="preserve">The script `fetch_market_history.py` downloads all market data and writes a manifest with each source, the fetch time and SHA-256 hashes. AMFI scheme codes are matched to factsheet scheme names, and a code is accepted only if the NAV printed on that scheme’s factsheet appears in the downloaded history to within 0.01%. This check verified 34 of 35 schemes, rejected an older hand-made code map containing duplicates, and exposed renamed schemes (for example, Floater Fund is registered with AMFI as Floating Interest Rates Fund). The verified NAV history is also the first source in the engines’ return fallback chain (used while less than 30 days old), ahead of live AMFI downloads, holdings-based price reconstruction, the debt duration/YTM model and, as a last resort, calibrated synthetic prices; in the sample portfolio all four funds now use their own verified NAV. Real extreme moves are kept, such as the −25% one-day drop when a credit fund side-pocketed its Yes Bank bonds on 5 March 2020, because they represent genuine risk.</w:t>
      </w:r>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Datasets used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492"/>
        <w:gridCol w:w="2284"/>
        <w:gridCol w:w="3530"/>
      </w:tblGrid>
      <w:tr>
        <w:trPr>
          <w:tblHeader/>
        </w:trPr>
        <w:tc>
          <w:tcPr>
            <w:tcW w:type="dxa" w:w="2492"/>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Dataset</w:t>
            </w:r>
          </w:p>
        </w:tc>
        <w:tc>
          <w:tcPr>
            <w:tcW w:type="dxa" w:w="2284"/>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Source</w:t>
            </w:r>
          </w:p>
        </w:tc>
        <w:tc>
          <w:tcPr>
            <w:tcW w:type="dxa" w:w="35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Coverage</w:t>
            </w:r>
          </w:p>
        </w:tc>
      </w:tr>
      <w:tr>
        <w:trPr>
          <w:cantSplit/>
        </w:trPr>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Daily NAV (Direct-Growth)</w:t>
            </w:r>
          </w:p>
        </w:tc>
        <w:tc>
          <w:tcPr>
            <w:tcW w:type="dxa" w:w="22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AMFI via mfapi.in</w:t>
            </w:r>
          </w:p>
        </w:tc>
        <w:tc>
          <w:tcPr>
            <w:tcW w:type="dxa" w:w="35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34 schemes, mostly 2013–2026</w:t>
            </w:r>
          </w:p>
        </w:tc>
      </w:tr>
      <w:tr>
        <w:trPr>
          <w:cantSplit/>
        </w:trPr>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Holding stock prices</w:t>
            </w:r>
          </w:p>
        </w:tc>
        <w:tc>
          <w:tcPr>
            <w:tcW w:type="dxa" w:w="22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Yahoo Finance (.NS)</w:t>
            </w:r>
          </w:p>
        </w:tc>
        <w:tc>
          <w:tcPr>
            <w:tcW w:type="dxa" w:w="35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188 stocks, 92–100% of each Indian fund’s disclosed weight</w:t>
            </w:r>
          </w:p>
        </w:tc>
      </w:tr>
      <w:tr>
        <w:trPr>
          <w:cantSplit/>
        </w:trPr>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Sector and macro series</w:t>
            </w:r>
          </w:p>
        </w:tc>
        <w:tc>
          <w:tcPr>
            <w:tcW w:type="dxa" w:w="22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Yahoo Finance</w:t>
            </w:r>
          </w:p>
        </w:tc>
        <w:tc>
          <w:tcPr>
            <w:tcW w:type="dxa" w:w="35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10 Nifty indices, India VIX, S&amp;P 500, USD/INR, crude, gold</w:t>
            </w:r>
          </w:p>
        </w:tc>
      </w:tr>
      <w:tr>
        <w:trPr>
          <w:cantSplit/>
        </w:trPr>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Nifty daily OHLC</w:t>
            </w:r>
          </w:p>
        </w:tc>
        <w:tc>
          <w:tcPr>
            <w:tcW w:type="dxa" w:w="22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Yahoo Finance</w:t>
            </w:r>
          </w:p>
        </w:tc>
        <w:tc>
          <w:tcPr>
            <w:tcW w:type="dxa" w:w="35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2007–2026</w:t>
            </w:r>
          </w:p>
        </w:tc>
      </w:tr>
      <w:tr>
        <w:trPr>
          <w:cantSplit/>
        </w:trPr>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Nifty P/E, P/B, dividend yield</w:t>
            </w:r>
          </w:p>
        </w:tc>
        <w:tc>
          <w:tcPr>
            <w:tcW w:type="dxa" w:w="22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NSE Indices (official)</w:t>
            </w:r>
          </w:p>
        </w:tc>
        <w:tc>
          <w:tcPr>
            <w:tcW w:type="dxa" w:w="35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334 month-ends, 1999–2026</w:t>
            </w:r>
          </w:p>
        </w:tc>
      </w:tr>
      <w:tr>
        <w:trPr>
          <w:cantSplit/>
        </w:trPr>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Sensex monthly</w:t>
            </w:r>
          </w:p>
        </w:tc>
        <w:tc>
          <w:tcPr>
            <w:tcW w:type="dxa" w:w="22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Yahoo Finance</w:t>
            </w:r>
          </w:p>
        </w:tc>
        <w:tc>
          <w:tcPr>
            <w:tcW w:type="dxa" w:w="35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1997–2026</w:t>
            </w:r>
          </w:p>
        </w:tc>
      </w:tr>
      <w:tr>
        <w:trPr>
          <w:cantSplit/>
        </w:trPr>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India CPI</w:t>
            </w:r>
          </w:p>
        </w:tc>
        <w:tc>
          <w:tcPr>
            <w:tcW w:type="dxa" w:w="22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MOSPI / RBI</w:t>
            </w:r>
          </w:p>
        </w:tc>
        <w:tc>
          <w:tcPr>
            <w:tcW w:type="dxa" w:w="353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Financial years 2003–2025</w:t>
            </w:r>
          </w:p>
        </w:tc>
      </w:tr>
    </w:tbl>
    <w:p>
      <w:pPr>
        <w:spacing w:after="120"/>
      </w:pPr>
      <w:r>
        <w:rPr>
          <w:rFonts w:ascii="Times New Roman" w:cs="Times New Roman" w:eastAsia="Times New Roman" w:hAnsi="Times New Roman"/>
        </w:rPr>
        <w:t xml:space="preserve"/>
      </w:r>
    </w:p>
    <w:p>
      <w:pPr>
        <w:pStyle w:val="Heading2"/>
        <w:keepNext/>
      </w:pPr>
      <w:bookmarkStart w:name="_Toc44" w:id="44"/>
      <w:r>
        <w:rPr>
          <w:rFonts w:ascii="Times New Roman" w:cs="Times New Roman" w:eastAsia="Times New Roman" w:hAnsi="Times New Roman"/>
        </w:rPr>
        <w:t xml:space="preserve">5.3 Filter and Overlap Modules</w:t>
      </w:r>
      <w:bookmarkEnd w:id="44"/>
    </w:p>
    <w:p>
      <w:pPr>
        <w:spacing w:after="120" w:line="360"/>
        <w:jc w:val="both"/>
      </w:pPr>
      <w:r>
        <w:rPr>
          <w:rFonts w:ascii="Times New Roman" w:cs="Times New Roman" w:eastAsia="Times New Roman" w:hAnsi="Times New Roman"/>
        </w:rPr>
        <w:t xml:space="preserve">The filter applies hard blocks only for objective facts (age, income, investment limits, already-held schemes and Section 80C eligibility for tax saving). Risk and goal mismatches are reported as flags with a reason, because every Nippon India equity scheme carries the highest SEBI riskometer level and a hard gate would hide all equity from conservative investors. Overlap between schemes A and B is computed on normalised holding names:</w:t>
      </w:r>
    </w:p>
    <w:p>
      <w:pPr>
        <w:spacing w:after="160" w:before="120" w:line="300"/>
        <w:jc w:val="center"/>
      </w:pPr>
      <w:r>
        <w:rPr>
          <w:rFonts w:ascii="Cambria Math" w:cs="Cambria Math" w:eastAsia="Cambria Math" w:hAnsi="Cambria Math"/>
          <w:i/>
          <w:iCs/>
        </w:rPr>
        <w:t xml:space="preserve">Jaccard(A, B) = |A ∩ B| / |A ∪ B|        WeightedOverlap(A, B) = Σ min(wₐ, w_b)</w:t>
      </w:r>
    </w:p>
    <w:p>
      <w:pPr>
        <w:pStyle w:val="Heading2"/>
        <w:keepNext/>
      </w:pPr>
      <w:bookmarkStart w:name="_Toc45" w:id="45"/>
      <w:r>
        <w:rPr>
          <w:rFonts w:ascii="Times New Roman" w:cs="Times New Roman" w:eastAsia="Times New Roman" w:hAnsi="Times New Roman"/>
        </w:rPr>
        <w:t xml:space="preserve">5.4 PLOS v3 — Learned Overlap Model</w:t>
      </w:r>
      <w:bookmarkEnd w:id="45"/>
    </w:p>
    <w:p>
      <w:pPr>
        <w:spacing w:after="120" w:line="360"/>
        <w:jc w:val="both"/>
      </w:pPr>
      <w:r>
        <w:rPr>
          <w:rFonts w:ascii="Times New Roman" w:cs="Times New Roman" w:eastAsia="Times New Roman" w:hAnsi="Times New Roman"/>
        </w:rPr>
        <w:t xml:space="preserve">PLOS predicts the correlation of two funds’ weekly returns over the following year. Ten layers are computed for each pair: (1) total return correlation, (2) residual correlation after removing Nifty 50 and mid-cap factors, (3) factor-exposure similarity, (4) holdings-implied correlation, (5) sector-style similarity, (6) weighted overlap, (7) Jaccard, (8) top-10 Jaccard, (9) sector cosine and (10) same category. Holdings overlap is applied only between funds of the same type, so a company’s bonds are not treated as its shares.</w:t>
      </w:r>
    </w:p>
    <w:p>
      <w:pPr>
        <w:spacing w:after="120" w:line="360"/>
        <w:jc w:val="both"/>
      </w:pPr>
      <w:r>
        <w:rPr>
          <w:rFonts w:ascii="Times New Roman" w:cs="Times New Roman" w:eastAsia="Times New Roman" w:hAnsi="Times New Roman"/>
        </w:rPr>
        <w:t xml:space="preserve">The holdings-implied correlation uses each fund’s current weight vector w and the Ledoit–Wolf shrunk covariance Σ of weekly stock returns:</w:t>
      </w:r>
    </w:p>
    <w:p>
      <w:pPr>
        <w:spacing w:after="160" w:before="120" w:line="300"/>
        <w:jc w:val="center"/>
      </w:pPr>
      <w:r>
        <w:rPr>
          <w:rFonts w:ascii="Cambria Math" w:cs="Cambria Math" w:eastAsia="Cambria Math" w:hAnsi="Cambria Math"/>
          <w:i/>
          <w:iCs/>
        </w:rPr>
        <w:t xml:space="preserve">ρ_ab = (wₐᵀ Σ w_b) / √( (wₐᵀ Σ wₐ)(w_bᵀ Σ w_b) )</w:t>
      </w:r>
    </w:p>
    <w:p>
      <w:pPr>
        <w:spacing w:after="120" w:line="360"/>
        <w:jc w:val="both"/>
      </w:pPr>
      <w:r>
        <w:rPr>
          <w:rFonts w:ascii="Times New Roman" w:cs="Times New Roman" w:eastAsia="Times New Roman" w:hAnsi="Times New Roman"/>
        </w:rPr>
        <w:t xml:space="preserve">Correlations are mapped to Fisher-z space, z = artanh(ρ), where they are approximately normal. The model is linear in z with non-negative weights learned over seven yearly origins (2019–2025, 2,994 pair-years) and ridge-shrunk toward the original hand-set weights, because each rolling fold contains only three to six years of data. The PLOS score is 100 × max(0, tanh(ẑ)). Each layer’s contribution is an exact Shapley value relative to a baseline of “no overlap on any layer”, computed over all 2¹⁰ = 1,024 coalitions, so the contributions add up exactly to the score minus the baseline.</w:t>
      </w:r>
    </w:p>
    <w:p>
      <w:pPr>
        <w:spacing w:after="120" w:line="360"/>
        <w:jc w:val="both"/>
      </w:pPr>
      <w:r>
        <w:rPr>
          <w:rFonts w:ascii="Times New Roman" w:cs="Times New Roman" w:eastAsia="Times New Roman" w:hAnsi="Times New Roman"/>
        </w:rPr>
        <w:t xml:space="preserve">The number of independent funds the portfolio behaves like is the squared diversification ratio for equal-volatility funds, where C is the matrix of predicted correlations:</w:t>
      </w:r>
    </w:p>
    <w:p>
      <w:pPr>
        <w:spacing w:after="160" w:before="120" w:line="300"/>
        <w:jc w:val="center"/>
      </w:pPr>
      <w:r>
        <w:rPr>
          <w:rFonts w:ascii="Cambria Math" w:cs="Cambria Math" w:eastAsia="Cambria Math" w:hAnsi="Cambria Math"/>
          <w:i/>
          <w:iCs/>
        </w:rPr>
        <w:t xml:space="preserve">N_eff = 1 / (wᵀ C w)</w:t>
      </w:r>
    </w:p>
    <w:p>
      <w:pPr>
        <w:pStyle w:val="Heading2"/>
        <w:keepNext/>
      </w:pPr>
      <w:bookmarkStart w:name="_Toc46" w:id="46"/>
      <w:r>
        <w:rPr>
          <w:rFonts w:ascii="Times New Roman" w:cs="Times New Roman" w:eastAsia="Times New Roman" w:hAnsi="Times New Roman"/>
        </w:rPr>
        <w:t xml:space="preserve">5.5 Risk v2 — Volatility and Tail Models</w:t>
      </w:r>
      <w:bookmarkEnd w:id="46"/>
    </w:p>
    <w:p>
      <w:pPr>
        <w:spacing w:after="120" w:line="360"/>
        <w:jc w:val="both"/>
      </w:pPr>
      <w:r>
        <w:rPr>
          <w:rFonts w:ascii="Times New Roman" w:cs="Times New Roman" w:eastAsia="Times New Roman" w:hAnsi="Times New Roman"/>
        </w:rPr>
        <w:t xml:space="preserve">Daily realised variance is measured from Nifty’s open, high, low and close using the Garman–Klass estimator plus the overnight gap. The HAR-X model forecasts the logarithm of realised variance:</w:t>
      </w:r>
    </w:p>
    <w:p>
      <w:pPr>
        <w:spacing w:after="160" w:before="120" w:line="300"/>
        <w:jc w:val="center"/>
      </w:pPr>
      <w:r>
        <w:rPr>
          <w:rFonts w:ascii="Cambria Math" w:cs="Cambria Math" w:eastAsia="Cambria Math" w:hAnsi="Cambria Math"/>
          <w:i/>
          <w:iCs/>
        </w:rPr>
        <w:t xml:space="preserve">log RVₜ₊₁ = β₀ + β_d log RV_d + β_w log RV_w + β_m log RV_m + γ₁ log VIX²ₜ + γ₂ |r_SPX,t| + γ₃ |Δ USDINRₜ| + γ₄ |Δ crudeₜ| + γ₅ min(rₜ, 0) + εₜ₊₁</w:t>
      </w:r>
    </w:p>
    <w:p>
      <w:pPr>
        <w:spacing w:after="120" w:line="360"/>
        <w:jc w:val="both"/>
      </w:pPr>
      <w:r>
        <w:rPr>
          <w:rFonts w:ascii="Times New Roman" w:cs="Times New Roman" w:eastAsia="Times New Roman" w:hAnsi="Times New Roman"/>
        </w:rPr>
        <w:t xml:space="preserve">Forecasts are bias-corrected by exp(σ²_ε / 2). For a portfolio, market variance is mapped through the portfolio’s beta and idiosyncratic variance, and blended 50/50 with the portfolio’s own GARCH(1,1) variance:</w:t>
      </w:r>
    </w:p>
    <w:p>
      <w:pPr>
        <w:spacing w:after="160" w:before="120" w:line="300"/>
        <w:jc w:val="center"/>
      </w:pPr>
      <w:r>
        <w:rPr>
          <w:rFonts w:ascii="Cambria Math" w:cs="Cambria Math" w:eastAsia="Cambria Math" w:hAnsi="Cambria Math"/>
          <w:i/>
          <w:iCs/>
        </w:rPr>
        <w:t xml:space="preserve">σ²ₜ = ω + α ε²ₜ₋₁ + β σ²ₜ₋₁        σ²_p = ½ σ²_GARCH + ½ (β_p² σ²_HAR-X + σ²_idio)</w:t>
      </w:r>
    </w:p>
    <w:p>
      <w:pPr>
        <w:spacing w:after="120" w:line="360"/>
        <w:jc w:val="both"/>
      </w:pPr>
      <w:r>
        <w:rPr>
          <w:rFonts w:ascii="Times New Roman" w:cs="Times New Roman" w:eastAsia="Times New Roman" w:hAnsi="Times New Roman"/>
        </w:rPr>
        <w:t xml:space="preserve">Returns are standardised by the blended volatility. At the 95% level, VaR and ES come from the empirical quantile of the standardised residuals (filtered historical simulation). At 99% a generalised Pareto distribution is fitted to losses above their 90th percentile (peaks over threshold), and the 10-day horizon lets volatility mean-revert toward its long-run level instead of scaling by √10.</w:t>
      </w:r>
    </w:p>
    <w:p>
      <w:pPr>
        <w:pStyle w:val="Heading2"/>
        <w:keepNext/>
      </w:pPr>
      <w:bookmarkStart w:name="_Toc47" w:id="47"/>
      <w:r>
        <w:rPr>
          <w:rFonts w:ascii="Times New Roman" w:cs="Times New Roman" w:eastAsia="Times New Roman" w:hAnsi="Times New Roman"/>
        </w:rPr>
        <w:t xml:space="preserve">5.6 ARISE v5 — Retirement Engine</w:t>
      </w:r>
      <w:bookmarkEnd w:id="47"/>
    </w:p>
    <w:p>
      <w:pPr>
        <w:spacing w:after="120" w:line="360"/>
        <w:jc w:val="both"/>
      </w:pPr>
      <w:r>
        <w:rPr>
          <w:rFonts w:ascii="Times New Roman" w:cs="Times New Roman" w:eastAsia="Times New Roman" w:hAnsi="Times New Roman"/>
        </w:rPr>
        <w:t xml:space="preserve">ARISE simulates 1,000 lifetimes. Annual returns follow r = μ + σ z, with z drawn from a unit-variance Student-t distribution (5 degrees of freedom). The expected return μ is the fund history shrunk toward an 11% long-run prior with weight n/(n + 10), where n is the years of real history. Each lifetime draws its own μ with standard deviation σ/√(n + 10) to represent estimation risk. Lifespans follow a Gompertz law to age 105, and four withdrawal strategies are compared on common random numbers.</w:t>
      </w:r>
    </w:p>
    <w:p>
      <w:pPr>
        <w:spacing w:after="120" w:line="360"/>
        <w:jc w:val="both"/>
      </w:pPr>
      <w:r>
        <w:rPr>
          <w:rFonts w:ascii="Times New Roman" w:cs="Times New Roman" w:eastAsia="Times New Roman" w:hAnsi="Times New Roman"/>
        </w:rPr>
        <w:t xml:space="preserve">Three calibration changes produced version 5:</w:t>
      </w:r>
    </w:p>
    <w:p>
      <w:pPr>
        <w:pStyle w:val="ListParagraph"/>
        <w:numPr>
          <w:ilvl w:val="0"/>
          <w:numId w:val="4"/>
        </w:numPr>
        <w:spacing w:after="60" w:line="360"/>
        <w:jc w:val="both"/>
      </w:pPr>
      <w:r>
        <w:rPr>
          <w:rFonts w:ascii="Times New Roman" w:cs="Times New Roman" w:eastAsia="Times New Roman" w:hAnsi="Times New Roman"/>
          <w:b/>
          <w:bCs/>
        </w:rPr>
        <w:t xml:space="preserve">No assumed mean reversion (φ = 0, previously −0.15).</w:t>
      </w:r>
      <w:r>
        <w:rPr>
          <w:rFonts w:ascii="Times New Roman" w:cs="Times New Roman" w:eastAsia="Times New Roman" w:hAnsi="Times New Roman"/>
        </w:rPr>
        <w:t xml:space="preserve"> Variance ratios of 29 years of Sensex returns (VR(36 months) = 0.77, standard error 0.36) cannot distinguish mean reversion from noise.</w:t>
      </w:r>
    </w:p>
    <w:p>
      <w:pPr>
        <w:pStyle w:val="ListParagraph"/>
        <w:numPr>
          <w:ilvl w:val="0"/>
          <w:numId w:val="4"/>
        </w:numPr>
        <w:spacing w:after="60" w:line="360"/>
        <w:jc w:val="both"/>
      </w:pPr>
      <w:r>
        <w:rPr>
          <w:rFonts w:ascii="Times New Roman" w:cs="Times New Roman" w:eastAsia="Times New Roman" w:hAnsi="Times New Roman"/>
          <w:b/>
          <w:bCs/>
        </w:rPr>
        <w:t xml:space="preserve">Volatility blended with its long-run level:</w:t>
      </w:r>
      <w:r>
        <w:rPr>
          <w:rFonts w:ascii="Times New Roman" w:cs="Times New Roman" w:eastAsia="Times New Roman" w:hAnsi="Times New Roman"/>
        </w:rPr>
        <w:t xml:space="preserve"> σ² = ½ σ²_own + ½ σ²_prior, where the prior is the 29-year market volatility for equity and a duration-based value for debt.</w:t>
      </w:r>
    </w:p>
    <w:p>
      <w:pPr>
        <w:pStyle w:val="ListParagraph"/>
        <w:numPr>
          <w:ilvl w:val="0"/>
          <w:numId w:val="4"/>
        </w:numPr>
        <w:spacing w:after="60" w:line="360"/>
        <w:jc w:val="both"/>
      </w:pPr>
      <w:r>
        <w:rPr>
          <w:rFonts w:ascii="Times New Roman" w:cs="Times New Roman" w:eastAsia="Times New Roman" w:hAnsi="Times New Roman"/>
          <w:b/>
          <w:bCs/>
        </w:rPr>
        <w:t xml:space="preserve">Valuation-aware prior:</w:t>
      </w:r>
      <w:r>
        <w:rPr>
          <w:rFonts w:ascii="Times New Roman" w:cs="Times New Roman" w:eastAsia="Times New Roman" w:hAnsi="Times New Roman"/>
        </w:rPr>
        <w:t xml:space="preserve"> the next-five-year Nifty return is estimated as −3.3% + 12.4% × dividend yield, shrunk with weight 4.6/(4.6 + 10) ≈ 0.32 and applied only to the first five years of the projection.</w:t>
      </w:r>
    </w:p>
    <w:p>
      <w:pPr>
        <w:spacing w:after="120" w:line="360"/>
        <w:jc w:val="both"/>
      </w:pPr>
      <w:r>
        <w:rPr>
          <w:rFonts w:ascii="Times New Roman" w:cs="Times New Roman" w:eastAsia="Times New Roman" w:hAnsi="Times New Roman"/>
        </w:rPr>
        <w:t xml:space="preserve">Success is reported as a Jeffreys posterior estimate with a 95% interval, so the result is never exactly 0% or 100%:</w:t>
      </w:r>
    </w:p>
    <w:p>
      <w:pPr>
        <w:spacing w:after="160" w:before="120" w:line="300"/>
        <w:jc w:val="center"/>
      </w:pPr>
      <w:r>
        <w:rPr>
          <w:rFonts w:ascii="Cambria Math" w:cs="Cambria Math" w:eastAsia="Cambria Math" w:hAnsi="Cambria Math"/>
          <w:i/>
          <w:iCs/>
        </w:rPr>
        <w:t xml:space="preserve">p̂ = (k + ½) / (n + 1),    95% interval from Beta(k + ½, n − k + ½)</w:t>
      </w:r>
    </w:p>
    <w:p>
      <w:pPr>
        <w:spacing w:after="120" w:line="360"/>
        <w:jc w:val="both"/>
      </w:pPr>
      <w:r>
        <w:rPr>
          <w:rFonts w:ascii="Times New Roman" w:cs="Times New Roman" w:eastAsia="Times New Roman" w:hAnsi="Times New Roman"/>
        </w:rPr>
        <w:t xml:space="preserve">A two-state hidden Markov model with Student-t returns, fitted on monthly Sensex data, is run separately as a labelled stress scenario in which crash years cluster.</w:t>
      </w:r>
    </w:p>
    <w:p>
      <w:pPr>
        <w:pStyle w:val="Heading2"/>
        <w:keepNext/>
      </w:pPr>
      <w:bookmarkStart w:name="_Toc48" w:id="48"/>
      <w:r>
        <w:rPr>
          <w:rFonts w:ascii="Times New Roman" w:cs="Times New Roman" w:eastAsia="Times New Roman" w:hAnsi="Times New Roman"/>
        </w:rPr>
        <w:t xml:space="preserve">5.7 Frontend Implementation</w:t>
      </w:r>
      <w:bookmarkEnd w:id="48"/>
    </w:p>
    <w:p>
      <w:pPr>
        <w:spacing w:after="120" w:line="360"/>
        <w:jc w:val="both"/>
      </w:pPr>
      <w:r>
        <w:rPr>
          <w:rFonts w:ascii="Times New Roman" w:cs="Times New Roman" w:eastAsia="Times New Roman" w:hAnsi="Times New Roman"/>
        </w:rPr>
        <w:t xml:space="preserve">The landing page uses one persistent WebGL canvas for the whole document. The ruby N uses a transmission material with an adaptive quality governor; scroll movement and idle movement are added together so the gem keeps moving when scrolling stops. A theme script runs before the first paint to avoid a flash of the wrong theme. Each analysis screen requests data through TanStack Query and shows the model’s validation evidence beside its results.</w:t>
      </w:r>
    </w:p>
    <w:p>
      <w:pPr>
        <w:pStyle w:val="Heading2"/>
        <w:keepNext/>
      </w:pPr>
      <w:bookmarkStart w:name="_Toc49" w:id="49"/>
      <w:r>
        <w:rPr>
          <w:rFonts w:ascii="Times New Roman" w:cs="Times New Roman" w:eastAsia="Times New Roman" w:hAnsi="Times New Roman"/>
        </w:rPr>
        <w:t xml:space="preserve">5.8 Representative Code</w:t>
      </w:r>
      <w:bookmarkEnd w:id="49"/>
    </w:p>
    <w:p>
      <w:pPr>
        <w:spacing w:after="120" w:line="360"/>
        <w:jc w:val="both"/>
      </w:pPr>
      <w:r>
        <w:rPr>
          <w:rFonts w:ascii="Times New Roman" w:cs="Times New Roman" w:eastAsia="Times New Roman" w:hAnsi="Times New Roman"/>
        </w:rPr>
        <w:t xml:space="preserve">The exact Shapley computation used to explain PLOS scores (simplified):</w:t>
      </w:r>
    </w:p>
    <w:p>
      <w:pPr>
        <w:shd w:fill="F2F2F2" w:color="auto" w:val="clear"/>
        <w:spacing w:after="0" w:line="240"/>
        <w:ind w:left="200"/>
      </w:pPr>
      <w:r>
        <w:rPr>
          <w:rFonts w:ascii="Courier New" w:cs="Courier New" w:eastAsia="Courier New" w:hAnsi="Courier New"/>
          <w:sz w:val="18"/>
          <w:szCs w:val="18"/>
        </w:rPr>
        <w:t xml:space="preserve">def shapley(predict, x, baseline):</w:t>
      </w:r>
    </w:p>
    <w:p>
      <w:pPr>
        <w:shd w:fill="F2F2F2" w:color="auto" w:val="clear"/>
        <w:spacing w:after="0" w:line="240"/>
        <w:ind w:left="200"/>
      </w:pPr>
      <w:r>
        <w:rPr>
          <w:rFonts w:ascii="Courier New" w:cs="Courier New" w:eastAsia="Courier New" w:hAnsi="Courier New"/>
          <w:sz w:val="18"/>
          <w:szCs w:val="18"/>
        </w:rPr>
        <w:t xml:space="preserve">    M = len(x)</w:t>
      </w:r>
    </w:p>
    <w:p>
      <w:pPr>
        <w:shd w:fill="F2F2F2" w:color="auto" w:val="clear"/>
        <w:spacing w:after="0" w:line="240"/>
        <w:ind w:left="200"/>
      </w:pPr>
      <w:r>
        <w:rPr>
          <w:rFonts w:ascii="Courier New" w:cs="Courier New" w:eastAsia="Courier New" w:hAnsi="Courier New"/>
          <w:sz w:val="18"/>
          <w:szCs w:val="18"/>
        </w:rPr>
        <w:t xml:space="preserve">    masks = np.array(list(product([0, 1], repeat=M)), dtype=bool)</w:t>
      </w:r>
    </w:p>
    <w:p>
      <w:pPr>
        <w:shd w:fill="F2F2F2" w:color="auto" w:val="clear"/>
        <w:spacing w:after="0" w:line="240"/>
        <w:ind w:left="200"/>
      </w:pPr>
      <w:r>
        <w:rPr>
          <w:rFonts w:ascii="Courier New" w:cs="Courier New" w:eastAsia="Courier New" w:hAnsi="Courier New"/>
          <w:sz w:val="18"/>
          <w:szCs w:val="18"/>
        </w:rPr>
        <w:t xml:space="preserve">    vals = dict(zip((m.tobytes() for m in masks), predict(np.where(masks, x, baseline))))</w:t>
      </w:r>
    </w:p>
    <w:p>
      <w:pPr>
        <w:shd w:fill="F2F2F2" w:color="auto" w:val="clear"/>
        <w:spacing w:after="0" w:line="240"/>
        <w:ind w:left="200"/>
      </w:pPr>
      <w:r>
        <w:rPr>
          <w:rFonts w:ascii="Courier New" w:cs="Courier New" w:eastAsia="Courier New" w:hAnsi="Courier New"/>
          <w:sz w:val="18"/>
          <w:szCs w:val="18"/>
        </w:rPr>
        <w:t xml:space="preserve">    phi = np.zeros(M)</w:t>
      </w:r>
    </w:p>
    <w:p>
      <w:pPr>
        <w:shd w:fill="F2F2F2" w:color="auto" w:val="clear"/>
        <w:spacing w:after="0" w:line="240"/>
        <w:ind w:left="200"/>
      </w:pPr>
      <w:r>
        <w:rPr>
          <w:rFonts w:ascii="Courier New" w:cs="Courier New" w:eastAsia="Courier New" w:hAnsi="Courier New"/>
          <w:sz w:val="18"/>
          <w:szCs w:val="18"/>
        </w:rPr>
        <w:t xml:space="preserve">    for m in masks:</w:t>
      </w:r>
    </w:p>
    <w:p>
      <w:pPr>
        <w:shd w:fill="F2F2F2" w:color="auto" w:val="clear"/>
        <w:spacing w:after="0" w:line="240"/>
        <w:ind w:left="200"/>
      </w:pPr>
      <w:r>
        <w:rPr>
          <w:rFonts w:ascii="Courier New" w:cs="Courier New" w:eastAsia="Courier New" w:hAnsi="Courier New"/>
          <w:sz w:val="18"/>
          <w:szCs w:val="18"/>
        </w:rPr>
        <w:t xml:space="preserve">        k = int(m.sum())</w:t>
      </w:r>
    </w:p>
    <w:p>
      <w:pPr>
        <w:shd w:fill="F2F2F2" w:color="auto" w:val="clear"/>
        <w:spacing w:after="0" w:line="240"/>
        <w:ind w:left="200"/>
      </w:pPr>
      <w:r>
        <w:rPr>
          <w:rFonts w:ascii="Courier New" w:cs="Courier New" w:eastAsia="Courier New" w:hAnsi="Courier New"/>
          <w:sz w:val="18"/>
          <w:szCs w:val="18"/>
        </w:rPr>
        <w:t xml:space="preserve">        for i in np.where(~m)[0]:</w:t>
      </w:r>
    </w:p>
    <w:p>
      <w:pPr>
        <w:shd w:fill="F2F2F2" w:color="auto" w:val="clear"/>
        <w:spacing w:after="0" w:line="240"/>
        <w:ind w:left="200"/>
      </w:pPr>
      <w:r>
        <w:rPr>
          <w:rFonts w:ascii="Courier New" w:cs="Courier New" w:eastAsia="Courier New" w:hAnsi="Courier New"/>
          <w:sz w:val="18"/>
          <w:szCs w:val="18"/>
        </w:rPr>
        <w:t xml:space="preserve">            m2 = m.copy(); m2[i] = True</w:t>
      </w:r>
    </w:p>
    <w:p>
      <w:pPr>
        <w:shd w:fill="F2F2F2" w:color="auto" w:val="clear"/>
        <w:spacing w:after="0" w:line="240"/>
        <w:ind w:left="200"/>
      </w:pPr>
      <w:r>
        <w:rPr>
          <w:rFonts w:ascii="Courier New" w:cs="Courier New" w:eastAsia="Courier New" w:hAnsi="Courier New"/>
          <w:sz w:val="18"/>
          <w:szCs w:val="18"/>
        </w:rPr>
        <w:t xml:space="preserve">            phi[i] += w[k] * (vals[m2.tobytes()] - vals[m.tobytes()])</w:t>
      </w:r>
    </w:p>
    <w:p>
      <w:pPr>
        <w:shd w:fill="F2F2F2" w:color="auto" w:val="clear"/>
        <w:spacing w:after="160" w:line="240"/>
        <w:ind w:left="200"/>
      </w:pPr>
      <w:r>
        <w:rPr>
          <w:rFonts w:ascii="Courier New" w:cs="Courier New" w:eastAsia="Courier New" w:hAnsi="Courier New"/>
          <w:sz w:val="18"/>
          <w:szCs w:val="18"/>
        </w:rPr>
        <w:t xml:space="preserve">    return phi</w:t>
      </w:r>
    </w:p>
    <w:p>
      <w:pPr>
        <w:spacing w:after="120" w:line="360"/>
        <w:jc w:val="both"/>
      </w:pPr>
      <w:r>
        <w:rPr>
          <w:rFonts w:ascii="Times New Roman" w:cs="Times New Roman" w:eastAsia="Times New Roman" w:hAnsi="Times New Roman"/>
        </w:rPr>
        <w:t xml:space="preserve">Verification of an AMFI code against the factsheet NAV:</w:t>
      </w:r>
    </w:p>
    <w:p>
      <w:pPr>
        <w:shd w:fill="F2F2F2" w:color="auto" w:val="clear"/>
        <w:spacing w:after="0" w:line="240"/>
        <w:ind w:left="200"/>
      </w:pPr>
      <w:r>
        <w:rPr>
          <w:rFonts w:ascii="Courier New" w:cs="Courier New" w:eastAsia="Courier New" w:hAnsi="Courier New"/>
          <w:sz w:val="18"/>
          <w:szCs w:val="18"/>
        </w:rPr>
        <w:t xml:space="preserve">def verify_against_factsheet(sid, meta, nav):</w:t>
      </w:r>
    </w:p>
    <w:p>
      <w:pPr>
        <w:shd w:fill="F2F2F2" w:color="auto" w:val="clear"/>
        <w:spacing w:after="0" w:line="240"/>
        <w:ind w:left="200"/>
      </w:pPr>
      <w:r>
        <w:rPr>
          <w:rFonts w:ascii="Courier New" w:cs="Courier New" w:eastAsia="Courier New" w:hAnsi="Courier New"/>
          <w:sz w:val="18"/>
          <w:szCs w:val="18"/>
        </w:rPr>
        <w:t xml:space="preserve">    fs = float(str(meta['nav_direct_growth']).replace(',', ''))</w:t>
      </w:r>
    </w:p>
    <w:p>
      <w:pPr>
        <w:shd w:fill="F2F2F2" w:color="auto" w:val="clear"/>
        <w:spacing w:after="0" w:line="240"/>
        <w:ind w:left="200"/>
      </w:pPr>
      <w:r>
        <w:rPr>
          <w:rFonts w:ascii="Courier New" w:cs="Courier New" w:eastAsia="Courier New" w:hAnsi="Courier New"/>
          <w:sz w:val="18"/>
          <w:szCs w:val="18"/>
        </w:rPr>
        <w:t xml:space="preserve">    hit = nav[(nav / fs - 1).abs() &lt; 1e-4]</w:t>
      </w:r>
    </w:p>
    <w:p>
      <w:pPr>
        <w:shd w:fill="F2F2F2" w:color="auto" w:val="clear"/>
        <w:spacing w:after="0" w:line="240"/>
        <w:ind w:left="200"/>
      </w:pPr>
      <w:r>
        <w:rPr>
          <w:rFonts w:ascii="Courier New" w:cs="Courier New" w:eastAsia="Courier New" w:hAnsi="Courier New"/>
          <w:sz w:val="18"/>
          <w:szCs w:val="18"/>
        </w:rPr>
        <w:t xml:space="preserve">    if hit.empty:</w:t>
      </w:r>
    </w:p>
    <w:p>
      <w:pPr>
        <w:shd w:fill="F2F2F2" w:color="auto" w:val="clear"/>
        <w:spacing w:after="0" w:line="240"/>
        <w:ind w:left="200"/>
      </w:pPr>
      <w:r>
        <w:rPr>
          <w:rFonts w:ascii="Courier New" w:cs="Courier New" w:eastAsia="Courier New" w:hAnsi="Courier New"/>
          <w:sz w:val="18"/>
          <w:szCs w:val="18"/>
        </w:rPr>
        <w:t xml:space="preserve">        return {'nav_verified': False}</w:t>
      </w:r>
    </w:p>
    <w:p>
      <w:pPr>
        <w:shd w:fill="F2F2F2" w:color="auto" w:val="clear"/>
        <w:spacing w:after="160" w:line="240"/>
        <w:ind w:left="200"/>
      </w:pPr>
      <w:r>
        <w:rPr>
          <w:rFonts w:ascii="Courier New" w:cs="Courier New" w:eastAsia="Courier New" w:hAnsi="Courier New"/>
          <w:sz w:val="18"/>
          <w:szCs w:val="18"/>
        </w:rPr>
        <w:t xml:space="preserve">    return {'nav_verified': True, 'nav_matched_on': str(hit.index[-1].date())}</w:t>
      </w:r>
    </w:p>
    <w:p>
      <w:pPr>
        <w:pageBreakBefore/>
        <w:spacing w:after="120"/>
        <w:jc w:val="center"/>
      </w:pPr>
      <w:r>
        <w:rPr>
          <w:rFonts w:ascii="Times New Roman" w:cs="Times New Roman" w:eastAsia="Times New Roman" w:hAnsi="Times New Roman"/>
          <w:b/>
          <w:bCs/>
          <w:sz w:val="28"/>
          <w:szCs w:val="28"/>
        </w:rPr>
        <w:t xml:space="preserve">CHAPTER 6</w:t>
      </w:r>
    </w:p>
    <w:p>
      <w:pPr>
        <w:pStyle w:val="Heading1"/>
        <w:jc w:val="center"/>
      </w:pPr>
      <w:bookmarkStart w:name="_Toc50" w:id="50"/>
      <w:r>
        <w:rPr>
          <w:rFonts w:ascii="Times New Roman" w:cs="Times New Roman" w:eastAsia="Times New Roman" w:hAnsi="Times New Roman"/>
        </w:rPr>
        <w:t xml:space="preserve">TESTING</w:t>
      </w:r>
      <w:bookmarkEnd w:id="50"/>
    </w:p>
    <w:p>
      <w:pPr>
        <w:pStyle w:val="Heading2"/>
        <w:keepNext/>
      </w:pPr>
      <w:bookmarkStart w:name="_Toc51" w:id="51"/>
      <w:r>
        <w:rPr>
          <w:rFonts w:ascii="Times New Roman" w:cs="Times New Roman" w:eastAsia="Times New Roman" w:hAnsi="Times New Roman"/>
        </w:rPr>
        <w:t xml:space="preserve">6.1 Testing Strategy</w:t>
      </w:r>
      <w:bookmarkEnd w:id="51"/>
    </w:p>
    <w:p>
      <w:pPr>
        <w:pStyle w:val="ListParagraph"/>
        <w:numPr>
          <w:ilvl w:val="0"/>
          <w:numId w:val="3"/>
        </w:numPr>
        <w:spacing w:after="60" w:line="360"/>
        <w:jc w:val="both"/>
      </w:pPr>
      <w:r>
        <w:rPr>
          <w:rFonts w:ascii="Times New Roman" w:cs="Times New Roman" w:eastAsia="Times New Roman" w:hAnsi="Times New Roman"/>
          <w:b/>
          <w:bCs/>
        </w:rPr>
        <w:t xml:space="preserve">Unit tests</w:t>
      </w:r>
      <w:r>
        <w:rPr>
          <w:rFonts w:ascii="Times New Roman" w:cs="Times New Roman" w:eastAsia="Times New Roman" w:hAnsi="Times New Roman"/>
        </w:rPr>
        <w:t xml:space="preserve"> for each engine and model: formulas, bounds, monotonicity and edge cases.</w:t>
      </w:r>
    </w:p>
    <w:p>
      <w:pPr>
        <w:pStyle w:val="ListParagraph"/>
        <w:numPr>
          <w:ilvl w:val="0"/>
          <w:numId w:val="3"/>
        </w:numPr>
        <w:spacing w:after="60" w:line="360"/>
        <w:jc w:val="both"/>
      </w:pPr>
      <w:r>
        <w:rPr>
          <w:rFonts w:ascii="Times New Roman" w:cs="Times New Roman" w:eastAsia="Times New Roman" w:hAnsi="Times New Roman"/>
          <w:b/>
          <w:bCs/>
        </w:rPr>
        <w:t xml:space="preserve">Integration tests</w:t>
      </w:r>
      <w:r>
        <w:rPr>
          <w:rFonts w:ascii="Times New Roman" w:cs="Times New Roman" w:eastAsia="Times New Roman" w:hAnsi="Times New Roman"/>
        </w:rPr>
        <w:t xml:space="preserve"> that exercise the real FastAPI application over HTTP against an in-memory database, including the full 13-step investor journey.</w:t>
      </w:r>
    </w:p>
    <w:p>
      <w:pPr>
        <w:pStyle w:val="ListParagraph"/>
        <w:numPr>
          <w:ilvl w:val="0"/>
          <w:numId w:val="3"/>
        </w:numPr>
        <w:spacing w:after="60" w:line="360"/>
        <w:jc w:val="both"/>
      </w:pPr>
      <w:r>
        <w:rPr>
          <w:rFonts w:ascii="Times New Roman" w:cs="Times New Roman" w:eastAsia="Times New Roman" w:hAnsi="Times New Roman"/>
          <w:b/>
          <w:bCs/>
        </w:rPr>
        <w:t xml:space="preserve">Security tests</w:t>
      </w:r>
      <w:r>
        <w:rPr>
          <w:rFonts w:ascii="Times New Roman" w:cs="Times New Roman" w:eastAsia="Times New Roman" w:hAnsi="Times New Roman"/>
        </w:rPr>
        <w:t xml:space="preserve"> for token rotation and reuse, cross-user data access (IDOR) and error leakage.</w:t>
      </w:r>
    </w:p>
    <w:p>
      <w:pPr>
        <w:pStyle w:val="ListParagraph"/>
        <w:numPr>
          <w:ilvl w:val="0"/>
          <w:numId w:val="3"/>
        </w:numPr>
        <w:spacing w:after="60" w:line="360"/>
        <w:jc w:val="both"/>
      </w:pPr>
      <w:r>
        <w:rPr>
          <w:rFonts w:ascii="Times New Roman" w:cs="Times New Roman" w:eastAsia="Times New Roman" w:hAnsi="Times New Roman"/>
          <w:b/>
          <w:bCs/>
        </w:rPr>
        <w:t xml:space="preserve">Model validation:</w:t>
      </w:r>
      <w:r>
        <w:rPr>
          <w:rFonts w:ascii="Times New Roman" w:cs="Times New Roman" w:eastAsia="Times New Roman" w:hAnsi="Times New Roman"/>
        </w:rPr>
        <w:t xml:space="preserve"> out-of-sample evaluation of every model against the one it replaces (Section 6.3).</w:t>
      </w:r>
    </w:p>
    <w:p>
      <w:pPr>
        <w:pStyle w:val="ListParagraph"/>
        <w:numPr>
          <w:ilvl w:val="0"/>
          <w:numId w:val="3"/>
        </w:numPr>
        <w:spacing w:after="60" w:line="360"/>
        <w:jc w:val="both"/>
      </w:pPr>
      <w:r>
        <w:rPr>
          <w:rFonts w:ascii="Times New Roman" w:cs="Times New Roman" w:eastAsia="Times New Roman" w:hAnsi="Times New Roman"/>
          <w:b/>
          <w:bCs/>
        </w:rPr>
        <w:t xml:space="preserve">Continuous integration:</w:t>
      </w:r>
      <w:r>
        <w:rPr>
          <w:rFonts w:ascii="Times New Roman" w:cs="Times New Roman" w:eastAsia="Times New Roman" w:hAnsi="Times New Roman"/>
        </w:rPr>
        <w:t xml:space="preserve"> ruff, pytest, TypeScript checks, ESLint, the production build, checks that regenerated data and tokens match the committed files, and a guard against committed secrets — run on every push.</w:t>
      </w:r>
    </w:p>
    <w:p>
      <w:pPr>
        <w:pStyle w:val="Heading2"/>
        <w:keepNext/>
      </w:pPr>
      <w:bookmarkStart w:name="_Toc52" w:id="52"/>
      <w:r>
        <w:rPr>
          <w:rFonts w:ascii="Times New Roman" w:cs="Times New Roman" w:eastAsia="Times New Roman" w:hAnsi="Times New Roman"/>
        </w:rPr>
        <w:t xml:space="preserve">6.2 Test Cases</w:t>
      </w:r>
      <w:bookmarkEnd w:id="52"/>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Representative test cases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52"/>
        <w:gridCol w:w="3195"/>
        <w:gridCol w:w="3408"/>
        <w:gridCol w:w="851"/>
      </w:tblGrid>
      <w:tr>
        <w:trPr>
          <w:tblHeader/>
        </w:trPr>
        <w:tc>
          <w:tcPr>
            <w:tcW w:type="dxa" w:w="852"/>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ID</w:t>
            </w:r>
          </w:p>
        </w:tc>
        <w:tc>
          <w:tcPr>
            <w:tcW w:type="dxa" w:w="3195"/>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Test case</w:t>
            </w:r>
          </w:p>
        </w:tc>
        <w:tc>
          <w:tcPr>
            <w:tcW w:type="dxa" w:w="340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Expected result</w:t>
            </w:r>
          </w:p>
        </w:tc>
        <w:tc>
          <w:tcPr>
            <w:tcW w:type="dxa" w:w="851"/>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Status</w:t>
            </w:r>
          </w:p>
        </w:tc>
      </w:tr>
      <w:tr>
        <w:trPr>
          <w:cantSplit/>
        </w:trPr>
        <w:tc>
          <w:tcPr>
            <w:tcW w:type="dxa" w:w="8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TC01</w:t>
            </w:r>
          </w:p>
        </w:tc>
        <w:tc>
          <w:tcPr>
            <w:tcW w:type="dxa" w:w="31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Register and log in with valid credentials</w:t>
            </w:r>
          </w:p>
        </w:tc>
        <w:tc>
          <w:tcPr>
            <w:tcW w:type="dxa" w:w="3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Access and refresh tokens returned</w:t>
            </w:r>
          </w:p>
        </w:tc>
        <w:tc>
          <w:tcPr>
            <w:tcW w:type="dxa" w:w="8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Pass</w:t>
            </w:r>
          </w:p>
        </w:tc>
      </w:tr>
      <w:tr>
        <w:trPr>
          <w:cantSplit/>
        </w:trPr>
        <w:tc>
          <w:tcPr>
            <w:tcW w:type="dxa" w:w="8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TC02</w:t>
            </w:r>
          </w:p>
        </w:tc>
        <w:tc>
          <w:tcPr>
            <w:tcW w:type="dxa" w:w="31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Reuse a rotated refresh token</w:t>
            </w:r>
          </w:p>
        </w:tc>
        <w:tc>
          <w:tcPr>
            <w:tcW w:type="dxa" w:w="3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Request rejected; token family revoked</w:t>
            </w:r>
          </w:p>
        </w:tc>
        <w:tc>
          <w:tcPr>
            <w:tcW w:type="dxa" w:w="8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Pass</w:t>
            </w:r>
          </w:p>
        </w:tc>
      </w:tr>
      <w:tr>
        <w:trPr>
          <w:cantSplit/>
        </w:trPr>
        <w:tc>
          <w:tcPr>
            <w:tcW w:type="dxa" w:w="8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TC03</w:t>
            </w:r>
          </w:p>
        </w:tc>
        <w:tc>
          <w:tcPr>
            <w:tcW w:type="dxa" w:w="31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Access another user’s selection</w:t>
            </w:r>
          </w:p>
        </w:tc>
        <w:tc>
          <w:tcPr>
            <w:tcW w:type="dxa" w:w="3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403 / 404; no data leaked</w:t>
            </w:r>
          </w:p>
        </w:tc>
        <w:tc>
          <w:tcPr>
            <w:tcW w:type="dxa" w:w="8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Pass</w:t>
            </w:r>
          </w:p>
        </w:tc>
      </w:tr>
      <w:tr>
        <w:trPr>
          <w:cantSplit/>
        </w:trPr>
        <w:tc>
          <w:tcPr>
            <w:tcW w:type="dxa" w:w="8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TC04</w:t>
            </w:r>
          </w:p>
        </w:tc>
        <w:tc>
          <w:tcPr>
            <w:tcW w:type="dxa" w:w="31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Moderate-risk investor filters schemes</w:t>
            </w:r>
          </w:p>
        </w:tc>
        <w:tc>
          <w:tcPr>
            <w:tcW w:type="dxa" w:w="3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All 35 schemes visible, equity flagged with reason</w:t>
            </w:r>
          </w:p>
        </w:tc>
        <w:tc>
          <w:tcPr>
            <w:tcW w:type="dxa" w:w="8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Pass</w:t>
            </w:r>
          </w:p>
        </w:tc>
      </w:tr>
      <w:tr>
        <w:trPr>
          <w:cantSplit/>
        </w:trPr>
        <w:tc>
          <w:tcPr>
            <w:tcW w:type="dxa" w:w="8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TC05</w:t>
            </w:r>
          </w:p>
        </w:tc>
        <w:tc>
          <w:tcPr>
            <w:tcW w:type="dxa" w:w="31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Overlap matrix for 3 schemes</w:t>
            </w:r>
          </w:p>
        </w:tc>
        <w:tc>
          <w:tcPr>
            <w:tcW w:type="dxa" w:w="3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Symmetric matrix, diagonal = 1, values in [0, 1]</w:t>
            </w:r>
          </w:p>
        </w:tc>
        <w:tc>
          <w:tcPr>
            <w:tcW w:type="dxa" w:w="8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Pass</w:t>
            </w:r>
          </w:p>
        </w:tc>
      </w:tr>
      <w:tr>
        <w:trPr>
          <w:cantSplit/>
        </w:trPr>
        <w:tc>
          <w:tcPr>
            <w:tcW w:type="dxa" w:w="8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TC06</w:t>
            </w:r>
          </w:p>
        </w:tc>
        <w:tc>
          <w:tcPr>
            <w:tcW w:type="dxa" w:w="31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PLOS for a bond fund and an equity fund</w:t>
            </w:r>
          </w:p>
        </w:tc>
        <w:tc>
          <w:tcPr>
            <w:tcW w:type="dxa" w:w="3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Holdings layers are 0 (issuers ≠ shares)</w:t>
            </w:r>
          </w:p>
        </w:tc>
        <w:tc>
          <w:tcPr>
            <w:tcW w:type="dxa" w:w="8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Pass</w:t>
            </w:r>
          </w:p>
        </w:tc>
      </w:tr>
      <w:tr>
        <w:trPr>
          <w:cantSplit/>
        </w:trPr>
        <w:tc>
          <w:tcPr>
            <w:tcW w:type="dxa" w:w="8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TC07</w:t>
            </w:r>
          </w:p>
        </w:tc>
        <w:tc>
          <w:tcPr>
            <w:tcW w:type="dxa" w:w="31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PLOS Shapley contributions</w:t>
            </w:r>
          </w:p>
        </w:tc>
        <w:tc>
          <w:tcPr>
            <w:tcW w:type="dxa" w:w="3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Sum equals score minus baseline</w:t>
            </w:r>
          </w:p>
        </w:tc>
        <w:tc>
          <w:tcPr>
            <w:tcW w:type="dxa" w:w="8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Pass</w:t>
            </w:r>
          </w:p>
        </w:tc>
      </w:tr>
      <w:tr>
        <w:trPr>
          <w:cantSplit/>
        </w:trPr>
        <w:tc>
          <w:tcPr>
            <w:tcW w:type="dxa" w:w="8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TC08</w:t>
            </w:r>
          </w:p>
        </w:tc>
        <w:tc>
          <w:tcPr>
            <w:tcW w:type="dxa" w:w="31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GARCH fit on simulated data with known parameters</w:t>
            </w:r>
          </w:p>
        </w:tc>
        <w:tc>
          <w:tcPr>
            <w:tcW w:type="dxa" w:w="3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α ≈ 0.08, β ≈ 0.90 recovered</w:t>
            </w:r>
          </w:p>
        </w:tc>
        <w:tc>
          <w:tcPr>
            <w:tcW w:type="dxa" w:w="8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Pass</w:t>
            </w:r>
          </w:p>
        </w:tc>
      </w:tr>
      <w:tr>
        <w:trPr>
          <w:cantSplit/>
        </w:trPr>
        <w:tc>
          <w:tcPr>
            <w:tcW w:type="dxa" w:w="8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TC09</w:t>
            </w:r>
          </w:p>
        </w:tc>
        <w:tc>
          <w:tcPr>
            <w:tcW w:type="dxa" w:w="31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EVT tail on normal data</w:t>
            </w:r>
          </w:p>
        </w:tc>
        <w:tc>
          <w:tcPr>
            <w:tcW w:type="dxa" w:w="3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99% VaR ≈ 2.33, ES ≈ 2.67</w:t>
            </w:r>
          </w:p>
        </w:tc>
        <w:tc>
          <w:tcPr>
            <w:tcW w:type="dxa" w:w="8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Pass</w:t>
            </w:r>
          </w:p>
        </w:tc>
      </w:tr>
      <w:tr>
        <w:trPr>
          <w:cantSplit/>
        </w:trPr>
        <w:tc>
          <w:tcPr>
            <w:tcW w:type="dxa" w:w="8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TC10</w:t>
            </w:r>
          </w:p>
        </w:tc>
        <w:tc>
          <w:tcPr>
            <w:tcW w:type="dxa" w:w="31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ARISE with more SIP</w:t>
            </w:r>
          </w:p>
        </w:tc>
        <w:tc>
          <w:tcPr>
            <w:tcW w:type="dxa" w:w="3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Success probability does not decrease</w:t>
            </w:r>
          </w:p>
        </w:tc>
        <w:tc>
          <w:tcPr>
            <w:tcW w:type="dxa" w:w="8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Pass</w:t>
            </w:r>
          </w:p>
        </w:tc>
      </w:tr>
      <w:tr>
        <w:trPr>
          <w:cantSplit/>
        </w:trPr>
        <w:tc>
          <w:tcPr>
            <w:tcW w:type="dxa" w:w="8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TC11</w:t>
            </w:r>
          </w:p>
        </w:tc>
        <w:tc>
          <w:tcPr>
            <w:tcW w:type="dxa" w:w="31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ARISE result with full survival</w:t>
            </w:r>
          </w:p>
        </w:tc>
        <w:tc>
          <w:tcPr>
            <w:tcW w:type="dxa" w:w="3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Shown as an estimate below 100% with a range</w:t>
            </w:r>
          </w:p>
        </w:tc>
        <w:tc>
          <w:tcPr>
            <w:tcW w:type="dxa" w:w="8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Pass</w:t>
            </w:r>
          </w:p>
        </w:tc>
      </w:tr>
      <w:tr>
        <w:trPr>
          <w:cantSplit/>
        </w:trPr>
        <w:tc>
          <w:tcPr>
            <w:tcW w:type="dxa" w:w="8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TC12</w:t>
            </w:r>
          </w:p>
        </w:tc>
        <w:tc>
          <w:tcPr>
            <w:tcW w:type="dxa" w:w="31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FIFO capital-gains tax for partial redemption</w:t>
            </w:r>
          </w:p>
        </w:tc>
        <w:tc>
          <w:tcPr>
            <w:tcW w:type="dxa" w:w="3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Matches hand-computed STCG/LTCG</w:t>
            </w:r>
          </w:p>
        </w:tc>
        <w:tc>
          <w:tcPr>
            <w:tcW w:type="dxa" w:w="8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Pass</w:t>
            </w:r>
          </w:p>
        </w:tc>
      </w:tr>
      <w:tr>
        <w:trPr>
          <w:cantSplit/>
        </w:trPr>
        <w:tc>
          <w:tcPr>
            <w:tcW w:type="dxa" w:w="8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TC13</w:t>
            </w:r>
          </w:p>
        </w:tc>
        <w:tc>
          <w:tcPr>
            <w:tcW w:type="dxa" w:w="31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Duplicate transaction with same external reference</w:t>
            </w:r>
          </w:p>
        </w:tc>
        <w:tc>
          <w:tcPr>
            <w:tcW w:type="dxa" w:w="3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Not double-booked (idempotent)</w:t>
            </w:r>
          </w:p>
        </w:tc>
        <w:tc>
          <w:tcPr>
            <w:tcW w:type="dxa" w:w="8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Pass</w:t>
            </w:r>
          </w:p>
        </w:tc>
      </w:tr>
      <w:tr>
        <w:trPr>
          <w:cantSplit/>
        </w:trPr>
        <w:tc>
          <w:tcPr>
            <w:tcW w:type="dxa" w:w="8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TC14</w:t>
            </w:r>
          </w:p>
        </w:tc>
        <w:tc>
          <w:tcPr>
            <w:tcW w:type="dxa" w:w="31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 responses containing NaN</w:t>
            </w:r>
          </w:p>
        </w:tc>
        <w:tc>
          <w:tcPr>
            <w:tcW w:type="dxa" w:w="3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Converted to null; valid JSON</w:t>
            </w:r>
          </w:p>
        </w:tc>
        <w:tc>
          <w:tcPr>
            <w:tcW w:type="dxa" w:w="8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Pass</w:t>
            </w:r>
          </w:p>
        </w:tc>
      </w:tr>
      <w:tr>
        <w:trPr>
          <w:cantSplit/>
        </w:trPr>
        <w:tc>
          <w:tcPr>
            <w:tcW w:type="dxa" w:w="8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TC15</w:t>
            </w:r>
          </w:p>
        </w:tc>
        <w:tc>
          <w:tcPr>
            <w:tcW w:type="dxa" w:w="31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Fund with a verified AMFI code</w:t>
            </w:r>
          </w:p>
        </w:tc>
        <w:tc>
          <w:tcPr>
            <w:tcW w:type="dxa" w:w="3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Returns come from its own verified NAV, not synthetic data</w:t>
            </w:r>
          </w:p>
        </w:tc>
        <w:tc>
          <w:tcPr>
            <w:tcW w:type="dxa" w:w="8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Pass</w:t>
            </w:r>
          </w:p>
        </w:tc>
      </w:tr>
    </w:tbl>
    <w:p>
      <w:pPr>
        <w:spacing w:after="120"/>
      </w:pPr>
      <w:r>
        <w:rPr>
          <w:rFonts w:ascii="Times New Roman" w:cs="Times New Roman" w:eastAsia="Times New Roman" w:hAnsi="Times New Roman"/>
        </w:rPr>
        <w:t xml:space="preserve"/>
      </w:r>
    </w:p>
    <w:p>
      <w:pPr>
        <w:pStyle w:val="Heading2"/>
        <w:keepNext/>
      </w:pPr>
      <w:bookmarkStart w:name="_Toc53" w:id="53"/>
      <w:r>
        <w:rPr>
          <w:rFonts w:ascii="Times New Roman" w:cs="Times New Roman" w:eastAsia="Times New Roman" w:hAnsi="Times New Roman"/>
        </w:rPr>
        <w:t xml:space="preserve">6.3 Model Validation Methodology</w:t>
      </w:r>
      <w:bookmarkEnd w:id="53"/>
    </w:p>
    <w:p>
      <w:pPr>
        <w:spacing w:after="120" w:line="360"/>
        <w:jc w:val="both"/>
      </w:pPr>
      <w:r>
        <w:rPr>
          <w:rFonts w:ascii="Times New Roman" w:cs="Times New Roman" w:eastAsia="Times New Roman" w:hAnsi="Times New Roman"/>
        </w:rPr>
        <w:t xml:space="preserve">Leakage — using future information to evaluate a model — is the main risk in financial model validation. Three safeguards were applied:</w:t>
      </w:r>
    </w:p>
    <w:p>
      <w:pPr>
        <w:pStyle w:val="ListParagraph"/>
        <w:numPr>
          <w:ilvl w:val="0"/>
          <w:numId w:val="5"/>
        </w:numPr>
        <w:spacing w:after="60" w:line="360"/>
        <w:jc w:val="both"/>
      </w:pPr>
      <w:r>
        <w:rPr>
          <w:rFonts w:ascii="Times New Roman" w:cs="Times New Roman" w:eastAsia="Times New Roman" w:hAnsi="Times New Roman"/>
          <w:b/>
          <w:bCs/>
        </w:rPr>
        <w:t xml:space="preserve">Strict time ordering:</w:t>
      </w:r>
      <w:r>
        <w:rPr>
          <w:rFonts w:ascii="Times New Roman" w:cs="Times New Roman" w:eastAsia="Times New Roman" w:hAnsi="Times New Roman"/>
        </w:rPr>
        <w:t xml:space="preserve"> every feature is measured before the period it predicts; volatility and VaR forecasts use only data available on the forecast day; ARISE forecasts use only data available at each quarterly origin.</w:t>
      </w:r>
    </w:p>
    <w:p>
      <w:pPr>
        <w:pStyle w:val="ListParagraph"/>
        <w:numPr>
          <w:ilvl w:val="0"/>
          <w:numId w:val="5"/>
        </w:numPr>
        <w:spacing w:after="60" w:line="360"/>
        <w:jc w:val="both"/>
      </w:pPr>
      <w:r>
        <w:rPr>
          <w:rFonts w:ascii="Times New Roman" w:cs="Times New Roman" w:eastAsia="Times New Roman" w:hAnsi="Times New Roman"/>
          <w:b/>
          <w:bCs/>
        </w:rPr>
        <w:t xml:space="preserve">Forward-in-time testing:</w:t>
      </w:r>
      <w:r>
        <w:rPr>
          <w:rFonts w:ascii="Times New Roman" w:cs="Times New Roman" w:eastAsia="Times New Roman" w:hAnsi="Times New Roman"/>
        </w:rPr>
        <w:t xml:space="preserve"> PLOS models are trained on earlier yearly origins and tested on each of the last four years; a leave-one-fund-out test is reported as a secondary check.</w:t>
      </w:r>
    </w:p>
    <w:p>
      <w:pPr>
        <w:pStyle w:val="ListParagraph"/>
        <w:numPr>
          <w:ilvl w:val="0"/>
          <w:numId w:val="5"/>
        </w:numPr>
        <w:spacing w:after="60" w:line="360"/>
        <w:jc w:val="both"/>
      </w:pPr>
      <w:r>
        <w:rPr>
          <w:rFonts w:ascii="Times New Roman" w:cs="Times New Roman" w:eastAsia="Times New Roman" w:hAnsi="Times New Roman"/>
          <w:b/>
          <w:bCs/>
        </w:rPr>
        <w:t xml:space="preserve">Appropriate scoring rules:</w:t>
      </w:r>
      <w:r>
        <w:rPr>
          <w:rFonts w:ascii="Times New Roman" w:cs="Times New Roman" w:eastAsia="Times New Roman" w:hAnsi="Times New Roman"/>
        </w:rPr>
        <w:t xml:space="preserve"> R² on future correlations (PLOS), QLIKE and the Diebold–Mariano test (volatility), Kupiec, Christoffersen and FZ0 (VaR/ES), and CRPS and range coverage (ARISE).</w:t>
      </w:r>
    </w:p>
    <w:p>
      <w:pPr>
        <w:pStyle w:val="Heading2"/>
        <w:keepNext/>
      </w:pPr>
      <w:bookmarkStart w:name="_Toc54" w:id="54"/>
      <w:r>
        <w:rPr>
          <w:rFonts w:ascii="Times New Roman" w:cs="Times New Roman" w:eastAsia="Times New Roman" w:hAnsi="Times New Roman"/>
        </w:rPr>
        <w:t xml:space="preserve">6.4 Test Results</w:t>
      </w:r>
      <w:bookmarkEnd w:id="54"/>
    </w:p>
    <w:p>
      <w:pPr>
        <w:spacing w:after="120" w:line="360"/>
        <w:jc w:val="both"/>
      </w:pPr>
      <w:r>
        <w:rPr>
          <w:rFonts w:ascii="Times New Roman" w:cs="Times New Roman" w:eastAsia="Times New Roman" w:hAnsi="Times New Roman"/>
        </w:rPr>
        <w:t xml:space="preserve">The complete backend suite of </w:t>
      </w:r>
      <w:r>
        <w:rPr>
          <w:rFonts w:ascii="Times New Roman" w:cs="Times New Roman" w:eastAsia="Times New Roman" w:hAnsi="Times New Roman"/>
          <w:b/>
          <w:bCs/>
        </w:rPr>
        <w:t xml:space="preserve">449 tests passes</w:t>
      </w:r>
      <w:r>
        <w:rPr>
          <w:rFonts w:ascii="Times New Roman" w:cs="Times New Roman" w:eastAsia="Times New Roman" w:hAnsi="Times New Roman"/>
        </w:rPr>
        <w:t xml:space="preserve"> (10 tests are skipped by design because they need live network services). Frontend type checking, linting and the production build pass. All 16 colour-contrast checks and all generated-data consistency checks pass.</w:t>
      </w:r>
    </w:p>
    <w:p>
      <w:pPr>
        <w:pageBreakBefore/>
        <w:spacing w:after="120"/>
        <w:jc w:val="center"/>
      </w:pPr>
      <w:r>
        <w:rPr>
          <w:rFonts w:ascii="Times New Roman" w:cs="Times New Roman" w:eastAsia="Times New Roman" w:hAnsi="Times New Roman"/>
          <w:b/>
          <w:bCs/>
          <w:sz w:val="28"/>
          <w:szCs w:val="28"/>
        </w:rPr>
        <w:t xml:space="preserve">CHAPTER 7</w:t>
      </w:r>
    </w:p>
    <w:p>
      <w:pPr>
        <w:pStyle w:val="Heading1"/>
        <w:jc w:val="center"/>
      </w:pPr>
      <w:bookmarkStart w:name="_Toc55" w:id="55"/>
      <w:r>
        <w:rPr>
          <w:rFonts w:ascii="Times New Roman" w:cs="Times New Roman" w:eastAsia="Times New Roman" w:hAnsi="Times New Roman"/>
        </w:rPr>
        <w:t xml:space="preserve">RESULTS AND DISCUSSION</w:t>
      </w:r>
      <w:bookmarkEnd w:id="55"/>
    </w:p>
    <w:p>
      <w:pPr>
        <w:pStyle w:val="Heading2"/>
        <w:keepNext/>
      </w:pPr>
      <w:bookmarkStart w:name="_Toc56" w:id="56"/>
      <w:r>
        <w:rPr>
          <w:rFonts w:ascii="Times New Roman" w:cs="Times New Roman" w:eastAsia="Times New Roman" w:hAnsi="Times New Roman"/>
        </w:rPr>
        <w:t xml:space="preserve">7.1 Application Screens</w:t>
      </w:r>
      <w:bookmarkEnd w:id="56"/>
    </w:p>
    <w:p>
      <w:pPr>
        <w:keepNext/>
        <w:spacing w:before="120"/>
        <w:jc w:val="center"/>
      </w:pPr>
      <w:r>
        <w:drawing>
          <wp:inline distT="0" distB="0" distL="0" distR="0">
            <wp:extent cx="5334000" cy="33337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Landing page with the 3D ruby N (dark theme)</w:t>
      </w:r>
    </w:p>
    <w:p>
      <w:pPr>
        <w:keepNext/>
        <w:spacing w:before="120"/>
        <w:jc w:val="center"/>
      </w:pPr>
      <w:r>
        <w:drawing>
          <wp:inline distT="0" distB="0" distL="0" distR="0">
            <wp:extent cx="5334000" cy="33528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5280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Investor dashboard</w:t>
      </w:r>
    </w:p>
    <w:p>
      <w:pPr>
        <w:keepNext/>
        <w:spacing w:before="120"/>
        <w:jc w:val="center"/>
      </w:pPr>
      <w:r>
        <w:drawing>
          <wp:inline distT="0" distB="0" distL="0" distR="0">
            <wp:extent cx="5334000" cy="33528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5280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Scheme discovery with eligibility flags</w:t>
      </w:r>
    </w:p>
    <w:p>
      <w:pPr>
        <w:keepNext/>
        <w:spacing w:before="120"/>
        <w:jc w:val="center"/>
      </w:pPr>
      <w:r>
        <w:drawing>
          <wp:inline distT="0" distB="0" distL="0" distR="0">
            <wp:extent cx="5334000" cy="33528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5280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Investor profile wizard</w:t>
      </w:r>
    </w:p>
    <w:p>
      <w:pPr>
        <w:keepNext/>
        <w:spacing w:before="120"/>
        <w:jc w:val="center"/>
      </w:pPr>
      <w:r>
        <w:drawing>
          <wp:inline distT="0" distB="0" distL="0" distR="0">
            <wp:extent cx="5334000" cy="33528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5280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Overlap analysis</w:t>
      </w:r>
    </w:p>
    <w:p>
      <w:pPr>
        <w:keepNext/>
        <w:spacing w:before="120"/>
        <w:jc w:val="center"/>
      </w:pPr>
      <w:r>
        <w:drawing>
          <wp:inline distT="0" distB="0" distL="0" distR="0">
            <wp:extent cx="5334000" cy="33528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5280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PLOS v3: effective number of funds and redundancy map</w:t>
      </w:r>
    </w:p>
    <w:p>
      <w:pPr>
        <w:keepNext/>
        <w:spacing w:before="120"/>
        <w:jc w:val="center"/>
      </w:pPr>
      <w:r>
        <w:drawing>
          <wp:inline distT="0" distB="0" distL="0" distR="0">
            <wp:extent cx="5334000" cy="33337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Risk v2: conditional VaR/ES with validation evidence</w:t>
      </w:r>
    </w:p>
    <w:p>
      <w:pPr>
        <w:keepNext/>
        <w:spacing w:before="120"/>
        <w:jc w:val="center"/>
      </w:pPr>
      <w:r>
        <w:drawing>
          <wp:inline distT="0" distB="0" distL="0" distR="0">
            <wp:extent cx="5334000" cy="33337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ARISE: retirement success probability and withdrawal path</w:t>
      </w:r>
    </w:p>
    <w:p>
      <w:pPr>
        <w:keepNext/>
        <w:spacing w:before="120"/>
        <w:jc w:val="center"/>
      </w:pPr>
      <w:r>
        <w:drawing>
          <wp:inline distT="0" distB="0" distL="0" distR="0">
            <wp:extent cx="5334000" cy="33337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ARISE: calibration evidence shown to the investor</w:t>
      </w:r>
    </w:p>
    <w:p>
      <w:pPr>
        <w:pStyle w:val="Heading2"/>
        <w:keepNext/>
      </w:pPr>
      <w:bookmarkStart w:name="_Toc57" w:id="57"/>
      <w:r>
        <w:rPr>
          <w:rFonts w:ascii="Times New Roman" w:cs="Times New Roman" w:eastAsia="Times New Roman" w:hAnsi="Times New Roman"/>
        </w:rPr>
        <w:t xml:space="preserve">7.2 PLOS Results</w:t>
      </w:r>
      <w:bookmarkEnd w:id="57"/>
    </w:p>
    <w:p>
      <w:pPr>
        <w:spacing w:after="120" w:line="360"/>
        <w:jc w:val="both"/>
      </w:pPr>
      <w:r>
        <w:rPr>
          <w:rFonts w:ascii="Times New Roman" w:cs="Times New Roman" w:eastAsia="Times New Roman" w:hAnsi="Times New Roman"/>
        </w:rPr>
        <w:t xml:space="preserve">For the sample portfolio of Large Cap, Quant, Flexi Cap and Corporate Bond funds, PLOS finds that the three equity funds form one redundancy cluster and that the four funds behave like about 1.2 independent funds.</w:t>
      </w:r>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PLOS model comparison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738"/>
        <w:gridCol w:w="2284"/>
        <w:gridCol w:w="2284"/>
      </w:tblGrid>
      <w:tr>
        <w:trPr>
          <w:tblHeader/>
        </w:trPr>
        <w:tc>
          <w:tcPr>
            <w:tcW w:type="dxa" w:w="37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Model</w:t>
            </w:r>
          </w:p>
        </w:tc>
        <w:tc>
          <w:tcPr>
            <w:tcW w:type="dxa" w:w="2284"/>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Forward-in-time R² (2022–2025)</w:t>
            </w:r>
          </w:p>
        </w:tc>
        <w:tc>
          <w:tcPr>
            <w:tcW w:type="dxa" w:w="2284"/>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Leave-one-fund-out R²</w:t>
            </w:r>
          </w:p>
        </w:tc>
      </w:tr>
      <w:tr>
        <w:trPr>
          <w:cantSplit/>
        </w:trPr>
        <w:tc>
          <w:tcPr>
            <w:tcW w:type="dxa" w:w="37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PLOS v1 (hand-set weights, as shipped)</w:t>
            </w:r>
          </w:p>
        </w:tc>
        <w:tc>
          <w:tcPr>
            <w:tcW w:type="dxa" w:w="22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0.570</w:t>
            </w:r>
          </w:p>
        </w:tc>
        <w:tc>
          <w:tcPr>
            <w:tcW w:type="dxa" w:w="22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0.666</w:t>
            </w:r>
          </w:p>
        </w:tc>
      </w:tr>
      <w:tr>
        <w:trPr>
          <w:cantSplit/>
        </w:trPr>
        <w:tc>
          <w:tcPr>
            <w:tcW w:type="dxa" w:w="37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v1 weights scored in Fisher-z</w:t>
            </w:r>
          </w:p>
        </w:tc>
        <w:tc>
          <w:tcPr>
            <w:tcW w:type="dxa" w:w="22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0.629</w:t>
            </w:r>
          </w:p>
        </w:tc>
        <w:tc>
          <w:tcPr>
            <w:tcW w:type="dxa" w:w="22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0.693</w:t>
            </w:r>
          </w:p>
        </w:tc>
      </w:tr>
      <w:tr>
        <w:trPr>
          <w:cantSplit/>
        </w:trPr>
        <w:tc>
          <w:tcPr>
            <w:tcW w:type="dxa" w:w="37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PLOS v3, learned and shrunk (adopted)</w:t>
            </w:r>
          </w:p>
        </w:tc>
        <w:tc>
          <w:tcPr>
            <w:tcW w:type="dxa" w:w="22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0.626</w:t>
            </w:r>
          </w:p>
        </w:tc>
        <w:tc>
          <w:tcPr>
            <w:tcW w:type="dxa" w:w="22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0.701</w:t>
            </w:r>
          </w:p>
        </w:tc>
      </w:tr>
      <w:tr>
        <w:trPr>
          <w:cantSplit/>
        </w:trPr>
        <w:tc>
          <w:tcPr>
            <w:tcW w:type="dxa" w:w="37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Gradient-boosted trees (rejected)</w:t>
            </w:r>
          </w:p>
        </w:tc>
        <w:tc>
          <w:tcPr>
            <w:tcW w:type="dxa" w:w="22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0.575</w:t>
            </w:r>
          </w:p>
        </w:tc>
        <w:tc>
          <w:tcPr>
            <w:tcW w:type="dxa" w:w="22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0.709</w:t>
            </w:r>
          </w:p>
        </w:tc>
      </w:tr>
    </w:tbl>
    <w:p>
      <w:pPr>
        <w:spacing w:after="120"/>
      </w:pPr>
      <w:r>
        <w:rPr>
          <w:rFonts w:ascii="Times New Roman" w:cs="Times New Roman" w:eastAsia="Times New Roman" w:hAnsi="Times New Roman"/>
        </w:rPr>
        <w:t xml:space="preserve"/>
      </w:r>
    </w:p>
    <w:p>
      <w:pPr>
        <w:keepNext/>
        <w:spacing w:before="120"/>
        <w:jc w:val="center"/>
      </w:pPr>
      <w:r>
        <w:drawing>
          <wp:inline distT="0" distB="0" distL="0" distR="0">
            <wp:extent cx="4762500" cy="26289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2890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PLOS forward-in-time accuracy</w:t>
      </w:r>
    </w:p>
    <w:p>
      <w:pPr>
        <w:pStyle w:val="Heading2"/>
        <w:keepNext/>
      </w:pPr>
      <w:bookmarkStart w:name="_Toc58" w:id="58"/>
      <w:r>
        <w:rPr>
          <w:rFonts w:ascii="Times New Roman" w:cs="Times New Roman" w:eastAsia="Times New Roman" w:hAnsi="Times New Roman"/>
        </w:rPr>
        <w:t xml:space="preserve">7.3 Risk Results</w:t>
      </w:r>
      <w:bookmarkEnd w:id="58"/>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Volatility forecast accuracy, 2013–2026 out of sample (lower is better)</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568"/>
        <w:gridCol w:w="1869"/>
        <w:gridCol w:w="1869"/>
      </w:tblGrid>
      <w:tr>
        <w:trPr>
          <w:tblHeader/>
        </w:trPr>
        <w:tc>
          <w:tcPr>
            <w:tcW w:type="dxa" w:w="456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Volatility model</w:t>
            </w:r>
          </w:p>
        </w:tc>
        <w:tc>
          <w:tcPr>
            <w:tcW w:type="dxa" w:w="1869"/>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QLIKE, 1 day</w:t>
            </w:r>
          </w:p>
        </w:tc>
        <w:tc>
          <w:tcPr>
            <w:tcW w:type="dxa" w:w="1869"/>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QLIKE, 5 days</w:t>
            </w:r>
          </w:p>
        </w:tc>
      </w:tr>
      <w:tr>
        <w:trPr>
          <w:cantSplit/>
        </w:trPr>
        <w:tc>
          <w:tcPr>
            <w:tcW w:type="dxa" w:w="45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GARCH(1,1), Student-t (previous)</w:t>
            </w:r>
          </w:p>
        </w:tc>
        <w:tc>
          <w:tcPr>
            <w:tcW w:type="dxa" w:w="18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0.421</w:t>
            </w:r>
          </w:p>
        </w:tc>
        <w:tc>
          <w:tcPr>
            <w:tcW w:type="dxa" w:w="18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0.268</w:t>
            </w:r>
          </w:p>
        </w:tc>
      </w:tr>
      <w:tr>
        <w:trPr>
          <w:cantSplit/>
        </w:trPr>
        <w:tc>
          <w:tcPr>
            <w:tcW w:type="dxa" w:w="45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GJR-GARCH</w:t>
            </w:r>
          </w:p>
        </w:tc>
        <w:tc>
          <w:tcPr>
            <w:tcW w:type="dxa" w:w="18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0.406</w:t>
            </w:r>
          </w:p>
        </w:tc>
        <w:tc>
          <w:tcPr>
            <w:tcW w:type="dxa" w:w="18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0.258</w:t>
            </w:r>
          </w:p>
        </w:tc>
      </w:tr>
      <w:tr>
        <w:trPr>
          <w:cantSplit/>
        </w:trPr>
        <w:tc>
          <w:tcPr>
            <w:tcW w:type="dxa" w:w="45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HAR</w:t>
            </w:r>
          </w:p>
        </w:tc>
        <w:tc>
          <w:tcPr>
            <w:tcW w:type="dxa" w:w="18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0.382</w:t>
            </w:r>
          </w:p>
        </w:tc>
        <w:tc>
          <w:tcPr>
            <w:tcW w:type="dxa" w:w="18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0.251</w:t>
            </w:r>
          </w:p>
        </w:tc>
      </w:tr>
      <w:tr>
        <w:trPr>
          <w:cantSplit/>
        </w:trPr>
        <w:tc>
          <w:tcPr>
            <w:tcW w:type="dxa" w:w="45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HAR-X with India VIX, S&amp;P 500, USD/INR, crude (adopted)</w:t>
            </w:r>
          </w:p>
        </w:tc>
        <w:tc>
          <w:tcPr>
            <w:tcW w:type="dxa" w:w="18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0.336</w:t>
            </w:r>
          </w:p>
        </w:tc>
        <w:tc>
          <w:tcPr>
            <w:tcW w:type="dxa" w:w="18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0.206</w:t>
            </w:r>
          </w:p>
        </w:tc>
      </w:tr>
    </w:tbl>
    <w:p>
      <w:pPr>
        <w:spacing w:after="120"/>
      </w:pPr>
      <w:r>
        <w:rPr>
          <w:rFonts w:ascii="Times New Roman" w:cs="Times New Roman" w:eastAsia="Times New Roman" w:hAnsi="Times New Roman"/>
        </w:rPr>
        <w:t xml:space="preserve"/>
      </w:r>
    </w:p>
    <w:p>
      <w:pPr>
        <w:keepNext/>
        <w:spacing w:before="120"/>
        <w:jc w:val="center"/>
      </w:pPr>
      <w:r>
        <w:drawing>
          <wp:inline distT="0" distB="0" distL="0" distR="0">
            <wp:extent cx="4762500" cy="25908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590800"/>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One-day volatility forecast error by model</w:t>
      </w:r>
    </w:p>
    <w:p>
      <w:pPr>
        <w:spacing w:after="120" w:line="360"/>
        <w:jc w:val="both"/>
      </w:pPr>
      <w:r>
        <w:rPr>
          <w:rFonts w:ascii="Times New Roman" w:cs="Times New Roman" w:eastAsia="Times New Roman" w:hAnsi="Times New Roman"/>
        </w:rPr>
        <w:t xml:space="preserve">The Diebold–Mariano test confirms that HAR-X is significantly more accurate than GARCH (statistic 5.8 at one day and 5.0 at five days; p &lt; 0.00001 over about 2,400 days). A gradient-boosted HAR-X scored 0.364 at one day and was not adopted.</w:t>
      </w:r>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VaR/ES backtest on 13 equity funds, 21,450 fund-days (FZ0: lower is better)</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039"/>
        <w:gridCol w:w="810"/>
        <w:gridCol w:w="1114"/>
        <w:gridCol w:w="1114"/>
        <w:gridCol w:w="1317"/>
        <w:gridCol w:w="912"/>
      </w:tblGrid>
      <w:tr>
        <w:trPr>
          <w:tblHeader/>
        </w:trPr>
        <w:tc>
          <w:tcPr>
            <w:tcW w:type="dxa" w:w="3039"/>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Method</w:t>
            </w:r>
          </w:p>
        </w:tc>
        <w:tc>
          <w:tcPr>
            <w:tcW w:type="dxa" w:w="81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Level</w:t>
            </w:r>
          </w:p>
        </w:tc>
        <w:tc>
          <w:tcPr>
            <w:tcW w:type="dxa" w:w="1114"/>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Breach rate</w:t>
            </w:r>
          </w:p>
        </w:tc>
        <w:tc>
          <w:tcPr>
            <w:tcW w:type="dxa" w:w="1114"/>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Kupiec pass</w:t>
            </w:r>
          </w:p>
        </w:tc>
        <w:tc>
          <w:tcPr>
            <w:tcW w:type="dxa" w:w="1317"/>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Independence pass</w:t>
            </w:r>
          </w:p>
        </w:tc>
        <w:tc>
          <w:tcPr>
            <w:tcW w:type="dxa" w:w="912"/>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FZ0</w:t>
            </w:r>
          </w:p>
        </w:tc>
      </w:tr>
      <w:tr>
        <w:trPr>
          <w:cantSplit/>
        </w:trPr>
        <w:tc>
          <w:tcPr>
            <w:tcW w:type="dxa" w:w="3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Fund GARCH-FHS (previous)</w:t>
            </w:r>
          </w:p>
        </w:tc>
        <w:tc>
          <w:tcPr>
            <w:tcW w:type="dxa" w:w="8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95%</w:t>
            </w:r>
          </w:p>
        </w:tc>
        <w:tc>
          <w:tcPr>
            <w:tcW w:type="dxa" w:w="11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5.08%</w:t>
            </w:r>
          </w:p>
        </w:tc>
        <w:tc>
          <w:tcPr>
            <w:tcW w:type="dxa" w:w="11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13/13</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13/13</w:t>
            </w:r>
          </w:p>
        </w:tc>
        <w:tc>
          <w:tcPr>
            <w:tcW w:type="dxa" w:w="9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−3.754</w:t>
            </w:r>
          </w:p>
        </w:tc>
      </w:tr>
      <w:tr>
        <w:trPr>
          <w:cantSplit/>
        </w:trPr>
        <w:tc>
          <w:tcPr>
            <w:tcW w:type="dxa" w:w="3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HAR-X mapped by beta</w:t>
            </w:r>
          </w:p>
        </w:tc>
        <w:tc>
          <w:tcPr>
            <w:tcW w:type="dxa" w:w="8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95%</w:t>
            </w:r>
          </w:p>
        </w:tc>
        <w:tc>
          <w:tcPr>
            <w:tcW w:type="dxa" w:w="11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5.08%</w:t>
            </w:r>
          </w:p>
        </w:tc>
        <w:tc>
          <w:tcPr>
            <w:tcW w:type="dxa" w:w="11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13/13</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10/13</w:t>
            </w:r>
          </w:p>
        </w:tc>
        <w:tc>
          <w:tcPr>
            <w:tcW w:type="dxa" w:w="9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−3.786</w:t>
            </w:r>
          </w:p>
        </w:tc>
      </w:tr>
      <w:tr>
        <w:trPr>
          <w:cantSplit/>
        </w:trPr>
        <w:tc>
          <w:tcPr>
            <w:tcW w:type="dxa" w:w="3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Blend (adopted)</w:t>
            </w:r>
          </w:p>
        </w:tc>
        <w:tc>
          <w:tcPr>
            <w:tcW w:type="dxa" w:w="8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95%</w:t>
            </w:r>
          </w:p>
        </w:tc>
        <w:tc>
          <w:tcPr>
            <w:tcW w:type="dxa" w:w="11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5.12%</w:t>
            </w:r>
          </w:p>
        </w:tc>
        <w:tc>
          <w:tcPr>
            <w:tcW w:type="dxa" w:w="11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13/13</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12/13</w:t>
            </w:r>
          </w:p>
        </w:tc>
        <w:tc>
          <w:tcPr>
            <w:tcW w:type="dxa" w:w="9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−3.780</w:t>
            </w:r>
          </w:p>
        </w:tc>
      </w:tr>
      <w:tr>
        <w:trPr>
          <w:cantSplit/>
        </w:trPr>
        <w:tc>
          <w:tcPr>
            <w:tcW w:type="dxa" w:w="3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Fund GARCH-FHS (previous)</w:t>
            </w:r>
          </w:p>
        </w:tc>
        <w:tc>
          <w:tcPr>
            <w:tcW w:type="dxa" w:w="8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99%</w:t>
            </w:r>
          </w:p>
        </w:tc>
        <w:tc>
          <w:tcPr>
            <w:tcW w:type="dxa" w:w="11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1.06%</w:t>
            </w:r>
          </w:p>
        </w:tc>
        <w:tc>
          <w:tcPr>
            <w:tcW w:type="dxa" w:w="11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13/13</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13/13</w:t>
            </w:r>
          </w:p>
        </w:tc>
        <w:tc>
          <w:tcPr>
            <w:tcW w:type="dxa" w:w="9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−3.287</w:t>
            </w:r>
          </w:p>
        </w:tc>
      </w:tr>
      <w:tr>
        <w:trPr>
          <w:cantSplit/>
        </w:trPr>
        <w:tc>
          <w:tcPr>
            <w:tcW w:type="dxa" w:w="3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HAR-X mapped by beta</w:t>
            </w:r>
          </w:p>
        </w:tc>
        <w:tc>
          <w:tcPr>
            <w:tcW w:type="dxa" w:w="8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99%</w:t>
            </w:r>
          </w:p>
        </w:tc>
        <w:tc>
          <w:tcPr>
            <w:tcW w:type="dxa" w:w="11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1.10%</w:t>
            </w:r>
          </w:p>
        </w:tc>
        <w:tc>
          <w:tcPr>
            <w:tcW w:type="dxa" w:w="11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13/13</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13/13</w:t>
            </w:r>
          </w:p>
        </w:tc>
        <w:tc>
          <w:tcPr>
            <w:tcW w:type="dxa" w:w="9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−3.370</w:t>
            </w:r>
          </w:p>
        </w:tc>
      </w:tr>
      <w:tr>
        <w:trPr>
          <w:cantSplit/>
        </w:trPr>
        <w:tc>
          <w:tcPr>
            <w:tcW w:type="dxa" w:w="3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Blend with EVT tail (adopted)</w:t>
            </w:r>
          </w:p>
        </w:tc>
        <w:tc>
          <w:tcPr>
            <w:tcW w:type="dxa" w:w="8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99%</w:t>
            </w:r>
          </w:p>
        </w:tc>
        <w:tc>
          <w:tcPr>
            <w:tcW w:type="dxa" w:w="11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1.03%</w:t>
            </w:r>
          </w:p>
        </w:tc>
        <w:tc>
          <w:tcPr>
            <w:tcW w:type="dxa" w:w="11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13/13</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13/13</w:t>
            </w:r>
          </w:p>
        </w:tc>
        <w:tc>
          <w:tcPr>
            <w:tcW w:type="dxa" w:w="9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−3.343</w:t>
            </w:r>
          </w:p>
        </w:tc>
      </w:tr>
    </w:tbl>
    <w:p>
      <w:pPr>
        <w:spacing w:after="120"/>
      </w:pPr>
      <w:r>
        <w:rPr>
          <w:rFonts w:ascii="Times New Roman" w:cs="Times New Roman" w:eastAsia="Times New Roman" w:hAnsi="Times New Roman"/>
        </w:rPr>
        <w:t xml:space="preserve"/>
      </w:r>
    </w:p>
    <w:p>
      <w:pPr>
        <w:spacing w:after="120" w:line="360"/>
        <w:jc w:val="both"/>
      </w:pPr>
      <w:r>
        <w:rPr>
          <w:rFonts w:ascii="Times New Roman" w:cs="Times New Roman" w:eastAsia="Times New Roman" w:hAnsi="Times New Roman"/>
        </w:rPr>
        <w:t xml:space="preserve">The adoption rule selects the lowest FZ0 among methods that pass both backtests for at least 90% of funds. HAR-X alone scores best but fails the clustering test for three funds; the blend improves on the previous model at both confidence levels and has the 99% breach rate closest to the target of 1%.</w:t>
      </w:r>
    </w:p>
    <w:p>
      <w:pPr>
        <w:pStyle w:val="Heading2"/>
        <w:keepNext/>
      </w:pPr>
      <w:bookmarkStart w:name="_Toc59" w:id="59"/>
      <w:r>
        <w:rPr>
          <w:rFonts w:ascii="Times New Roman" w:cs="Times New Roman" w:eastAsia="Times New Roman" w:hAnsi="Times New Roman"/>
        </w:rPr>
        <w:t xml:space="preserve">7.4 ARISE Results</w:t>
      </w:r>
      <w:bookmarkEnd w:id="59"/>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ARISE calibration on 390 real three-year fund outcomes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153"/>
        <w:gridCol w:w="1454"/>
        <w:gridCol w:w="1454"/>
        <w:gridCol w:w="1245"/>
      </w:tblGrid>
      <w:tr>
        <w:trPr>
          <w:tblHeader/>
        </w:trPr>
        <w:tc>
          <w:tcPr>
            <w:tcW w:type="dxa" w:w="4153"/>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Model</w:t>
            </w:r>
          </w:p>
        </w:tc>
        <w:tc>
          <w:tcPr>
            <w:tcW w:type="dxa" w:w="1454"/>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Inside 80% range</w:t>
            </w:r>
          </w:p>
        </w:tc>
        <w:tc>
          <w:tcPr>
            <w:tcW w:type="dxa" w:w="1454"/>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Inside 50% range</w:t>
            </w:r>
          </w:p>
        </w:tc>
        <w:tc>
          <w:tcPr>
            <w:tcW w:type="dxa" w:w="1245"/>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CRPS</w:t>
            </w:r>
          </w:p>
        </w:tc>
      </w:tr>
      <w:tr>
        <w:trPr>
          <w:cantSplit/>
        </w:trPr>
        <w:tc>
          <w:tcPr>
            <w:tcW w:type="dxa" w:w="415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ARISE v4: AR(1) φ = −0.15, trailing volatility</w:t>
            </w:r>
          </w:p>
        </w:tc>
        <w:tc>
          <w:tcPr>
            <w:tcW w:type="dxa" w:w="14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67.4%</w:t>
            </w:r>
          </w:p>
        </w:tc>
        <w:tc>
          <w:tcPr>
            <w:tcW w:type="dxa" w:w="14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37.4%</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0.1896</w:t>
            </w:r>
          </w:p>
        </w:tc>
      </w:tr>
      <w:tr>
        <w:trPr>
          <w:cantSplit/>
        </w:trPr>
        <w:tc>
          <w:tcPr>
            <w:tcW w:type="dxa" w:w="415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v5: φ = 0, volatility blended with long run</w:t>
            </w:r>
          </w:p>
        </w:tc>
        <w:tc>
          <w:tcPr>
            <w:tcW w:type="dxa" w:w="14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81.8%</w:t>
            </w:r>
          </w:p>
        </w:tc>
        <w:tc>
          <w:tcPr>
            <w:tcW w:type="dxa" w:w="14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47.4%</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0.1878</w:t>
            </w:r>
          </w:p>
        </w:tc>
      </w:tr>
      <w:tr>
        <w:trPr>
          <w:cantSplit/>
        </w:trPr>
        <w:tc>
          <w:tcPr>
            <w:tcW w:type="dxa" w:w="415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v5 + dividend-yield prior (adopted)</w:t>
            </w:r>
          </w:p>
        </w:tc>
        <w:tc>
          <w:tcPr>
            <w:tcW w:type="dxa" w:w="14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82.8%</w:t>
            </w:r>
          </w:p>
        </w:tc>
        <w:tc>
          <w:tcPr>
            <w:tcW w:type="dxa" w:w="14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47.2%</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0.1883</w:t>
            </w:r>
          </w:p>
        </w:tc>
      </w:tr>
    </w:tbl>
    <w:p>
      <w:pPr>
        <w:spacing w:after="120"/>
      </w:pPr>
      <w:r>
        <w:rPr>
          <w:rFonts w:ascii="Times New Roman" w:cs="Times New Roman" w:eastAsia="Times New Roman" w:hAnsi="Times New Roman"/>
        </w:rPr>
        <w:t xml:space="preserve"/>
      </w:r>
    </w:p>
    <w:p>
      <w:pPr>
        <w:keepNext/>
        <w:spacing w:before="120"/>
        <w:jc w:val="center"/>
      </w:pPr>
      <w:r>
        <w:drawing>
          <wp:inline distT="0" distB="0" distL="0" distR="0">
            <wp:extent cx="4762500" cy="24288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428875"/>
                    </a:xfrm>
                    <a:prstGeom prst="rect">
                      <a:avLst/>
                    </a:prstGeom>
                  </pic:spPr>
                </pic:pic>
              </a:graphicData>
            </a:graphic>
          </wp:inline>
        </w:drawing>
      </w:r>
    </w:p>
    <w:p>
      <w:pPr>
        <w:pStyle w:val="Caption"/>
        <w:spacing w:after="240" w:before="80"/>
        <w:jc w:val="center"/>
      </w:pPr>
      <w:r>
        <w:rPr>
          <w:rFonts w:ascii="Times New Roman" w:cs="Times New Roman" w:eastAsia="Times New Roman" w:hAnsi="Times New Roman"/>
          <w:b/>
          <w:bCs/>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rPr>
        <w:t xml:space="preserve">: Share of real outcomes inside ARISE’s 80% range</w:t>
      </w:r>
    </w:p>
    <w:p>
      <w:pPr>
        <w:spacing w:after="120" w:line="360"/>
        <w:jc w:val="both"/>
      </w:pPr>
      <w:r>
        <w:rPr>
          <w:rFonts w:ascii="Times New Roman" w:cs="Times New Roman" w:eastAsia="Times New Roman" w:hAnsi="Times New Roman"/>
        </w:rPr>
        <w:t xml:space="preserve">Version 4 was over-confident: its “80%” ranges contained only 67% of real outcomes. Version 5 is calibrated close to the nominal levels. For the sample investor, the success estimate fell from 86.5% to 75.3% (95% range 72.6–77.9%): the portfolio’s calm recent volatility no longer drives the projection on its own, and all four funds are now measured on their own verified NAV history. The dividend-yield model beat the historical mean out of sample at the index level (R² +0.46 at three years and +0.45 at five), while the earnings yield failed (R² −0.52) because of the COVID earnings collapse and NSE’s 2021 switch to consolidated earnings. The return-shrinkage strength τ = 10 years was confirmed as the lowest-error choice on 182 real forecasts.</w:t>
      </w:r>
    </w:p>
    <w:p>
      <w:pPr>
        <w:pStyle w:val="Heading2"/>
        <w:keepNext/>
      </w:pPr>
      <w:bookmarkStart w:name="_Toc60" w:id="60"/>
      <w:r>
        <w:rPr>
          <w:rFonts w:ascii="Times New Roman" w:cs="Times New Roman" w:eastAsia="Times New Roman" w:hAnsi="Times New Roman"/>
        </w:rPr>
        <w:t xml:space="preserve">7.5 Approaches Tested and Rejected</w:t>
      </w:r>
      <w:bookmarkEnd w:id="60"/>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Approaches tested and rejected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699"/>
        <w:gridCol w:w="1038"/>
        <w:gridCol w:w="4569"/>
      </w:tblGrid>
      <w:tr>
        <w:trPr>
          <w:tblHeader/>
        </w:trPr>
        <w:tc>
          <w:tcPr>
            <w:tcW w:type="dxa" w:w="2699"/>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Approach</w:t>
            </w:r>
          </w:p>
        </w:tc>
        <w:tc>
          <w:tcPr>
            <w:tcW w:type="dxa" w:w="10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Engine</w:t>
            </w:r>
          </w:p>
        </w:tc>
        <w:tc>
          <w:tcPr>
            <w:tcW w:type="dxa" w:w="4569"/>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Reason for rejection</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Gradient-boosted trees</w:t>
            </w:r>
          </w:p>
        </w:tc>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PLOS</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Best cross-sectionally (R² 0.709) but worst forward in time (0.575): overfits each year’s market-wide correlation</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Gradient-boosted HAR-X</w:t>
            </w:r>
          </w:p>
        </w:tc>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Risk</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QLIKE 0.364 vs 0.336 for linear HAR-X</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Regime-switching models (Gaussian and Student-t HMM)</w:t>
            </w:r>
          </w:p>
        </w:tc>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ARISE</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Lost to the Student-t over 21 rolling one-year forecasts; kept only as a stress test</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Joint equity–inflation bootstrap</w:t>
            </w:r>
          </w:p>
        </w:tc>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ARISE</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No equity–inflation link in Indian data, 2003–2025 (r = −0.15, p = 0.49)</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Minimum-torsion effective number of bets</w:t>
            </w:r>
          </w:p>
        </w:tc>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PLOS</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Reports 2.9 funds for two near-identical funds plus one independent fund, where 1.7 is correct</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Earnings-yield valuation signal</w:t>
            </w:r>
          </w:p>
        </w:tc>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ARISE</w:t>
            </w:r>
          </w:p>
        </w:tc>
        <w:tc>
          <w:tcPr>
            <w:tcW w:type="dxa" w:w="456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Out-of-sample R² −0.52 at three years</w:t>
            </w:r>
          </w:p>
        </w:tc>
      </w:tr>
    </w:tbl>
    <w:p>
      <w:pPr>
        <w:spacing w:after="120"/>
      </w:pPr>
      <w:r>
        <w:rPr>
          <w:rFonts w:ascii="Times New Roman" w:cs="Times New Roman" w:eastAsia="Times New Roman" w:hAnsi="Times New Roman"/>
        </w:rPr>
        <w:t xml:space="preserve"/>
      </w:r>
    </w:p>
    <w:p>
      <w:pPr>
        <w:pStyle w:val="Heading2"/>
        <w:keepNext/>
      </w:pPr>
      <w:bookmarkStart w:name="_Toc61" w:id="61"/>
      <w:r>
        <w:rPr>
          <w:rFonts w:ascii="Times New Roman" w:cs="Times New Roman" w:eastAsia="Times New Roman" w:hAnsi="Times New Roman"/>
        </w:rPr>
        <w:t xml:space="preserve">7.6 Discussion</w:t>
      </w:r>
      <w:bookmarkEnd w:id="61"/>
    </w:p>
    <w:p>
      <w:pPr>
        <w:spacing w:after="120" w:line="360"/>
        <w:jc w:val="both"/>
      </w:pPr>
      <w:r>
        <w:rPr>
          <w:rFonts w:ascii="Times New Roman" w:cs="Times New Roman" w:eastAsia="Times New Roman" w:hAnsi="Times New Roman"/>
        </w:rPr>
        <w:t xml:space="preserve">The results support a consistent conclusion: on short financial histories, robust and well-regularised models generalise better than flexible ones. In every engine, a more complex machine-learning model was available and, in at least one test, looked better; in each case the forward-in-time evidence favoured a simpler, regularised or blended model. Making uncertainty visible — through calibrated ranges, displayed validation evidence and shrinkage proportional to the evidence — was as important to the system’s accuracy as the choice of model.</w:t>
      </w:r>
    </w:p>
    <w:p>
      <w:pPr>
        <w:pageBreakBefore/>
        <w:spacing w:after="120"/>
        <w:jc w:val="center"/>
      </w:pPr>
      <w:r>
        <w:rPr>
          <w:rFonts w:ascii="Times New Roman" w:cs="Times New Roman" w:eastAsia="Times New Roman" w:hAnsi="Times New Roman"/>
          <w:b/>
          <w:bCs/>
          <w:sz w:val="28"/>
          <w:szCs w:val="28"/>
        </w:rPr>
        <w:t xml:space="preserve">CHAPTER 8</w:t>
      </w:r>
    </w:p>
    <w:p>
      <w:pPr>
        <w:pStyle w:val="Heading1"/>
        <w:jc w:val="center"/>
      </w:pPr>
      <w:bookmarkStart w:name="_Toc62" w:id="62"/>
      <w:r>
        <w:rPr>
          <w:rFonts w:ascii="Times New Roman" w:cs="Times New Roman" w:eastAsia="Times New Roman" w:hAnsi="Times New Roman"/>
        </w:rPr>
        <w:t xml:space="preserve">CONCLUSION AND FUTURE SCOPE</w:t>
      </w:r>
      <w:bookmarkEnd w:id="62"/>
    </w:p>
    <w:p>
      <w:pPr>
        <w:pStyle w:val="Heading2"/>
        <w:keepNext/>
      </w:pPr>
      <w:bookmarkStart w:name="_Toc63" w:id="63"/>
      <w:r>
        <w:rPr>
          <w:rFonts w:ascii="Times New Roman" w:cs="Times New Roman" w:eastAsia="Times New Roman" w:hAnsi="Times New Roman"/>
        </w:rPr>
        <w:t xml:space="preserve">8.1 Conclusion</w:t>
      </w:r>
      <w:bookmarkEnd w:id="63"/>
    </w:p>
    <w:p>
      <w:pPr>
        <w:spacing w:after="120" w:line="360"/>
        <w:jc w:val="both"/>
      </w:pPr>
      <w:r>
        <w:rPr>
          <w:rFonts w:ascii="Times New Roman" w:cs="Times New Roman" w:eastAsia="Times New Roman" w:hAnsi="Times New Roman"/>
        </w:rPr>
        <w:t xml:space="preserve">Nexus Portfolio Intelligence meets its objectives. It provides an end-to-end platform that shows investors how much their funds truly overlap, how risky the portfolio is under current conditions, and how likely their retirement plan is to succeed, using real data for 35 Nippon India schemes. Each analytical engine now has a dedicated machine-learned and quantitative model that measurably outperforms its predecessor on data it never saw: PLOS forward-in-time R² improved from 0.570 to 0.626, volatility forecast error fell by 20%, joint VaR/ES scores improved at both confidence levels, and ARISE’s 80% ranges now contain 82.8% of real outcomes instead of 67.4%. The project also demonstrates a disciplined process — verified data, leakage-free validation and documented rejection of models that did not help — that makes the results trustworthy.</w:t>
      </w:r>
    </w:p>
    <w:p>
      <w:pPr>
        <w:pStyle w:val="Heading2"/>
        <w:keepNext/>
      </w:pPr>
      <w:bookmarkStart w:name="_Toc64" w:id="64"/>
      <w:r>
        <w:rPr>
          <w:rFonts w:ascii="Times New Roman" w:cs="Times New Roman" w:eastAsia="Times New Roman" w:hAnsi="Times New Roman"/>
        </w:rPr>
        <w:t xml:space="preserve">8.2 Limitations</w:t>
      </w:r>
      <w:bookmarkEnd w:id="64"/>
    </w:p>
    <w:p>
      <w:pPr>
        <w:pStyle w:val="ListParagraph"/>
        <w:numPr>
          <w:ilvl w:val="0"/>
          <w:numId w:val="3"/>
        </w:numPr>
        <w:spacing w:after="60" w:line="360"/>
        <w:jc w:val="both"/>
      </w:pPr>
      <w:r>
        <w:rPr>
          <w:rFonts w:ascii="Times New Roman" w:cs="Times New Roman" w:eastAsia="Times New Roman" w:hAnsi="Times New Roman"/>
        </w:rPr>
        <w:t xml:space="preserve">About two decades of Indian data contain only a handful of independent multi-year periods, so multi-year conclusions are directional and the models are shrunk accordingly.</w:t>
      </w:r>
    </w:p>
    <w:p>
      <w:pPr>
        <w:pStyle w:val="ListParagraph"/>
        <w:numPr>
          <w:ilvl w:val="0"/>
          <w:numId w:val="3"/>
        </w:numPr>
        <w:spacing w:after="60" w:line="360"/>
        <w:jc w:val="both"/>
      </w:pPr>
      <w:r>
        <w:rPr>
          <w:rFonts w:ascii="Times New Roman" w:cs="Times New Roman" w:eastAsia="Times New Roman" w:hAnsi="Times New Roman"/>
        </w:rPr>
        <w:t xml:space="preserve">Factsheet holdings are a single 2026 snapshot, so the holdings-implied layer is less informative for older training years.</w:t>
      </w:r>
    </w:p>
    <w:p>
      <w:pPr>
        <w:pStyle w:val="ListParagraph"/>
        <w:numPr>
          <w:ilvl w:val="0"/>
          <w:numId w:val="3"/>
        </w:numPr>
        <w:spacing w:after="60" w:line="360"/>
        <w:jc w:val="both"/>
      </w:pPr>
      <w:r>
        <w:rPr>
          <w:rFonts w:ascii="Times New Roman" w:cs="Times New Roman" w:eastAsia="Times New Roman" w:hAnsi="Times New Roman"/>
        </w:rPr>
        <w:t xml:space="preserve">One scheme (Low Duration Fund) lacks verifiable NAV history, and the three international funds lack stock-level prices.</w:t>
      </w:r>
    </w:p>
    <w:p>
      <w:pPr>
        <w:pStyle w:val="ListParagraph"/>
        <w:numPr>
          <w:ilvl w:val="0"/>
          <w:numId w:val="3"/>
        </w:numPr>
        <w:spacing w:after="60" w:line="360"/>
        <w:jc w:val="both"/>
      </w:pPr>
      <w:r>
        <w:rPr>
          <w:rFonts w:ascii="Times New Roman" w:cs="Times New Roman" w:eastAsia="Times New Roman" w:hAnsi="Times New Roman"/>
        </w:rPr>
        <w:t xml:space="preserve">Market forecasts reflect the most recent training run and must be refreshed by retraining.</w:t>
      </w:r>
    </w:p>
    <w:p>
      <w:pPr>
        <w:pStyle w:val="Heading2"/>
        <w:keepNext/>
      </w:pPr>
      <w:bookmarkStart w:name="_Toc65" w:id="65"/>
      <w:r>
        <w:rPr>
          <w:rFonts w:ascii="Times New Roman" w:cs="Times New Roman" w:eastAsia="Times New Roman" w:hAnsi="Times New Roman"/>
        </w:rPr>
        <w:t xml:space="preserve">8.3 Future Scope</w:t>
      </w:r>
      <w:bookmarkEnd w:id="65"/>
    </w:p>
    <w:p>
      <w:pPr>
        <w:pStyle w:val="ListParagraph"/>
        <w:numPr>
          <w:ilvl w:val="0"/>
          <w:numId w:val="6"/>
        </w:numPr>
        <w:spacing w:after="60" w:line="360"/>
        <w:jc w:val="both"/>
      </w:pPr>
      <w:r>
        <w:rPr>
          <w:rFonts w:ascii="Times New Roman" w:cs="Times New Roman" w:eastAsia="Times New Roman" w:hAnsi="Times New Roman"/>
        </w:rPr>
        <w:t xml:space="preserve">Extend the universe to schemes of other fund houses so investors can analyse their complete portfolios.</w:t>
      </w:r>
    </w:p>
    <w:p>
      <w:pPr>
        <w:pStyle w:val="ListParagraph"/>
        <w:numPr>
          <w:ilvl w:val="0"/>
          <w:numId w:val="6"/>
        </w:numPr>
        <w:spacing w:after="60" w:line="360"/>
        <w:jc w:val="both"/>
      </w:pPr>
      <w:r>
        <w:rPr>
          <w:rFonts w:ascii="Times New Roman" w:cs="Times New Roman" w:eastAsia="Times New Roman" w:hAnsi="Times New Roman"/>
        </w:rPr>
        <w:t xml:space="preserve">Use historical monthly portfolio disclosures to remove the single-snapshot limitation of the holdings layers.</w:t>
      </w:r>
    </w:p>
    <w:p>
      <w:pPr>
        <w:pStyle w:val="ListParagraph"/>
        <w:numPr>
          <w:ilvl w:val="0"/>
          <w:numId w:val="6"/>
        </w:numPr>
        <w:spacing w:after="60" w:line="360"/>
        <w:jc w:val="both"/>
      </w:pPr>
      <w:r>
        <w:rPr>
          <w:rFonts w:ascii="Times New Roman" w:cs="Times New Roman" w:eastAsia="Times New Roman" w:hAnsi="Times New Roman"/>
        </w:rPr>
        <w:t xml:space="preserve">Schedule automatic retraining with monitoring that alerts when a model’s live accuracy drifts.</w:t>
      </w:r>
    </w:p>
    <w:p>
      <w:pPr>
        <w:pStyle w:val="ListParagraph"/>
        <w:numPr>
          <w:ilvl w:val="0"/>
          <w:numId w:val="6"/>
        </w:numPr>
        <w:spacing w:after="60" w:line="360"/>
        <w:jc w:val="both"/>
      </w:pPr>
      <w:r>
        <w:rPr>
          <w:rFonts w:ascii="Times New Roman" w:cs="Times New Roman" w:eastAsia="Times New Roman" w:hAnsi="Times New Roman"/>
        </w:rPr>
        <w:t xml:space="preserve">Add intraday data for more precise realised-volatility measurement.</w:t>
      </w:r>
    </w:p>
    <w:p>
      <w:pPr>
        <w:pStyle w:val="ListParagraph"/>
        <w:numPr>
          <w:ilvl w:val="0"/>
          <w:numId w:val="6"/>
        </w:numPr>
        <w:spacing w:after="60" w:line="360"/>
        <w:jc w:val="both"/>
      </w:pPr>
      <w:r>
        <w:rPr>
          <w:rFonts w:ascii="Times New Roman" w:cs="Times New Roman" w:eastAsia="Times New Roman" w:hAnsi="Times New Roman"/>
        </w:rPr>
        <w:t xml:space="preserve">Add goal-based planning (education, home purchase) alongside retirement.</w:t>
      </w:r>
    </w:p>
    <w:p>
      <w:pPr>
        <w:pStyle w:val="ListParagraph"/>
        <w:numPr>
          <w:ilvl w:val="0"/>
          <w:numId w:val="6"/>
        </w:numPr>
        <w:spacing w:after="60" w:line="360"/>
        <w:jc w:val="both"/>
      </w:pPr>
      <w:r>
        <w:rPr>
          <w:rFonts w:ascii="Times New Roman" w:cs="Times New Roman" w:eastAsia="Times New Roman" w:hAnsi="Times New Roman"/>
        </w:rPr>
        <w:t xml:space="preserve">Provide a mobile application and multilingual support for wider reach.</w:t>
      </w:r>
    </w:p>
    <w:p>
      <w:pPr>
        <w:pStyle w:val="Heading1"/>
        <w:pageBreakBefore/>
        <w:jc w:val="center"/>
      </w:pPr>
      <w:bookmarkStart w:name="_Toc66" w:id="66"/>
      <w:r>
        <w:rPr>
          <w:rFonts w:ascii="Times New Roman" w:cs="Times New Roman" w:eastAsia="Times New Roman" w:hAnsi="Times New Roman"/>
        </w:rPr>
        <w:t xml:space="preserve">REFERENCES</w:t>
      </w:r>
      <w:bookmarkEnd w:id="66"/>
    </w:p>
    <w:p>
      <w:pPr>
        <w:spacing w:after="100" w:line="300"/>
        <w:ind w:left="567" w:hanging="567"/>
        <w:jc w:val="left"/>
      </w:pPr>
      <w:r>
        <w:rPr>
          <w:rFonts w:ascii="Times New Roman" w:cs="Times New Roman" w:eastAsia="Times New Roman" w:hAnsi="Times New Roman"/>
          <w:b/>
          <w:bCs/>
        </w:rPr>
        <w:t xml:space="preserve">[1]  </w:t>
      </w:r>
      <w:r>
        <w:rPr>
          <w:rFonts w:ascii="Times New Roman" w:cs="Times New Roman" w:eastAsia="Times New Roman" w:hAnsi="Times New Roman"/>
        </w:rPr>
        <w:t xml:space="preserve">M. Antón and C. Polk, “Connected Stocks,” The Journal of Finance, vol. 69, no. 3, pp. 1099–1127, 2014.</w:t>
      </w:r>
    </w:p>
    <w:p>
      <w:pPr>
        <w:spacing w:after="100" w:line="300"/>
        <w:ind w:left="567" w:hanging="567"/>
        <w:jc w:val="left"/>
      </w:pPr>
      <w:r>
        <w:rPr>
          <w:rFonts w:ascii="Times New Roman" w:cs="Times New Roman" w:eastAsia="Times New Roman" w:hAnsi="Times New Roman"/>
          <w:b/>
          <w:bCs/>
        </w:rPr>
        <w:t xml:space="preserve">[2]  </w:t>
      </w:r>
      <w:r>
        <w:rPr>
          <w:rFonts w:ascii="Times New Roman" w:cs="Times New Roman" w:eastAsia="Times New Roman" w:hAnsi="Times New Roman"/>
        </w:rPr>
        <w:t xml:space="preserve">W. F. Sharpe, “Asset Allocation: Management Style and Performance Measurement,” Journal of Portfolio Management, vol. 18, no. 2, pp. 7–19, 1992.</w:t>
      </w:r>
    </w:p>
    <w:p>
      <w:pPr>
        <w:spacing w:after="100" w:line="300"/>
        <w:ind w:left="567" w:hanging="567"/>
        <w:jc w:val="left"/>
      </w:pPr>
      <w:r>
        <w:rPr>
          <w:rFonts w:ascii="Times New Roman" w:cs="Times New Roman" w:eastAsia="Times New Roman" w:hAnsi="Times New Roman"/>
          <w:b/>
          <w:bCs/>
        </w:rPr>
        <w:t xml:space="preserve">[3]  </w:t>
      </w:r>
      <w:r>
        <w:rPr>
          <w:rFonts w:ascii="Times New Roman" w:cs="Times New Roman" w:eastAsia="Times New Roman" w:hAnsi="Times New Roman"/>
        </w:rPr>
        <w:t xml:space="preserve">MSCI, “MSCI Fund Model Research Notes,” MSCI Inc. [Online]. Available: https://www.msci.com</w:t>
      </w:r>
    </w:p>
    <w:p>
      <w:pPr>
        <w:spacing w:after="100" w:line="300"/>
        <w:ind w:left="567" w:hanging="567"/>
        <w:jc w:val="left"/>
      </w:pPr>
      <w:r>
        <w:rPr>
          <w:rFonts w:ascii="Times New Roman" w:cs="Times New Roman" w:eastAsia="Times New Roman" w:hAnsi="Times New Roman"/>
          <w:b/>
          <w:bCs/>
        </w:rPr>
        <w:t xml:space="preserve">[4]  </w:t>
      </w:r>
      <w:r>
        <w:rPr>
          <w:rFonts w:ascii="Times New Roman" w:cs="Times New Roman" w:eastAsia="Times New Roman" w:hAnsi="Times New Roman"/>
        </w:rPr>
        <w:t xml:space="preserve">O. Ledoit and M. Wolf, “A Well-Conditioned Estimator for Large-Dimensional Covariance Matrices,” Journal of Multivariate Analysis, vol. 88, no. 2, pp. 365–411, 2004.</w:t>
      </w:r>
    </w:p>
    <w:p>
      <w:pPr>
        <w:spacing w:after="100" w:line="300"/>
        <w:ind w:left="567" w:hanging="567"/>
        <w:jc w:val="left"/>
      </w:pPr>
      <w:r>
        <w:rPr>
          <w:rFonts w:ascii="Times New Roman" w:cs="Times New Roman" w:eastAsia="Times New Roman" w:hAnsi="Times New Roman"/>
          <w:b/>
          <w:bCs/>
        </w:rPr>
        <w:t xml:space="preserve">[5]  </w:t>
      </w:r>
      <w:r>
        <w:rPr>
          <w:rFonts w:ascii="Times New Roman" w:cs="Times New Roman" w:eastAsia="Times New Roman" w:hAnsi="Times New Roman"/>
        </w:rPr>
        <w:t xml:space="preserve">O. Ledoit and M. Wolf, “Nonlinear Shrinkage of the Covariance Matrix for Portfolio Selection: Markowitz Meets Goldilocks,” The Review of Financial Studies, vol. 30, no. 12, pp. 4349–4388, 2017.</w:t>
      </w:r>
    </w:p>
    <w:p>
      <w:pPr>
        <w:spacing w:after="100" w:line="300"/>
        <w:ind w:left="567" w:hanging="567"/>
        <w:jc w:val="left"/>
      </w:pPr>
      <w:r>
        <w:rPr>
          <w:rFonts w:ascii="Times New Roman" w:cs="Times New Roman" w:eastAsia="Times New Roman" w:hAnsi="Times New Roman"/>
          <w:b/>
          <w:bCs/>
        </w:rPr>
        <w:t xml:space="preserve">[6]  </w:t>
      </w:r>
      <w:r>
        <w:rPr>
          <w:rFonts w:ascii="Times New Roman" w:cs="Times New Roman" w:eastAsia="Times New Roman" w:hAnsi="Times New Roman"/>
        </w:rPr>
        <w:t xml:space="preserve">T. Bollerslev, “Generalized Autoregressive Conditional Heteroskedasticity,” Journal of Econometrics, vol. 31, no. 3, pp. 307–327, 1986.</w:t>
      </w:r>
    </w:p>
    <w:p>
      <w:pPr>
        <w:spacing w:after="100" w:line="300"/>
        <w:ind w:left="567" w:hanging="567"/>
        <w:jc w:val="left"/>
      </w:pPr>
      <w:r>
        <w:rPr>
          <w:rFonts w:ascii="Times New Roman" w:cs="Times New Roman" w:eastAsia="Times New Roman" w:hAnsi="Times New Roman"/>
          <w:b/>
          <w:bCs/>
        </w:rPr>
        <w:t xml:space="preserve">[7]  </w:t>
      </w:r>
      <w:r>
        <w:rPr>
          <w:rFonts w:ascii="Times New Roman" w:cs="Times New Roman" w:eastAsia="Times New Roman" w:hAnsi="Times New Roman"/>
        </w:rPr>
        <w:t xml:space="preserve">L. R. Glosten, R. Jagannathan and D. E. Runkle, “On the Relation between the Expected Value and the Volatility of the Nominal Excess Return on Stocks,” The Journal of Finance, vol. 48, no. 5, pp. 1779–1801, 1993.</w:t>
      </w:r>
    </w:p>
    <w:p>
      <w:pPr>
        <w:spacing w:after="100" w:line="300"/>
        <w:ind w:left="567" w:hanging="567"/>
        <w:jc w:val="left"/>
      </w:pPr>
      <w:r>
        <w:rPr>
          <w:rFonts w:ascii="Times New Roman" w:cs="Times New Roman" w:eastAsia="Times New Roman" w:hAnsi="Times New Roman"/>
          <w:b/>
          <w:bCs/>
        </w:rPr>
        <w:t xml:space="preserve">[8]  </w:t>
      </w:r>
      <w:r>
        <w:rPr>
          <w:rFonts w:ascii="Times New Roman" w:cs="Times New Roman" w:eastAsia="Times New Roman" w:hAnsi="Times New Roman"/>
        </w:rPr>
        <w:t xml:space="preserve">F. Corsi, “A Simple Approximate Long-Memory Model of Realized Volatility,” Journal of Financial Econometrics, vol. 7, no. 2, pp. 174–196, 2009.</w:t>
      </w:r>
    </w:p>
    <w:p>
      <w:pPr>
        <w:spacing w:after="100" w:line="300"/>
        <w:ind w:left="567" w:hanging="567"/>
        <w:jc w:val="left"/>
      </w:pPr>
      <w:r>
        <w:rPr>
          <w:rFonts w:ascii="Times New Roman" w:cs="Times New Roman" w:eastAsia="Times New Roman" w:hAnsi="Times New Roman"/>
          <w:b/>
          <w:bCs/>
        </w:rPr>
        <w:t xml:space="preserve">[9]  </w:t>
      </w:r>
      <w:r>
        <w:rPr>
          <w:rFonts w:ascii="Times New Roman" w:cs="Times New Roman" w:eastAsia="Times New Roman" w:hAnsi="Times New Roman"/>
        </w:rPr>
        <w:t xml:space="preserve">K. Christensen, M. Siggaard and B. Veliyev, “A Machine Learning Approach to Volatility Forecasting,” Journal of Financial Econometrics, 2023. [Online]. Available: https://arxiv.org/html/2601.13014v1</w:t>
      </w:r>
    </w:p>
    <w:p>
      <w:pPr>
        <w:spacing w:after="100" w:line="300"/>
        <w:ind w:left="567" w:hanging="567"/>
        <w:jc w:val="left"/>
      </w:pPr>
      <w:r>
        <w:rPr>
          <w:rFonts w:ascii="Times New Roman" w:cs="Times New Roman" w:eastAsia="Times New Roman" w:hAnsi="Times New Roman"/>
          <w:b/>
          <w:bCs/>
        </w:rPr>
        <w:t xml:space="preserve">[10]  </w:t>
      </w:r>
      <w:r>
        <w:rPr>
          <w:rFonts w:ascii="Times New Roman" w:cs="Times New Roman" w:eastAsia="Times New Roman" w:hAnsi="Times New Roman"/>
        </w:rPr>
        <w:t xml:space="preserve">X. Li, M.Sc. thesis on volatility forecasting (GARCH, HEAVY and realized measures), Erasmus University Rotterdam, 2017. [Online]. Available: https://thesis.eur.nl/pub/38661/Li-X.-422186-.pdf</w:t>
      </w:r>
    </w:p>
    <w:p>
      <w:pPr>
        <w:spacing w:after="100" w:line="300"/>
        <w:ind w:left="567" w:hanging="567"/>
        <w:jc w:val="left"/>
      </w:pPr>
      <w:r>
        <w:rPr>
          <w:rFonts w:ascii="Times New Roman" w:cs="Times New Roman" w:eastAsia="Times New Roman" w:hAnsi="Times New Roman"/>
          <w:b/>
          <w:bCs/>
        </w:rPr>
        <w:t xml:space="preserve">[11]  </w:t>
      </w:r>
      <w:r>
        <w:rPr>
          <w:rFonts w:ascii="Times New Roman" w:cs="Times New Roman" w:eastAsia="Times New Roman" w:hAnsi="Times New Roman"/>
        </w:rPr>
        <w:t xml:space="preserve">V. Rajvanshi, A. Santra and S. Basu, IIM Calcutta Working Paper Series, WPS No. 688 (Nifty volatility forecasting with India VIX). [Online]. Available: https://studentlive.iimcal.ac.in/sites/all/files/pdfs/wps_688.pdf</w:t>
      </w:r>
    </w:p>
    <w:p>
      <w:pPr>
        <w:spacing w:after="100" w:line="300"/>
        <w:ind w:left="567" w:hanging="567"/>
        <w:jc w:val="left"/>
      </w:pPr>
      <w:r>
        <w:rPr>
          <w:rFonts w:ascii="Times New Roman" w:cs="Times New Roman" w:eastAsia="Times New Roman" w:hAnsi="Times New Roman"/>
          <w:b/>
          <w:bCs/>
        </w:rPr>
        <w:t xml:space="preserve">[12]  </w:t>
      </w:r>
      <w:r>
        <w:rPr>
          <w:rFonts w:ascii="Times New Roman" w:cs="Times New Roman" w:eastAsia="Times New Roman" w:hAnsi="Times New Roman"/>
        </w:rPr>
        <w:t xml:space="preserve">A. J. Patton, “Volatility Forecast Comparison Using Imperfect Volatility Proxies,” Journal of Econometrics, vol. 160, no. 1, pp. 246–256, 2011.</w:t>
      </w:r>
    </w:p>
    <w:p>
      <w:pPr>
        <w:spacing w:after="100" w:line="300"/>
        <w:ind w:left="567" w:hanging="567"/>
        <w:jc w:val="left"/>
      </w:pPr>
      <w:r>
        <w:rPr>
          <w:rFonts w:ascii="Times New Roman" w:cs="Times New Roman" w:eastAsia="Times New Roman" w:hAnsi="Times New Roman"/>
          <w:b/>
          <w:bCs/>
        </w:rPr>
        <w:t xml:space="preserve">[13]  </w:t>
      </w:r>
      <w:r>
        <w:rPr>
          <w:rFonts w:ascii="Times New Roman" w:cs="Times New Roman" w:eastAsia="Times New Roman" w:hAnsi="Times New Roman"/>
        </w:rPr>
        <w:t xml:space="preserve">P. H. Kupiec, “Techniques for Verifying the Accuracy of Risk Measurement Models,” Journal of Derivatives, vol. 3, no. 2, pp. 73–84, 1995.</w:t>
      </w:r>
    </w:p>
    <w:p>
      <w:pPr>
        <w:spacing w:after="100" w:line="300"/>
        <w:ind w:left="567" w:hanging="567"/>
        <w:jc w:val="left"/>
      </w:pPr>
      <w:r>
        <w:rPr>
          <w:rFonts w:ascii="Times New Roman" w:cs="Times New Roman" w:eastAsia="Times New Roman" w:hAnsi="Times New Roman"/>
          <w:b/>
          <w:bCs/>
        </w:rPr>
        <w:t xml:space="preserve">[14]  </w:t>
      </w:r>
      <w:r>
        <w:rPr>
          <w:rFonts w:ascii="Times New Roman" w:cs="Times New Roman" w:eastAsia="Times New Roman" w:hAnsi="Times New Roman"/>
        </w:rPr>
        <w:t xml:space="preserve">P. F. Christoffersen, “Evaluating Interval Forecasts,” International Economic Review, vol. 39, no. 4, pp. 841–862, 1998.</w:t>
      </w:r>
    </w:p>
    <w:p>
      <w:pPr>
        <w:spacing w:after="100" w:line="300"/>
        <w:ind w:left="567" w:hanging="567"/>
        <w:jc w:val="left"/>
      </w:pPr>
      <w:r>
        <w:rPr>
          <w:rFonts w:ascii="Times New Roman" w:cs="Times New Roman" w:eastAsia="Times New Roman" w:hAnsi="Times New Roman"/>
          <w:b/>
          <w:bCs/>
        </w:rPr>
        <w:t xml:space="preserve">[15]  </w:t>
      </w:r>
      <w:r>
        <w:rPr>
          <w:rFonts w:ascii="Times New Roman" w:cs="Times New Roman" w:eastAsia="Times New Roman" w:hAnsi="Times New Roman"/>
        </w:rPr>
        <w:t xml:space="preserve">I. Roy, “Estimating Value at Risk (VaR) using Filtered Historical Simulation in the Indian Capital Market,” Reserve Bank of India. [Online]. Available: https://www.rbi.org.in/scripts/bs_viewcontent.aspx?Id=2596</w:t>
      </w:r>
    </w:p>
    <w:p>
      <w:pPr>
        <w:spacing w:after="100" w:line="300"/>
        <w:ind w:left="567" w:hanging="567"/>
        <w:jc w:val="left"/>
      </w:pPr>
      <w:r>
        <w:rPr>
          <w:rFonts w:ascii="Times New Roman" w:cs="Times New Roman" w:eastAsia="Times New Roman" w:hAnsi="Times New Roman"/>
          <w:b/>
          <w:bCs/>
        </w:rPr>
        <w:t xml:space="preserve">[16]  </w:t>
      </w:r>
      <w:r>
        <w:rPr>
          <w:rFonts w:ascii="Times New Roman" w:cs="Times New Roman" w:eastAsia="Times New Roman" w:hAnsi="Times New Roman"/>
        </w:rPr>
        <w:t xml:space="preserve">A. J. McNeil and R. Frey, “Estimation of Tail-Related Risk Measures for Heteroscedastic Financial Time Series: An Extreme Value Approach,” Journal of Empirical Finance, vol. 7, no. 3–4, pp. 271–300, 2000.</w:t>
      </w:r>
    </w:p>
    <w:p>
      <w:pPr>
        <w:spacing w:after="100" w:line="300"/>
        <w:ind w:left="567" w:hanging="567"/>
        <w:jc w:val="left"/>
      </w:pPr>
      <w:r>
        <w:rPr>
          <w:rFonts w:ascii="Times New Roman" w:cs="Times New Roman" w:eastAsia="Times New Roman" w:hAnsi="Times New Roman"/>
          <w:b/>
          <w:bCs/>
        </w:rPr>
        <w:t xml:space="preserve">[17]  </w:t>
      </w:r>
      <w:r>
        <w:rPr>
          <w:rFonts w:ascii="Times New Roman" w:cs="Times New Roman" w:eastAsia="Times New Roman" w:hAnsi="Times New Roman"/>
        </w:rPr>
        <w:t xml:space="preserve">“Old-Fashioned Parametric Models Are Still the Best: A Comparison of Value-at-Risk Approaches in Several Volatility States,” Journal of Risk Model Validation. [Online]. Available: https://www.risk.net/journal-of-risk-model-validation/7553981</w:t>
      </w:r>
    </w:p>
    <w:p>
      <w:pPr>
        <w:spacing w:after="100" w:line="300"/>
        <w:ind w:left="567" w:hanging="567"/>
        <w:jc w:val="left"/>
      </w:pPr>
      <w:r>
        <w:rPr>
          <w:rFonts w:ascii="Times New Roman" w:cs="Times New Roman" w:eastAsia="Times New Roman" w:hAnsi="Times New Roman"/>
          <w:b/>
          <w:bCs/>
        </w:rPr>
        <w:t xml:space="preserve">[18]  </w:t>
      </w:r>
      <w:r>
        <w:rPr>
          <w:rFonts w:ascii="Times New Roman" w:cs="Times New Roman" w:eastAsia="Times New Roman" w:hAnsi="Times New Roman"/>
        </w:rPr>
        <w:t xml:space="preserve">T. Fissler and J. F. Ziegel, “Higher Order Elicitability and Osband’s Principle,” The Annals of Statistics, vol. 44, no. 4, pp. 1680–1707, 2016.</w:t>
      </w:r>
    </w:p>
    <w:p>
      <w:pPr>
        <w:spacing w:after="100" w:line="300"/>
        <w:ind w:left="567" w:hanging="567"/>
        <w:jc w:val="left"/>
      </w:pPr>
      <w:r>
        <w:rPr>
          <w:rFonts w:ascii="Times New Roman" w:cs="Times New Roman" w:eastAsia="Times New Roman" w:hAnsi="Times New Roman"/>
          <w:b/>
          <w:bCs/>
        </w:rPr>
        <w:t xml:space="preserve">[19]  </w:t>
      </w:r>
      <w:r>
        <w:rPr>
          <w:rFonts w:ascii="Times New Roman" w:cs="Times New Roman" w:eastAsia="Times New Roman" w:hAnsi="Times New Roman"/>
        </w:rPr>
        <w:t xml:space="preserve">A. J. Patton, J. F. Ziegel and R. Chen, “Dynamic Semiparametric Models for Expected Shortfall (and Value-at-Risk),” Journal of Econometrics, vol. 211, no. 2, pp. 388–413, 2019.</w:t>
      </w:r>
    </w:p>
    <w:p>
      <w:pPr>
        <w:spacing w:after="100" w:line="300"/>
        <w:ind w:left="567" w:hanging="567"/>
        <w:jc w:val="left"/>
      </w:pPr>
      <w:r>
        <w:rPr>
          <w:rFonts w:ascii="Times New Roman" w:cs="Times New Roman" w:eastAsia="Times New Roman" w:hAnsi="Times New Roman"/>
          <w:b/>
          <w:bCs/>
        </w:rPr>
        <w:t xml:space="preserve">[20]  </w:t>
      </w:r>
      <w:r>
        <w:rPr>
          <w:rFonts w:ascii="Times New Roman" w:cs="Times New Roman" w:eastAsia="Times New Roman" w:hAnsi="Times New Roman"/>
        </w:rPr>
        <w:t xml:space="preserve">The Poor Swiss, “Monte Carlo Simulations for FIRE.” [Online]. Available: https://thepoorswiss.com/monte-carlo-for-fire/</w:t>
      </w:r>
    </w:p>
    <w:p>
      <w:pPr>
        <w:spacing w:after="100" w:line="300"/>
        <w:ind w:left="567" w:hanging="567"/>
        <w:jc w:val="left"/>
      </w:pPr>
      <w:r>
        <w:rPr>
          <w:rFonts w:ascii="Times New Roman" w:cs="Times New Roman" w:eastAsia="Times New Roman" w:hAnsi="Times New Roman"/>
          <w:b/>
          <w:bCs/>
        </w:rPr>
        <w:t xml:space="preserve">[21]  </w:t>
      </w:r>
      <w:r>
        <w:rPr>
          <w:rFonts w:ascii="Times New Roman" w:cs="Times New Roman" w:eastAsia="Times New Roman" w:hAnsi="Times New Roman"/>
        </w:rPr>
        <w:t xml:space="preserve">J. T. Guyton and W. J. Klinger, “Decision Rules and Maximum Initial Withdrawal Rates,” Journal of Financial Planning, vol. 19, no. 3, pp. 48–58, 2006.</w:t>
      </w:r>
    </w:p>
    <w:p>
      <w:pPr>
        <w:spacing w:after="100" w:line="300"/>
        <w:ind w:left="567" w:hanging="567"/>
        <w:jc w:val="left"/>
      </w:pPr>
      <w:r>
        <w:rPr>
          <w:rFonts w:ascii="Times New Roman" w:cs="Times New Roman" w:eastAsia="Times New Roman" w:hAnsi="Times New Roman"/>
          <w:b/>
          <w:bCs/>
        </w:rPr>
        <w:t xml:space="preserve">[22]  </w:t>
      </w:r>
      <w:r>
        <w:rPr>
          <w:rFonts w:ascii="Times New Roman" w:cs="Times New Roman" w:eastAsia="Times New Roman" w:hAnsi="Times New Roman"/>
        </w:rPr>
        <w:t xml:space="preserve">D. Blanchett, “Exploring the Retirement Consumption Puzzle,” Journal of Financial Planning, vol. 27, no. 5, pp. 34–42, 2014.</w:t>
      </w:r>
    </w:p>
    <w:p>
      <w:pPr>
        <w:spacing w:after="100" w:line="300"/>
        <w:ind w:left="567" w:hanging="567"/>
        <w:jc w:val="left"/>
      </w:pPr>
      <w:r>
        <w:rPr>
          <w:rFonts w:ascii="Times New Roman" w:cs="Times New Roman" w:eastAsia="Times New Roman" w:hAnsi="Times New Roman"/>
          <w:b/>
          <w:bCs/>
        </w:rPr>
        <w:t xml:space="preserve">[23]  </w:t>
      </w:r>
      <w:r>
        <w:rPr>
          <w:rFonts w:ascii="Times New Roman" w:cs="Times New Roman" w:eastAsia="Times New Roman" w:hAnsi="Times New Roman"/>
        </w:rPr>
        <w:t xml:space="preserve">M. A. Milevsky and C. Robinson, “A Sustainable Spending Rate without Simulation,” Financial Analysts Journal, vol. 61, no. 6, pp. 89–100, 2005.</w:t>
      </w:r>
    </w:p>
    <w:p>
      <w:pPr>
        <w:spacing w:after="100" w:line="300"/>
        <w:ind w:left="567" w:hanging="567"/>
        <w:jc w:val="left"/>
      </w:pPr>
      <w:r>
        <w:rPr>
          <w:rFonts w:ascii="Times New Roman" w:cs="Times New Roman" w:eastAsia="Times New Roman" w:hAnsi="Times New Roman"/>
          <w:b/>
          <w:bCs/>
        </w:rPr>
        <w:t xml:space="preserve">[24]  </w:t>
      </w:r>
      <w:r>
        <w:rPr>
          <w:rFonts w:ascii="Times New Roman" w:cs="Times New Roman" w:eastAsia="Times New Roman" w:hAnsi="Times New Roman"/>
        </w:rPr>
        <w:t xml:space="preserve">K. L. Fisher and M. Statman, “Cognitive Biases in Market Forecasts,” Journal of Portfolio Management, vol. 27, no. 1, pp. 72–81, 2000.</w:t>
      </w:r>
    </w:p>
    <w:p>
      <w:pPr>
        <w:spacing w:after="100" w:line="300"/>
        <w:ind w:left="567" w:hanging="567"/>
        <w:jc w:val="left"/>
      </w:pPr>
      <w:r>
        <w:rPr>
          <w:rFonts w:ascii="Times New Roman" w:cs="Times New Roman" w:eastAsia="Times New Roman" w:hAnsi="Times New Roman"/>
          <w:b/>
          <w:bCs/>
        </w:rPr>
        <w:t xml:space="preserve">[25]  </w:t>
      </w:r>
      <w:r>
        <w:rPr>
          <w:rFonts w:ascii="Times New Roman" w:cs="Times New Roman" w:eastAsia="Times New Roman" w:hAnsi="Times New Roman"/>
        </w:rPr>
        <w:t xml:space="preserve">indexpe.in, “PE Ratio vs Future Returns: What 27 Years of Data Says.” [Online]. Available: https://indexpe.in/pe-vs-forward-returns</w:t>
      </w:r>
    </w:p>
    <w:p>
      <w:pPr>
        <w:spacing w:after="100" w:line="300"/>
        <w:ind w:left="567" w:hanging="567"/>
        <w:jc w:val="left"/>
      </w:pPr>
      <w:r>
        <w:rPr>
          <w:rFonts w:ascii="Times New Roman" w:cs="Times New Roman" w:eastAsia="Times New Roman" w:hAnsi="Times New Roman"/>
          <w:b/>
          <w:bCs/>
        </w:rPr>
        <w:t xml:space="preserve">[26]  </w:t>
      </w:r>
      <w:r>
        <w:rPr>
          <w:rFonts w:ascii="Times New Roman" w:cs="Times New Roman" w:eastAsia="Times New Roman" w:hAnsi="Times New Roman"/>
        </w:rPr>
        <w:t xml:space="preserve">“Multi-Scale Analysis of Nifty 50: Return Characteristics, Valuation Dynamics and Market Complexity (1990–2024),” arXiv:2509.00697. [Online]. Available: https://arxiv.org/html/2509.00697v1</w:t>
      </w:r>
    </w:p>
    <w:p>
      <w:pPr>
        <w:spacing w:after="100" w:line="300"/>
        <w:ind w:left="567" w:hanging="567"/>
        <w:jc w:val="left"/>
      </w:pPr>
      <w:r>
        <w:rPr>
          <w:rFonts w:ascii="Times New Roman" w:cs="Times New Roman" w:eastAsia="Times New Roman" w:hAnsi="Times New Roman"/>
          <w:b/>
          <w:bCs/>
        </w:rPr>
        <w:t xml:space="preserve">[27]  </w:t>
      </w:r>
      <w:r>
        <w:rPr>
          <w:rFonts w:ascii="Times New Roman" w:cs="Times New Roman" w:eastAsia="Times New Roman" w:hAnsi="Times New Roman"/>
        </w:rPr>
        <w:t xml:space="preserve">Y. Choueifaty and Y. Coignard, “Toward Maximum Diversification,” Journal of Portfolio Management, vol. 35, no. 1, pp. 40–51, 2008.</w:t>
      </w:r>
    </w:p>
    <w:p>
      <w:pPr>
        <w:spacing w:after="100" w:line="300"/>
        <w:ind w:left="567" w:hanging="567"/>
        <w:jc w:val="left"/>
      </w:pPr>
      <w:r>
        <w:rPr>
          <w:rFonts w:ascii="Times New Roman" w:cs="Times New Roman" w:eastAsia="Times New Roman" w:hAnsi="Times New Roman"/>
          <w:b/>
          <w:bCs/>
        </w:rPr>
        <w:t xml:space="preserve">[28]  </w:t>
      </w:r>
      <w:r>
        <w:rPr>
          <w:rFonts w:ascii="Times New Roman" w:cs="Times New Roman" w:eastAsia="Times New Roman" w:hAnsi="Times New Roman"/>
        </w:rPr>
        <w:t xml:space="preserve">A. Meucci, A. Santangelo and R. Deguest, “Risk Budgeting and Diversification Based on Optimized Uncorrelated Factors,” Risk, 2015. SSRN: 10.2139/ssrn.2276632.</w:t>
      </w:r>
    </w:p>
    <w:p>
      <w:pPr>
        <w:spacing w:after="100" w:line="300"/>
        <w:ind w:left="567" w:hanging="567"/>
        <w:jc w:val="left"/>
      </w:pPr>
      <w:r>
        <w:rPr>
          <w:rFonts w:ascii="Times New Roman" w:cs="Times New Roman" w:eastAsia="Times New Roman" w:hAnsi="Times New Roman"/>
          <w:b/>
          <w:bCs/>
        </w:rPr>
        <w:t xml:space="preserve">[29]  </w:t>
      </w:r>
      <w:r>
        <w:rPr>
          <w:rFonts w:ascii="Times New Roman" w:cs="Times New Roman" w:eastAsia="Times New Roman" w:hAnsi="Times New Roman"/>
        </w:rPr>
        <w:t xml:space="preserve">M. B. Garman and M. J. Klass, “On the Estimation of Security Price Volatilities from Historical Data,” Journal of Business, vol. 53, no. 1, pp. 67–78, 1980.</w:t>
      </w:r>
    </w:p>
    <w:p>
      <w:pPr>
        <w:spacing w:after="100" w:line="300"/>
        <w:ind w:left="567" w:hanging="567"/>
        <w:jc w:val="left"/>
      </w:pPr>
      <w:r>
        <w:rPr>
          <w:rFonts w:ascii="Times New Roman" w:cs="Times New Roman" w:eastAsia="Times New Roman" w:hAnsi="Times New Roman"/>
          <w:b/>
          <w:bCs/>
        </w:rPr>
        <w:t xml:space="preserve">[30]  </w:t>
      </w:r>
      <w:r>
        <w:rPr>
          <w:rFonts w:ascii="Times New Roman" w:cs="Times New Roman" w:eastAsia="Times New Roman" w:hAnsi="Times New Roman"/>
        </w:rPr>
        <w:t xml:space="preserve">F. X. Diebold and R. S. Mariano, “Comparing Predictive Accuracy,” Journal of Business &amp; Economic Statistics, vol. 13, no. 3, pp. 253–263, 1995.</w:t>
      </w:r>
    </w:p>
    <w:p>
      <w:pPr>
        <w:spacing w:after="100" w:line="300"/>
        <w:ind w:left="567" w:hanging="567"/>
        <w:jc w:val="left"/>
      </w:pPr>
      <w:r>
        <w:rPr>
          <w:rFonts w:ascii="Times New Roman" w:cs="Times New Roman" w:eastAsia="Times New Roman" w:hAnsi="Times New Roman"/>
          <w:b/>
          <w:bCs/>
        </w:rPr>
        <w:t xml:space="preserve">[31]  </w:t>
      </w:r>
      <w:r>
        <w:rPr>
          <w:rFonts w:ascii="Times New Roman" w:cs="Times New Roman" w:eastAsia="Times New Roman" w:hAnsi="Times New Roman"/>
        </w:rPr>
        <w:t xml:space="preserve">Association of Mutual Funds in India, NAV history (via mfapi.in). [Online]. Available: https://www.amfiindia.com</w:t>
      </w:r>
    </w:p>
    <w:p>
      <w:pPr>
        <w:spacing w:after="100" w:line="300"/>
        <w:ind w:left="567" w:hanging="567"/>
        <w:jc w:val="left"/>
      </w:pPr>
      <w:r>
        <w:rPr>
          <w:rFonts w:ascii="Times New Roman" w:cs="Times New Roman" w:eastAsia="Times New Roman" w:hAnsi="Times New Roman"/>
          <w:b/>
          <w:bCs/>
        </w:rPr>
        <w:t xml:space="preserve">[32]  </w:t>
      </w:r>
      <w:r>
        <w:rPr>
          <w:rFonts w:ascii="Times New Roman" w:cs="Times New Roman" w:eastAsia="Times New Roman" w:hAnsi="Times New Roman"/>
        </w:rPr>
        <w:t xml:space="preserve">NSE Indices Ltd., Historical P/E, P/B and dividend yield data. [Online]. Available: https://www.niftyindices.com</w:t>
      </w:r>
    </w:p>
    <w:p>
      <w:pPr>
        <w:spacing w:after="100" w:line="300"/>
        <w:ind w:left="567" w:hanging="567"/>
        <w:jc w:val="left"/>
      </w:pPr>
      <w:r>
        <w:rPr>
          <w:rFonts w:ascii="Times New Roman" w:cs="Times New Roman" w:eastAsia="Times New Roman" w:hAnsi="Times New Roman"/>
          <w:b/>
          <w:bCs/>
        </w:rPr>
        <w:t xml:space="preserve">[33]  </w:t>
      </w:r>
      <w:r>
        <w:rPr>
          <w:rFonts w:ascii="Times New Roman" w:cs="Times New Roman" w:eastAsia="Times New Roman" w:hAnsi="Times New Roman"/>
        </w:rPr>
        <w:t xml:space="preserve">Nippon India Mutual Fund, Monthly Factsheets, May 2026. [Online]. Available: https://mf.nipponindiaim.com</w:t>
      </w:r>
    </w:p>
    <w:p>
      <w:pPr>
        <w:pStyle w:val="Heading1"/>
        <w:pageBreakBefore/>
        <w:jc w:val="center"/>
      </w:pPr>
      <w:bookmarkStart w:name="_Toc67" w:id="67"/>
      <w:r>
        <w:rPr>
          <w:rFonts w:ascii="Times New Roman" w:cs="Times New Roman" w:eastAsia="Times New Roman" w:hAnsi="Times New Roman"/>
        </w:rPr>
        <w:t xml:space="preserve">APPENDIX A: API ENDPOINTS</w:t>
      </w:r>
      <w:bookmarkEnd w:id="67"/>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Complete list of REST API endpoints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038"/>
        <w:gridCol w:w="4776"/>
        <w:gridCol w:w="2492"/>
      </w:tblGrid>
      <w:tr>
        <w:trPr>
          <w:tblHeader/>
        </w:trPr>
        <w:tc>
          <w:tcPr>
            <w:tcW w:type="dxa" w:w="10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Method</w:t>
            </w:r>
          </w:p>
        </w:tc>
        <w:tc>
          <w:tcPr>
            <w:tcW w:type="dxa" w:w="4776"/>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Path</w:t>
            </w:r>
          </w:p>
        </w:tc>
        <w:tc>
          <w:tcPr>
            <w:tcW w:type="dxa" w:w="2492"/>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Purpose</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/health</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Health</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/health/ready</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Ready</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/api/v1/meta/assumptions</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 Assumptions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/api/v1/auth/register</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Register</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/api/v1/auth/login</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Login</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/api/v1/auth/refresh</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Refresh</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/api/v1/auth/logout</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Logout</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/api/v1/auth/logout-all</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Logout All</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/api/v1/auth/me</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Me</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/api/v1/auth/upstox/login</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Login</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/api/v1/auth/upstox/callback</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Callback</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/api/v1/auth/upstox/status</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Status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/api/v1/auth/upstox/disconnect</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Disconnect</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/api/v1/profile</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Read Profile</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PUT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/api/v1/profile</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Update Profile</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/api/v1/profile</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Create Profile</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/api/v1/schemes/filtered</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Filtered</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/api/v1/schemes/select</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Select</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/api/v1/schemes/allocate</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Allocate</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/api/v1/schemes/selected</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Selected</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/api/v1/schemes/{scheme_id}</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Scheme Detail</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/api/v1/analysis/overlap</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Overlap</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/api/v1/analysis/plos</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Plos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/api/v1/analysis/risk</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Risk</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/api/v1/analysis/arise</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Arise</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/api/v1/analysis/prices</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Prices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/api/v1/analysis/compare</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Compare</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/api/v1/portfolio/transactions</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Create Transaction</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/api/v1/portfolio/transactions</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List Transactions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DELETE</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/api/v1/portfolio/transactions/{txn_id}</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Delete Transaction</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/api/v1/portfolio/pnl</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Pnl</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/api/v1/portfolio/holdings</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Holdings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/api/v1/market/portfolio-value</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Portfolio Value</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/api/v1/market/dashboard</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Dashboard</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/api/v1/market/pnl</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Pnl</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/api/v1/market/fundamentals/{ticker}</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Fundamentals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/api/v1/market/nav/{scheme_id}</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Nav</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/api/v1/market/tasks/download-prices</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Trigger Download Prices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/api/v1/market/tasks/download-nav</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Trigger Download Nav</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/api/v1/market/tasks/refresh-holdings</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Trigger Refresh Holdings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/api/v1/market/tasks/refresh-upstox-isin-map</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Trigger Refresh Upstox Isin Map</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/api/v1/reports/generate</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Generate</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/api/v1/reports</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List Reports</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/api/v1/reports/{report_id}</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 Report</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/api/v1/reports/{report_id}/download</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Download</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GET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/api/v1/notifications/mine</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Mine</w:t>
            </w:r>
          </w:p>
        </w:tc>
      </w:tr>
      <w:tr>
        <w:trPr>
          <w:cantSplit/>
        </w:trPr>
        <w:tc>
          <w:tcPr>
            <w:tcW w:type="dxa" w:w="103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POST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/api/v1/notifications/{notification_id}/read</w:t>
            </w:r>
          </w:p>
        </w:tc>
        <w:tc>
          <w:tcPr>
            <w:tcW w:type="dxa" w:w="24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Mark Read</w:t>
            </w:r>
          </w:p>
        </w:tc>
      </w:tr>
    </w:tbl>
    <w:p>
      <w:pPr>
        <w:spacing w:after="120"/>
      </w:pPr>
      <w:r>
        <w:rPr>
          <w:rFonts w:ascii="Times New Roman" w:cs="Times New Roman" w:eastAsia="Times New Roman" w:hAnsi="Times New Roman"/>
        </w:rPr>
        <w:t xml:space="preserve"/>
      </w:r>
    </w:p>
    <w:p>
      <w:pPr>
        <w:pStyle w:val="Heading1"/>
        <w:pageBreakBefore/>
        <w:jc w:val="center"/>
      </w:pPr>
      <w:bookmarkStart w:name="_Toc68" w:id="68"/>
      <w:r>
        <w:rPr>
          <w:rFonts w:ascii="Times New Roman" w:cs="Times New Roman" w:eastAsia="Times New Roman" w:hAnsi="Times New Roman"/>
        </w:rPr>
        <w:t xml:space="preserve">APPENDIX B: INSTALLATION AND USAGE</w:t>
      </w:r>
      <w:bookmarkEnd w:id="68"/>
    </w:p>
    <w:p>
      <w:pPr>
        <w:spacing w:after="120" w:line="360"/>
        <w:jc w:val="both"/>
      </w:pPr>
      <w:r>
        <w:rPr>
          <w:rFonts w:ascii="Times New Roman" w:cs="Times New Roman" w:eastAsia="Times New Roman" w:hAnsi="Times New Roman"/>
        </w:rPr>
        <w:t xml:space="preserve">The commands below set up and run the complete system locally. They require Docker Desktop, Python 3.12 and Node.js 20 or later.</w:t>
      </w:r>
    </w:p>
    <w:p>
      <w:pPr>
        <w:shd w:fill="F2F2F2" w:color="auto" w:val="clear"/>
        <w:spacing w:after="0" w:line="240"/>
        <w:ind w:left="200"/>
      </w:pPr>
      <w:r>
        <w:rPr>
          <w:rFonts w:ascii="Courier New" w:cs="Courier New" w:eastAsia="Courier New" w:hAnsi="Courier New"/>
          <w:sz w:val="18"/>
          <w:szCs w:val="18"/>
        </w:rPr>
        <w:t xml:space="preserve">git clone https://github.com/JINAYSHAH-888/nexus-portfolio-intelligence.git</w:t>
      </w:r>
    </w:p>
    <w:p>
      <w:pPr>
        <w:shd w:fill="F2F2F2" w:color="auto" w:val="clear"/>
        <w:spacing w:after="0" w:line="240"/>
        <w:ind w:left="200"/>
      </w:pPr>
      <w:r>
        <w:rPr>
          <w:rFonts w:ascii="Courier New" w:cs="Courier New" w:eastAsia="Courier New" w:hAnsi="Courier New"/>
          <w:sz w:val="18"/>
          <w:szCs w:val="18"/>
        </w:rPr>
        <w:t xml:space="preserve">cd nexus-portfolio-intelligence</w:t>
      </w:r>
    </w:p>
    <w:p>
      <w:pPr>
        <w:shd w:fill="F2F2F2" w:color="auto" w:val="clear"/>
        <w:spacing w:after="0" w:line="240"/>
        <w:ind w:left="200"/>
      </w:pPr>
      <w:r>
        <w:rPr>
          <w:rFonts w:ascii="Courier New" w:cs="Courier New" w:eastAsia="Courier New" w:hAnsi="Courier New"/>
          <w:sz w:val="18"/>
          <w:szCs w:val="18"/>
        </w:rPr>
        <w:t xml:space="preserve">make setup          # backend virtualenv + frontend dependencies</w:t>
      </w:r>
    </w:p>
    <w:p>
      <w:pPr>
        <w:shd w:fill="F2F2F2" w:color="auto" w:val="clear"/>
        <w:spacing w:after="0" w:line="240"/>
        <w:ind w:left="200"/>
      </w:pPr>
      <w:r>
        <w:rPr>
          <w:rFonts w:ascii="Courier New" w:cs="Courier New" w:eastAsia="Courier New" w:hAnsi="Courier New"/>
          <w:sz w:val="18"/>
          <w:szCs w:val="18"/>
        </w:rPr>
        <w:t xml:space="preserve">make stack          # web :3400, api :8000, database, redis, workers</w:t>
      </w:r>
    </w:p>
    <w:p>
      <w:pPr>
        <w:shd w:fill="F2F2F2" w:color="auto" w:val="clear"/>
        <w:spacing w:after="0" w:line="240"/>
        <w:ind w:left="200"/>
      </w:pPr>
      <w:r>
        <w:rPr>
          <w:rFonts w:ascii="Courier New" w:cs="Courier New" w:eastAsia="Courier New" w:hAnsi="Courier New"/>
          <w:sz w:val="18"/>
          <w:szCs w:val="18"/>
        </w:rPr>
        <w:t xml:space="preserve">docker compose exec api alembic upgrade head</w:t>
      </w:r>
    </w:p>
    <w:p>
      <w:pPr>
        <w:shd w:fill="F2F2F2" w:color="auto" w:val="clear"/>
        <w:spacing w:after="0" w:line="240"/>
        <w:ind w:left="200"/>
      </w:pPr>
      <w:r>
        <w:rPr>
          <w:rFonts w:ascii="Courier New" w:cs="Courier New" w:eastAsia="Courier New" w:hAnsi="Courier New"/>
          <w:sz w:val="18"/>
          <w:szCs w:val="18"/>
        </w:rPr>
        <w:t xml:space="preserve">make seed           # local demo investor</w:t>
      </w:r>
    </w:p>
    <w:p>
      <w:pPr>
        <w:shd w:fill="F2F2F2" w:color="auto" w:val="clear"/>
        <w:spacing w:after="0" w:line="240"/>
        <w:ind w:left="200"/>
      </w:pPr>
      <w:r>
        <w:rPr>
          <w:rFonts w:ascii="Courier New" w:cs="Courier New" w:eastAsia="Courier New" w:hAnsi="Courier New"/>
          <w:sz w:val="18"/>
          <w:szCs w:val="18"/>
        </w:rPr>
        <w:t xml:space="preserve">make fetch-market   # download and verify market data (~3 min)</w:t>
      </w:r>
    </w:p>
    <w:p>
      <w:pPr>
        <w:shd w:fill="F2F2F2" w:color="auto" w:val="clear"/>
        <w:spacing w:after="0" w:line="240"/>
        <w:ind w:left="200"/>
      </w:pPr>
      <w:r>
        <w:rPr>
          <w:rFonts w:ascii="Courier New" w:cs="Courier New" w:eastAsia="Courier New" w:hAnsi="Courier New"/>
          <w:sz w:val="18"/>
          <w:szCs w:val="18"/>
        </w:rPr>
        <w:t xml:space="preserve">make train-models   # train and validate all models (~5 min)</w:t>
      </w:r>
    </w:p>
    <w:p>
      <w:pPr>
        <w:shd w:fill="F2F2F2" w:color="auto" w:val="clear"/>
        <w:spacing w:after="160" w:line="240"/>
        <w:ind w:left="200"/>
      </w:pPr>
      <w:r>
        <w:rPr>
          <w:rFonts w:ascii="Courier New" w:cs="Courier New" w:eastAsia="Courier New" w:hAnsi="Courier New"/>
          <w:sz w:val="18"/>
          <w:szCs w:val="18"/>
        </w:rPr>
        <w:t xml:space="preserve">make ci             # lint, tests, type check, generated-data checks</w:t>
      </w:r>
    </w:p>
    <w:p>
      <w:pPr>
        <w:spacing w:after="120" w:line="360"/>
        <w:jc w:val="both"/>
      </w:pPr>
      <w:r>
        <w:rPr>
          <w:rFonts w:ascii="Times New Roman" w:cs="Times New Roman" w:eastAsia="Times New Roman" w:hAnsi="Times New Roman"/>
        </w:rPr>
        <w:t xml:space="preserve">The application then runs at http://localhost:3400, and interactive API documentation is at http://localhost:8000/docs.</w:t>
      </w:r>
    </w:p>
    <w:p>
      <w:pPr>
        <w:pStyle w:val="Heading1"/>
        <w:pageBreakBefore/>
        <w:jc w:val="center"/>
      </w:pPr>
      <w:bookmarkStart w:name="_Toc69" w:id="69"/>
      <w:r>
        <w:rPr>
          <w:rFonts w:ascii="Times New Roman" w:cs="Times New Roman" w:eastAsia="Times New Roman" w:hAnsi="Times New Roman"/>
        </w:rPr>
        <w:t xml:space="preserve">APPENDIX C: GLOSSARY</w:t>
      </w:r>
      <w:bookmarkEnd w:id="69"/>
    </w:p>
    <w:p>
      <w:pPr>
        <w:pStyle w:val="Caption"/>
        <w:spacing w:after="240" w:before="80"/>
        <w:jc w:val="center"/>
      </w:pPr>
      <w:r>
        <w:rPr>
          <w:rFonts w:ascii="Times New Roman" w:cs="Times New Roman" w:eastAsia="Times New Roman" w:hAnsi="Times New Roman"/>
          <w:b/>
          <w:bCs/>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rPr>
        <w:t xml:space="preserve">: Glossary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77"/>
        <w:gridCol w:w="6229"/>
      </w:tblGrid>
      <w:tr>
        <w:trPr>
          <w:tblHeader/>
        </w:trPr>
        <w:tc>
          <w:tcPr>
            <w:tcW w:type="dxa" w:w="2077"/>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Term</w:t>
            </w:r>
          </w:p>
        </w:tc>
        <w:tc>
          <w:tcPr>
            <w:tcW w:type="dxa" w:w="6229"/>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vAlign w:val="center"/>
          </w:tcPr>
          <w:p>
            <w:pPr>
              <w:spacing w:line="260"/>
            </w:pPr>
            <w:r>
              <w:rPr>
                <w:rFonts w:ascii="Times New Roman" w:cs="Times New Roman" w:eastAsia="Times New Roman" w:hAnsi="Times New Roman"/>
                <w:b/>
                <w:bCs/>
                <w:sz w:val="21"/>
                <w:szCs w:val="21"/>
              </w:rPr>
              <w:t xml:space="preserve">Meaning</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Backtest</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Testing a model on past data that it did not use for fitting</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CRPS</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Score for a whole forecast distribution; lower is better</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Expected Shortfall</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Average loss on the days that exceed VaR</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Fisher-z</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The transform z = artanh(ρ), which makes correlations approximately normal</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Jeffreys estimate</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 probability estimate that never reaches exactly 0 or 1</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Out of sample</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Evaluated on data not used to build the model</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Shapley value</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A fair, additive share of a prediction attributed to each input</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Shrinkage</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Pulling a noisy estimate toward a stable prior in proportion to the evidence</w:t>
            </w:r>
          </w:p>
        </w:tc>
      </w:tr>
      <w:tr>
        <w:trPr>
          <w:cantSplit/>
        </w:trPr>
        <w:tc>
          <w:tcPr>
            <w:tcW w:type="dxa" w:w="207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Value at Risk (95%)</w:t>
            </w:r>
          </w:p>
        </w:tc>
        <w:tc>
          <w:tcPr>
            <w:tcW w:type="dxa" w:w="622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60"/>
            </w:pPr>
            <w:r>
              <w:rPr>
                <w:rFonts w:ascii="Times New Roman" w:cs="Times New Roman" w:eastAsia="Times New Roman" w:hAnsi="Times New Roman"/>
                <w:b w:val="false"/>
                <w:bCs w:val="false"/>
                <w:sz w:val="21"/>
                <w:szCs w:val="21"/>
              </w:rPr>
              <w:t xml:space="preserve">The loss exceeded on only 1 day in 20</w:t>
            </w:r>
          </w:p>
        </w:tc>
      </w:tr>
    </w:tbl>
    <w:p>
      <w:pPr>
        <w:spacing w:after="120"/>
      </w:pPr>
      <w:r>
        <w:rPr>
          <w:rFonts w:ascii="Times New Roman" w:cs="Times New Roman" w:eastAsia="Times New Roman" w:hAnsi="Times New Roman"/>
        </w:rPr>
        <w:t xml:space="preserve"/>
      </w:r>
    </w:p>
    <w:sectPr>
      <w:headerReference w:type="default" r:id="rId7"/>
      <w:footerReference w:type="default" r:id="rId8"/>
      <w:pgSz w:w="11906" w:h="16838" w:orient="portrait"/>
      <w:pgMar w:top="1440" w:right="1440" w:bottom="1440" w:left="2160" w:header="708" w:footer="708" w:gutter="0"/>
      <w:pgBorders>
        <w:top w:val="single" w:color="000000" w:sz="6" w:space="24"/>
        <w:left w:val="single" w:color="000000" w:sz="6" w:space="24"/>
        <w:bottom w:val="single" w:color="000000" w:sz="6" w:space="24"/>
        <w:right w:val="single" w:color="000000" w:sz="6"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rFonts w:ascii="Times New Roman" w:cs="Times New Roman" w:eastAsia="Times New Roman" w:hAnsi="Times New Roman"/>
        <w:i/>
        <w:iCs/>
        <w:color w:val="555555"/>
        <w:sz w:val="18"/>
        <w:szCs w:val="18"/>
      </w:rPr>
      <w:t xml:space="preserve">Nexus Portfolio Intelligence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340"/>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360" w:before="12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paragraph" w:styleId="Caption">
    <w:name w:val="Caption"/>
    <w:basedOn w:val="Normal"/>
    <w:next w:val="Normal"/>
    <w:qFormat/>
    <w:rPr>
      <w:rFonts w:ascii="Times New Roman" w:cs="Times New Roman" w:eastAsia="Times New Roman" w:hAnsi="Times New Roman"/>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8d8fe07f3d02ad75035ce8abb5e706bd9f0750f1.png"/><Relationship Id="rId11" Type="http://schemas.openxmlformats.org/officeDocument/2006/relationships/image" Target="media/07c245b87fa4667e0360a845f1d02265bd2afaf1.png"/><Relationship Id="rId12" Type="http://schemas.openxmlformats.org/officeDocument/2006/relationships/image" Target="media/c979837807491ccc012c811e2a84a777c290ea5e.png"/><Relationship Id="rId13" Type="http://schemas.openxmlformats.org/officeDocument/2006/relationships/image" Target="media/7da7d5f3a1541747182bbc0404e67663efc5ee31.png"/><Relationship Id="rId14" Type="http://schemas.openxmlformats.org/officeDocument/2006/relationships/image" Target="media/8dedaf0e1aa634901133f4de93901be5cbe868a1.png"/><Relationship Id="rId15" Type="http://schemas.openxmlformats.org/officeDocument/2006/relationships/image" Target="media/4272bc081f538486a631660bfc40058aba6cb912.png"/><Relationship Id="rId16" Type="http://schemas.openxmlformats.org/officeDocument/2006/relationships/image" Target="media/859749e12a7ad3b88a82a32de936546d397c297d.png"/><Relationship Id="rId17" Type="http://schemas.openxmlformats.org/officeDocument/2006/relationships/image" Target="media/4a15dbfac6773e93f813c4eb9c1c108224467ed0.jpg"/><Relationship Id="rId18" Type="http://schemas.openxmlformats.org/officeDocument/2006/relationships/image" Target="media/9dc7daaadcc3027b1f99eacbbe1e24e520c2232f.jpg"/><Relationship Id="rId19" Type="http://schemas.openxmlformats.org/officeDocument/2006/relationships/image" Target="media/5880896866aea689ad1bab4f5b412ff438e36639.jpg"/><Relationship Id="rId20" Type="http://schemas.openxmlformats.org/officeDocument/2006/relationships/image" Target="media/1a82f69b059aaad0c893e942ac058b7c28037f4d.jpg"/><Relationship Id="rId21" Type="http://schemas.openxmlformats.org/officeDocument/2006/relationships/image" Target="media/f975a2ca3b3c2d1a321c2225e6c5f9822662b631.jpg"/><Relationship Id="rId22" Type="http://schemas.openxmlformats.org/officeDocument/2006/relationships/image" Target="media/04921b4787bf4a20742c0bb4137ddb51a3174845.jpg"/><Relationship Id="rId23" Type="http://schemas.openxmlformats.org/officeDocument/2006/relationships/image" Target="media/ddb1775056a32a45dcf92abe31ddb29c6d9b7788.jpg"/><Relationship Id="rId24" Type="http://schemas.openxmlformats.org/officeDocument/2006/relationships/image" Target="media/70c9c7ea66a81254b47bd5f2a576b1af91e1d1cf.jpg"/><Relationship Id="rId25" Type="http://schemas.openxmlformats.org/officeDocument/2006/relationships/image" Target="media/3d03f2abe4422fa5f1ecabf71674792ee0dacda1.jpg"/><Relationship Id="rId26" Type="http://schemas.openxmlformats.org/officeDocument/2006/relationships/image" Target="media/4e64e4c04265ab0454282fe331d4f28b8ca30486.png"/><Relationship Id="rId27" Type="http://schemas.openxmlformats.org/officeDocument/2006/relationships/image" Target="media/bf74b72168d97e4abbc285285ffb94116fc25f52.png"/><Relationship Id="rId28" Type="http://schemas.openxmlformats.org/officeDocument/2006/relationships/image" Target="media/cf40c5a9ef63328f83e9ca6195a52f586fe8813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Nexus Portfolio Intelligence — Project Report</dc:title>
  <dc:creator>Nexus Portfolio Intelligence</dc:creator>
  <cp:lastModifiedBy>Un-named</cp:lastModifiedBy>
  <cp:revision>1</cp:revision>
  <dcterms:created xsi:type="dcterms:W3CDTF">2026-10-24T09:36:39.795Z</dcterms:created>
  <dcterms:modified xsi:type="dcterms:W3CDTF">2026-10-24T09:36:39.796Z</dcterms:modified>
</cp:coreProperties>
</file>

<file path=docProps/custom.xml><?xml version="1.0" encoding="utf-8"?>
<Properties xmlns="http://schemas.openxmlformats.org/officeDocument/2006/custom-properties" xmlns:vt="http://schemas.openxmlformats.org/officeDocument/2006/docPropsVTypes"/>
</file>