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1275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SORG_logo_oficial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27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ontserrat" w:hAnsi="Montserrat"/>
          <w:b/>
          <w:color w:val="0D2B4D"/>
          <w:sz w:val="60"/>
        </w:rPr>
        <w:t>CURSORG</w:t>
      </w:r>
    </w:p>
    <w:p>
      <w:pPr>
        <w:jc w:val="center"/>
      </w:pPr>
      <w:r>
        <w:rPr>
          <w:b/>
          <w:color w:val="1E5AA8"/>
          <w:sz w:val="30"/>
        </w:rPr>
        <w:t>ASIGNACIÓN 2</w:t>
      </w:r>
    </w:p>
    <w:p>
      <w:pPr>
        <w:jc w:val="center"/>
      </w:pPr>
      <w:r>
        <w:rPr>
          <w:b/>
          <w:color w:val="0D2B4D"/>
          <w:sz w:val="38"/>
        </w:rPr>
        <w:t>Lienzo de Propuesta de Valor, Manejo de Emociones</w:t>
        <w:br/>
        <w:t>y Objetivos SMART</w:t>
      </w:r>
    </w:p>
    <w:p>
      <w:pPr>
        <w:jc w:val="center"/>
      </w:pPr>
      <w:r>
        <w:rPr>
          <w:sz w:val="22"/>
        </w:rPr>
        <w:t>Formación de Emprendedores · Septiembre 2026</w:t>
      </w:r>
    </w:p>
    <w:p>
      <w:pPr>
        <w:jc w:val="center"/>
      </w:pPr>
      <w:r>
        <w:rPr>
          <w:sz w:val="20"/>
        </w:rPr>
        <w:t>Equipo: Alejandro López · Verónica Blázquez · Luis Yepez · José Sánchez · Guaicaipuro Pinzones</w:t>
      </w:r>
    </w:p>
    <w:p>
      <w:r>
        <w:br w:type="page"/>
      </w:r>
    </w:p>
    <w:p>
      <w:pPr>
        <w:pStyle w:val="Heading1"/>
        <w:spacing w:before="200" w:after="100"/>
      </w:pPr>
      <w:r>
        <w:t>1. Introducción</w:t>
      </w:r>
    </w:p>
    <w:p>
      <w:r>
        <w:t>El presente documento desarrolla la segunda asignación de Formación de Emprendedores para Cursorg, tomando como base el diagnóstico, la propuesta de valor, el producto mínimo viable y el análisis competitivo definidos en la Fase 1. Cursorg es una plataforma digital B2B de capacitación corporativa especializada, orientada inicialmente a empresas venezolanas y posteriormente al mercado latinoamericano.</w:t>
      </w:r>
    </w:p>
    <w:p>
      <w:r>
        <w:t>La asignación se organiza en cuatro componentes: el Lienzo de Propuesta de Valor, el manejo de las emociones del cliente, la definición de tres objetivos estratégicos SMART y la propuesta de presencia inicial en redes sociales junto con el guion de un video pitch de ventas.</w:t>
      </w:r>
    </w:p>
    <w:p>
      <w:pPr>
        <w:pStyle w:val="Heading1"/>
        <w:spacing w:before="200" w:after="100"/>
      </w:pPr>
      <w:r>
        <w:t>2. Lienzo de Propuesta de Valor</w:t>
      </w:r>
    </w:p>
    <w:p>
      <w:r>
        <w:t>El lienzo conecta el perfil del cliente con el mapa de valor de Cursorg. El segmento prioritario está compuesto por empresas medianas de 50 a 300 empleados, especialmente de los sectores industrial, comercial, financiero y de servicios. Los principales decisores son los gerentes de Recursos Humanos, directores de capacitación, gerentes de operaciones y directivos responsables del presupuesto de formación.</w:t>
      </w:r>
    </w:p>
    <w:p>
      <w:pPr>
        <w:pStyle w:val="Heading2"/>
        <w:spacing w:before="200" w:after="100"/>
      </w:pPr>
      <w:r>
        <w:t>2.1 Perfil del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8352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Descripción aplicada a Cursorg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Tareas del cliente (Jobs to be done)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Diseñar y ejecutar programas de capacitación para grupos de empleados; estandarizar conocimientos técnicos y operativos; asignar cursos por cargo, área o sede; monitorear el avance y la finalización; demostrar ante la dirección el impacto de la inversión; emitir evidencias de formación y mantener las competencias actualizadas.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Dolores (Pains)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Pagar suscripciones internacionales en dólares; enfrentar trámites contables y administrativos con proveedores extranjeros; encontrar contenido poco contextualizado a la realidad latinoamericana; depender de charlas repetidas de supervisores; no contar con reportes consolidados; asumir costos por usuario que aumentan con la plantilla; recibir soporte lento o impersonal; tener dudas sobre la validez de los certificados.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Ganancias (Gains)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Contar con una solución accesible y fácil de implementar; pagar en moneda local mediante métodos conocidos; capacitar sin interrumpir la operación; visualizar el avance de cada empleado; obtener certificados verificables; demostrar resultados a la gerencia; reducir el tiempo operativo de RR. HH.; disponer de contenido práctico y pertinente en español.</w:t>
            </w:r>
          </w:p>
        </w:tc>
      </w:tr>
    </w:tbl>
    <w:p/>
    <w:p>
      <w:pPr>
        <w:pStyle w:val="Heading2"/>
        <w:spacing w:before="200" w:after="100"/>
      </w:pPr>
      <w:r>
        <w:t>2.2 Mapa de valor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8352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Descripción aplicada a Cursorg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Productos y servicios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Plataforma SaaS B2B con gestión de empresas y usuarios, catálogo inicial de cursos especializados, aula virtual compatible con móvil y escritorio, asignación de contenidos por grupos, evaluaciones, certificados digitales, dashboard de analítica, soporte en español y pagos en moneda local.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Aliviadores de dolores (Pain relievers)</w:t>
            </w:r>
          </w:p>
        </w:tc>
        <w:tc>
          <w:tcPr>
            <w:tcW w:type="dxa" w:w="8352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El cobro en moneda local elimina conversiones y reduce la barrera administrativa; los reportes automáticos sustituyen el seguimiento manual; el catálogo contextualizado evita contenidos genéricos; la gestión por grupos reduce la dependencia de capacitaciones repetitivas; el soporte local disminuye tiempos de resolución; el modelo corporativo evita que la empresa tenga que comprar suscripciones individuales; los certificados verificables reducen la incertidumbre sobre la evidencia de aprendizaje.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Generadores de ganancias (Gain creators)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Onboarding de empresas piloto en menos de 48 horas; seguimiento de competencias y finalización en tiempo real; aprendizaje flexible 24/7; implementación escalable; contenidos orientados a industria, liderazgo, finanzas y habilidades digitales; atención personalizada; precios estimados entre 40 % y 60 % inferiores a plataformas internacionales comparables; información útil para medir el retorno de la capacitación.</w:t>
            </w:r>
          </w:p>
        </w:tc>
      </w:tr>
    </w:tbl>
    <w:p/>
    <w:p>
      <w:pPr>
        <w:pStyle w:val="Heading2"/>
        <w:spacing w:before="200" w:after="100"/>
      </w:pPr>
      <w:r>
        <w:t>2.3 Encaje entre necesidades y propuesta</w:t>
      </w:r>
    </w:p>
    <w:p>
      <w:r>
        <w:t>El encaje principal se produce porque Cursorg no intenta competir con las plataformas globales por la cantidad de cursos. Su propuesta atiende una combinación concreta de necesidades: capacitación corporativa especializada, operación en español, pagos locales, administración por grupos y medición del progreso. Esta combinación reduce los costos económicos y operativos que actualmente dificultan la formación continua en muchas empresas venezolanas.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Necesidad prioritaria</w:t>
            </w:r>
          </w:p>
        </w:tc>
        <w:tc>
          <w:tcPr>
            <w:tcW w:type="dxa" w:w="4032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Respuesta de Cursorg</w:t>
            </w:r>
          </w:p>
        </w:tc>
        <w:tc>
          <w:tcPr>
            <w:tcW w:type="dxa" w:w="4320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Presupuesto y pagos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Facturación y cobro en moneda local.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Menor fricción administrativa y financiera.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Estandarización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Cursos estructurados, evaluaciones y certificados.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Mismo estándar de formación para todos los empleados.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Control gerencial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Dashboard de inscripciones, avance y calificaciones.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Decisiones basadas en datos.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Pertinencia del contenido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Especialización industrial y empresarial contextualizada.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Mayor aplicabilidad en el puesto de trabajo.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Acompañamiento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Soporte personalizado en español.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Mayor confianza durante la implementación.</w:t>
            </w:r>
          </w:p>
        </w:tc>
      </w:tr>
    </w:tbl>
    <w:p/>
    <w:p>
      <w:pPr>
        <w:pStyle w:val="Heading1"/>
        <w:spacing w:before="200" w:after="100"/>
      </w:pPr>
      <w:r>
        <w:t>3. Manejo de las emociones del cliente</w:t>
      </w:r>
    </w:p>
    <w:p>
      <w:pPr>
        <w:pStyle w:val="Heading2"/>
        <w:spacing w:before="200" w:after="100"/>
      </w:pPr>
      <w:r>
        <w:t>3.1 Historia detrás de la marca</w:t>
      </w:r>
    </w:p>
    <w:p>
      <w:r>
        <w:t>Cursorg nace al observar una contradicción frecuente en las empresas venezolanas: los equipos necesitan capacitarse para ser más productivos y competitivos, pero las soluciones disponibles suelen estar diseñadas para otros mercados, cobrar en divisas y ofrecer un acompañamiento distante. El equipo identificó esta situación mediante entrevistas con responsables de ventas, sistemas y operaciones. En ellas se repitieron tres problemas: el costo de las suscripciones individuales, la dificultad de aprobar pagos internacionales y la necesidad de estandarizar la capacitación técnica sin repetir manualmente las mismas explicaciones.</w:t>
      </w:r>
    </w:p>
    <w:p>
      <w:r>
        <w:t>La marca representa la decisión de convertir la capacitación corporativa en una herramienta accesible, medible y adaptada al contexto latinoamericano. Sus valores son accesibilidad, especialización, confiabilidad, contextualización e impacto medible. Por ello, la marca no promete únicamente cursos; promete facilitar el desarrollo de personas y organizaciones sin que el idioma, la moneda o la distancia del proveedor sean barreras.</w:t>
      </w:r>
    </w:p>
    <w:p>
      <w:pPr>
        <w:pStyle w:val="Heading2"/>
        <w:spacing w:before="200" w:after="100"/>
      </w:pPr>
      <w:r>
        <w:t>3.2 Emociones que se desean evocar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Emoción</w:t>
            </w:r>
          </w:p>
        </w:tc>
        <w:tc>
          <w:tcPr>
            <w:tcW w:type="dxa" w:w="4320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Por qué es importante</w:t>
            </w:r>
          </w:p>
        </w:tc>
        <w:tc>
          <w:tcPr>
            <w:tcW w:type="dxa" w:w="4464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Cómo se relaciona con la marca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Confianza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El cliente delega una función sensible: desarrollar las capacidades de su personal.</w:t>
            </w:r>
          </w:p>
        </w:tc>
        <w:tc>
          <w:tcPr>
            <w:tcW w:type="dxa" w:w="446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Colores azules, información clara, certificados verificables, reportes y soporte responsable.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Tranquilidad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RR. HH. debe sentir que la implementación no agregará complejidad administrativa.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Onboarding guiado, pagos locales, interfaz intuitiva y respuesta máxima de 24 horas.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Orgullo profesional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La persona capacitada debe percibir que su esfuerzo tiene valor y reconocimiento.</w:t>
            </w:r>
          </w:p>
        </w:tc>
        <w:tc>
          <w:tcPr>
            <w:tcW w:type="dxa" w:w="446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Certificados digitales, progreso visible y contenidos vinculados con la empleabilidad.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Esperanza y progreso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La empresa busca mejorar sus resultados y preparar a su equipo para el futuro.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Historias de avance, indicadores de competencias y comunicación centrada en el crecimiento.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Pertenencia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Los empleados deben sentirse parte de una organización que invierte en ellos.</w:t>
            </w:r>
          </w:p>
        </w:tc>
        <w:tc>
          <w:tcPr>
            <w:tcW w:type="dxa" w:w="446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Lenguaje inclusivo, experiencias de aprendizaje grupales y reconocimiento de logros.</w:t>
            </w:r>
          </w:p>
        </w:tc>
      </w:tr>
    </w:tbl>
    <w:p/>
    <w:p>
      <w:pPr>
        <w:pStyle w:val="Heading2"/>
        <w:spacing w:before="200" w:after="100"/>
      </w:pPr>
      <w:r>
        <w:t>3.3 Canales para transmitir las emociones</w:t>
      </w:r>
    </w:p>
    <w:p>
      <w:pPr>
        <w:pStyle w:val="ListBullet"/>
        <w:spacing w:after="60"/>
      </w:pPr>
      <w:r>
        <w:t>Identidad visual: uso de azul marino para transmitir estabilidad, azul corporativo para comunicar acción y celeste para expresar dinamismo y apertura. La tipografía Montserrat refuerza la claridad y el carácter tecnológico.</w:t>
      </w:r>
    </w:p>
    <w:p>
      <w:pPr>
        <w:pStyle w:val="ListBullet"/>
        <w:spacing w:after="60"/>
      </w:pPr>
      <w:r>
        <w:t>Atención al cliente: comunicación cordial, directa y orientada a resolver. Cada interacción debe dejar la sensación de que existe un equipo local que comprende el contexto de la empresa.</w:t>
      </w:r>
    </w:p>
    <w:p>
      <w:pPr>
        <w:pStyle w:val="ListBullet"/>
        <w:spacing w:after="60"/>
      </w:pPr>
      <w:r>
        <w:t>Contenido visual: fotografías reales de profesionales en oficinas, plantas industriales y sesiones de trabajo, evitando imágenes genéricas que no representen la realidad del público objetivo.</w:t>
      </w:r>
    </w:p>
    <w:p>
      <w:pPr>
        <w:pStyle w:val="ListBullet"/>
        <w:spacing w:after="60"/>
      </w:pPr>
      <w:r>
        <w:t>Experiencia del producto: paneles simples, indicadores claros, mensajes de avance y certificados visualmente profesionales. La plataforma debe celebrar el progreso sin infantilizar al usuario.</w:t>
      </w:r>
    </w:p>
    <w:p>
      <w:pPr>
        <w:pStyle w:val="ListBullet"/>
        <w:spacing w:after="60"/>
      </w:pPr>
      <w:r>
        <w:t>Lenguaje de marca: frases como “Tu equipo crece con evidencia”, “Capacitación corporativa sin barreras” y “Formación que habla tu idioma y opera en tu moneda”.</w:t>
      </w:r>
    </w:p>
    <w:p>
      <w:pPr>
        <w:pStyle w:val="Heading2"/>
        <w:spacing w:before="200" w:after="100"/>
      </w:pPr>
      <w:r>
        <w:t>3.4 Experiencia emocional antes, durante y después de la compra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3024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Estado emocional probable</w:t>
            </w:r>
          </w:p>
        </w:tc>
        <w:tc>
          <w:tcPr>
            <w:tcW w:type="dxa" w:w="5472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Experiencia que debe ofrecer Cursorg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Antes de comprar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Frustración, incertidumbre y temor a invertir en una herramienta que no se adapte.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Diagnóstico breve, demostración clara, explicación transparente de costos locales y casos de uso por sector.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Durante la compra e implementación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Alivio, expectativa y necesidad de acompañamiento.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Proceso de onboarding guiado, configuración de la empresa, carga de usuarios y asignación inicial en menos de 48 horas.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Durante el aprendizaje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Motivación, esfuerzo y ocasional inseguridad.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Interfaz intuitiva, avance visible, evaluaciones comprensibles, recordatorios respetuosos y soporte humano.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Después de la capacitación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Orgullo, satisfacción y deseo de demostrar resultados.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Certificado verificable, reporte para la empresa, reconocimiento del logro y recomendaciones de próximos cursos.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En la renovación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Confianza y expectativa de crecimiento.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Comparativo de resultados, nuevas rutas de aprendizaje y propuesta basada en las necesidades observadas.</w:t>
            </w:r>
          </w:p>
        </w:tc>
      </w:tr>
    </w:tbl>
    <w:p/>
    <w:p>
      <w:pPr>
        <w:pStyle w:val="Heading1"/>
        <w:spacing w:before="200" w:after="100"/>
      </w:pPr>
      <w:r>
        <w:t>4. Objetivos estratégicos SMART</w:t>
      </w:r>
    </w:p>
    <w:p>
      <w:r>
        <w:t>Los siguientes objetivos traducen la propuesta de Cursorg en resultados concretos para la validación comercial y operativa del MVP. Cada objetivo cumple con ser específico, medible, alcanzable, relevante y temporal.</w:t>
      </w:r>
    </w:p>
    <w:p>
      <w:pPr>
        <w:pStyle w:val="Heading2"/>
        <w:spacing w:before="200" w:after="100"/>
      </w:pPr>
      <w:r>
        <w:t>Objetivo SMART 1: Captación de empresas piloto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Criterio SMART</w:t>
            </w:r>
          </w:p>
        </w:tc>
        <w:tc>
          <w:tcPr>
            <w:tcW w:type="dxa" w:w="8640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16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Específico</w:t>
            </w:r>
          </w:p>
        </w:tc>
        <w:tc>
          <w:tcPr>
            <w:tcW w:type="dxa" w:w="864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Conseguir 5 empresas piloto activas de los sectores industrial, comercio, finanzas o servicios para probar el MVP de Cursorg.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Medible</w:t>
            </w:r>
          </w:p>
        </w:tc>
        <w:tc>
          <w:tcPr>
            <w:tcW w:type="dxa" w:w="864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Registrar 5 contratos o acuerdos piloto, con al menos un administrador empresarial y 20 empleados cargados por empresa.</w:t>
            </w:r>
          </w:p>
        </w:tc>
      </w:tr>
      <w:tr>
        <w:tc>
          <w:tcPr>
            <w:tcW w:type="dxa" w:w="216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Alcanzable</w:t>
            </w:r>
          </w:p>
        </w:tc>
        <w:tc>
          <w:tcPr>
            <w:tcW w:type="dxa" w:w="864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El equipo ya cuenta con una propuesta B2B definida, roles de investigación y marketing, y un MVP delimitado para empresas de 20 a 300 empleados.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Relevante</w:t>
            </w:r>
          </w:p>
        </w:tc>
        <w:tc>
          <w:tcPr>
            <w:tcW w:type="dxa" w:w="864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Permite validar la disposición de pago, la utilidad del producto y los principales procesos de onboarding antes de escalar.</w:t>
            </w:r>
          </w:p>
        </w:tc>
      </w:tr>
      <w:tr>
        <w:tc>
          <w:tcPr>
            <w:tcW w:type="dxa" w:w="216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Temporal</w:t>
            </w:r>
          </w:p>
        </w:tc>
        <w:tc>
          <w:tcPr>
            <w:tcW w:type="dxa" w:w="864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Lograrlo antes del 30 de noviembre de 2026.</w:t>
            </w:r>
          </w:p>
        </w:tc>
      </w:tr>
    </w:tbl>
    <w:p/>
    <w:p>
      <w:r>
        <w:rPr>
          <w:b/>
        </w:rPr>
        <w:t xml:space="preserve">Justificación estratégica. </w:t>
      </w:r>
      <w:r>
        <w:t>Es prioritario porque convierte la investigación de campo en evidencia comercial. Se espera obtener usuarios reales, objeciones verificables y referencias para futuras ventas. Se necesitarán una demo funcional, base de prospectos, guion comercial, reuniones con decisores y seguimiento organizado.</w:t>
      </w:r>
    </w:p>
    <w:p>
      <w:pPr>
        <w:pStyle w:val="Heading2"/>
        <w:spacing w:before="200" w:after="100"/>
      </w:pPr>
      <w:r>
        <w:t>Objetivo SMART 2: Activación y finalización del aprendizaje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Criterio SMART</w:t>
            </w:r>
          </w:p>
        </w:tc>
        <w:tc>
          <w:tcPr>
            <w:tcW w:type="dxa" w:w="8640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16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Específico</w:t>
            </w:r>
          </w:p>
        </w:tc>
        <w:tc>
          <w:tcPr>
            <w:tcW w:type="dxa" w:w="864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Alcanzar que al menos el 80 % de los empleados inscritos en las empresas piloto finalice el curso asignado dentro de los primeros 30 días de cada implementación.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Medible</w:t>
            </w:r>
          </w:p>
        </w:tc>
        <w:tc>
          <w:tcPr>
            <w:tcW w:type="dxa" w:w="864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Medir porcentaje de finalización, calificación promedio, usuarios activos semanalmente y certificados emitidos mediante el dashboard del MVP.</w:t>
            </w:r>
          </w:p>
        </w:tc>
      </w:tr>
      <w:tr>
        <w:tc>
          <w:tcPr>
            <w:tcW w:type="dxa" w:w="216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Alcanzable</w:t>
            </w:r>
          </w:p>
        </w:tc>
        <w:tc>
          <w:tcPr>
            <w:tcW w:type="dxa" w:w="864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El catálogo inicial será reducido, con cursos de 1 a 8 horas, aula compatible con móvil y escritorio, evaluaciones y recordatorios básicos.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Relevante</w:t>
            </w:r>
          </w:p>
        </w:tc>
        <w:tc>
          <w:tcPr>
            <w:tcW w:type="dxa" w:w="864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Demuestra que la experiencia es útil y operativamente viable para el cliente, no solo que la empresa compra la plataforma.</w:t>
            </w:r>
          </w:p>
        </w:tc>
      </w:tr>
      <w:tr>
        <w:tc>
          <w:tcPr>
            <w:tcW w:type="dxa" w:w="216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Temporal</w:t>
            </w:r>
          </w:p>
        </w:tc>
        <w:tc>
          <w:tcPr>
            <w:tcW w:type="dxa" w:w="864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Aplicarlo a las empresas piloto incorporadas entre noviembre de 2026 y enero de 2027, con medición a los 30 días de cada alta.</w:t>
            </w:r>
          </w:p>
        </w:tc>
      </w:tr>
    </w:tbl>
    <w:p/>
    <w:p>
      <w:r>
        <w:rPr>
          <w:b/>
        </w:rPr>
        <w:t xml:space="preserve">Justificación estratégica. </w:t>
      </w:r>
      <w:r>
        <w:t>Una alta finalización valida el diseño de contenidos y la experiencia de usuario. Se espera mejorar la percepción de valor, generar certificados y fortalecer la retención. Se necesitarán cursos bien estructurados, analítica, soporte, comunicaciones de seguimiento y acompañamiento a los administradores.</w:t>
      </w:r>
    </w:p>
    <w:p>
      <w:pPr>
        <w:pStyle w:val="Heading2"/>
        <w:spacing w:before="200" w:after="100"/>
      </w:pPr>
      <w:r>
        <w:t>Objetivo SMART 3: Construcción de comunidad y demanda digital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Criterio SMART</w:t>
            </w:r>
          </w:p>
        </w:tc>
        <w:tc>
          <w:tcPr>
            <w:tcW w:type="dxa" w:w="8640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16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Específico</w:t>
            </w:r>
          </w:p>
        </w:tc>
        <w:tc>
          <w:tcPr>
            <w:tcW w:type="dxa" w:w="864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Crear y mantener un canal de Instagram para posicionar Cursorg y generar prospectos empresariales interesados en capacitación corporativa.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Medible</w:t>
            </w:r>
          </w:p>
        </w:tc>
        <w:tc>
          <w:tcPr>
            <w:tcW w:type="dxa" w:w="864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Publicar 3 piezas semanales durante 12 semanas, alcanzar 300 seguidores relevantes y obtener al menos 20 contactos empresariales calificados mediante mensajes o formulario.</w:t>
            </w:r>
          </w:p>
        </w:tc>
      </w:tr>
      <w:tr>
        <w:tc>
          <w:tcPr>
            <w:tcW w:type="dxa" w:w="216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Alcanzable</w:t>
            </w:r>
          </w:p>
        </w:tc>
        <w:tc>
          <w:tcPr>
            <w:tcW w:type="dxa" w:w="864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El equipo cuenta con un responsable de marketing y canales, una identidad visual definida y un mensaje central fácil de comunicar.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Relevante</w:t>
            </w:r>
          </w:p>
        </w:tc>
        <w:tc>
          <w:tcPr>
            <w:tcW w:type="dxa" w:w="864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La visibilidad digital facilita el acceso a decisores, prueba la claridad de la propuesta y reduce la dependencia de contactos individuales.</w:t>
            </w:r>
          </w:p>
        </w:tc>
      </w:tr>
      <w:tr>
        <w:tc>
          <w:tcPr>
            <w:tcW w:type="dxa" w:w="216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Temporal</w:t>
            </w:r>
          </w:p>
        </w:tc>
        <w:tc>
          <w:tcPr>
            <w:tcW w:type="dxa" w:w="864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Ejecutarlo del 1 de octubre al 23 de diciembre de 2026.</w:t>
            </w:r>
          </w:p>
        </w:tc>
      </w:tr>
    </w:tbl>
    <w:p/>
    <w:p>
      <w:r>
        <w:rPr>
          <w:b/>
        </w:rPr>
        <w:t xml:space="preserve">Justificación estratégica. </w:t>
      </w:r>
      <w:r>
        <w:t>Es importante para crear un canal propio de adquisición y educar al mercado sobre el problema de pagar y gestionar capacitación corporativa. Se espera aumentar el reconocimiento de marca y generar reuniones comerciales. Se necesitarán calendario editorial, piezas gráficas, testimonios o casos, métricas de Instagram y un mecanismo de respuesta rápida.</w:t>
      </w:r>
    </w:p>
    <w:p>
      <w:pPr>
        <w:pStyle w:val="Heading1"/>
        <w:spacing w:before="200" w:after="100"/>
      </w:pPr>
      <w:r>
        <w:t>5. Canal de comunicación: Instagram</w:t>
      </w:r>
    </w:p>
    <w:p>
      <w:r>
        <w:t>Se propone Instagram como canal inicial porque permite combinar identidad visual, contenido educativo, demostraciones breves y contacto directo con responsables de empresas. La plataforma funcionará como vitrina de marca y como canal de generación de prospectos, no como sustituto de la venta consultiva B2B.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920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Definición propuesta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Nombre del emprendimiento</w:t>
            </w:r>
          </w:p>
        </w:tc>
        <w:tc>
          <w:tcPr>
            <w:tcW w:type="dxa" w:w="79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Cursorg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Usuario sugerido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@cursorg.ve, sujeto a disponibilidad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Descripción del perfil</w:t>
            </w:r>
          </w:p>
        </w:tc>
        <w:tc>
          <w:tcPr>
            <w:tcW w:type="dxa" w:w="79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Capacitación corporativa sin barreras. Cursos especializados para equipos. Pago en moneda local. Seguimiento y certificados verificables. Solicita una demo.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Identidad visual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Azul Marino Profundo #0D2B4D, Azul Corporativo #1E5AA8, Gris Neutro #6E7882 y acento celeste #55C7E8; tipografía Montserrat; iconografía lineal y fotografías de profesionales reales.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Pilares de contenido</w:t>
            </w:r>
          </w:p>
        </w:tc>
        <w:tc>
          <w:tcPr>
            <w:tcW w:type="dxa" w:w="792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Educación empresarial, casos y resultados, explicación del producto, cultura de aprendizaje y llamados a solicitar una demostración.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Llamado a la acción</w:t>
            </w:r>
          </w:p>
        </w:tc>
        <w:tc>
          <w:tcPr>
            <w:tcW w:type="dxa" w:w="7920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“Solicita una demo para tu empresa” y “Síguenos para conocer cómo capacitar a tu equipo sin barreras”.</w:t>
            </w:r>
          </w:p>
        </w:tc>
      </w:tr>
    </w:tbl>
    <w:p/>
    <w:p>
      <w:pPr>
        <w:pStyle w:val="Heading2"/>
        <w:spacing w:before="200" w:after="100"/>
      </w:pPr>
      <w:r>
        <w:t>5.1 Pieza gráfica inicial</w:t>
      </w:r>
    </w:p>
    <w:p>
      <w:r>
        <w:t>La pieza gráfica propuesta es un flyer vertical para Instagram. Su objetivo es presentar de manera inmediata el beneficio central de Cursorg: formación empresarial en español y con operación en moneda local. La composición utiliza el azul marino como fondo de confianza, el celeste como acento de dinamismo y un llamado a seguir el canal. El archivo editable en formato SVG se entrega junto con este documento.</w:t>
      </w:r>
    </w:p>
    <w:p>
      <w:pPr>
        <w:jc w:val="center"/>
      </w:pPr>
      <w:r>
        <w:rPr>
          <w:i/>
        </w:rPr>
        <w:t>Pieza gráfica inicial: CURSORG_pieza_grafica_inicial.svg</w:t>
      </w:r>
    </w:p>
    <w:p>
      <w:pPr>
        <w:pStyle w:val="Heading1"/>
        <w:spacing w:before="200" w:after="100"/>
      </w:pPr>
      <w:r>
        <w:t>6. Video de enganche o video pitch de ventas</w:t>
      </w:r>
    </w:p>
    <w:p>
      <w:r>
        <w:t>Duración recomendada: entre 1 minuto 30 segundos y 2 minutos. El video debe grabarse en formato vertical para redes sociales, con una persona vocera del equipo y apoyos visuales de la plataforma, la pieza gráfica y escenas de capacitación empresarial.</w:t>
      </w:r>
    </w:p>
    <w:p>
      <w:pPr>
        <w:pStyle w:val="Heading2"/>
        <w:spacing w:before="200" w:after="100"/>
      </w:pPr>
      <w:r>
        <w:t>6.1 Guion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Tiempo aproximado</w:t>
            </w:r>
          </w:p>
        </w:tc>
        <w:tc>
          <w:tcPr>
            <w:tcW w:type="dxa" w:w="8784"/>
            <w:vAlign w:val="center"/>
            <w:shd w:fill="0D2B4D"/>
          </w:tcPr>
          <w:p>
            <w:pPr>
              <w:spacing w:after="40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Contenido y texto sugerido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0:00–0:15</w:t>
            </w:r>
          </w:p>
        </w:tc>
        <w:tc>
          <w:tcPr>
            <w:tcW w:type="dxa" w:w="878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Gancho: “¿Tu empresa necesita capacitar a su equipo, pero las plataformas internacionales son costosas, difíciles de pagar y poco adaptadas a nuestra realidad?”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0:15–0:35</w:t>
            </w:r>
          </w:p>
        </w:tc>
        <w:tc>
          <w:tcPr>
            <w:tcW w:type="dxa" w:w="8784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Problema: “Muchas organizaciones terminan pagando suscripciones en dólares, dependen de capacitaciones repetitivas o no pueden medir quién aprendió y qué competencias desarrolló.”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0:35–1:00</w:t>
            </w:r>
          </w:p>
        </w:tc>
        <w:tc>
          <w:tcPr>
            <w:tcW w:type="dxa" w:w="878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Presentación: “Somos Cursorg, una plataforma de capacitación corporativa B2B creada para empresas venezolanas y latinoamericanas. Ayudamos a formar equipos de manera organizada, accesible y medible.”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1:00–1:25</w:t>
            </w:r>
          </w:p>
        </w:tc>
        <w:tc>
          <w:tcPr>
            <w:tcW w:type="dxa" w:w="8784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Propuesta de valor: “Con Cursorg puedes asignar cursos por grupos, ofrecer contenidos especializados en industria, finanzas, liderazgo y habilidades digitales, monitorear el avance, emitir certificados verificables y pagar en moneda local.”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1:25–1:45</w:t>
            </w:r>
          </w:p>
        </w:tc>
        <w:tc>
          <w:tcPr>
            <w:tcW w:type="dxa" w:w="878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Beneficio: “Así, Recursos Humanos ahorra tiempo, los supervisores estandarizan la formación y la dirección obtiene evidencia del impacto de la capacitación.”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1:45–2:00</w:t>
            </w:r>
          </w:p>
        </w:tc>
        <w:tc>
          <w:tcPr>
            <w:tcW w:type="dxa" w:w="8784"/>
            <w:vAlign w:val="center"/>
          </w:tcPr>
          <w:p>
            <w:pPr>
              <w:spacing w:after="40"/>
            </w:pPr>
            <w:r/>
            <w:r>
              <w:rPr>
                <w:rFonts w:ascii="Montserrat" w:hAnsi="Montserrat"/>
                <w:b w:val="0"/>
                <w:color w:val="1F2933"/>
                <w:sz w:val="17"/>
              </w:rPr>
              <w:t>Llamado a la acción: “Capacitación corporativa sin barreras. Síguenos en Instagram como @cursorg.ve y escríbenos para solicitar una demo para tu empresa.”</w:t>
            </w:r>
          </w:p>
        </w:tc>
      </w:tr>
    </w:tbl>
    <w:p/>
    <w:p>
      <w:pPr>
        <w:pStyle w:val="Heading2"/>
        <w:spacing w:before="200" w:after="100"/>
      </w:pPr>
      <w:r>
        <w:t>6.2 Recomendaciones de producción</w:t>
      </w:r>
    </w:p>
    <w:p>
      <w:pPr>
        <w:pStyle w:val="ListBullet"/>
        <w:spacing w:after="60"/>
      </w:pPr>
      <w:r>
        <w:t>Utilizar formato vertical 9:16, buena iluminación y audio claro. La persona vocera debe hablar con seguridad y evitar leer de forma monótona.</w:t>
      </w:r>
    </w:p>
    <w:p>
      <w:pPr>
        <w:pStyle w:val="ListBullet"/>
        <w:spacing w:after="60"/>
      </w:pPr>
      <w:r>
        <w:t>Mostrar en pantalla palabras clave: “Pago local”, “Cursos especializados”, “Seguimiento” y “Certificados verificables”.</w:t>
      </w:r>
    </w:p>
    <w:p>
      <w:pPr>
        <w:pStyle w:val="ListBullet"/>
        <w:spacing w:after="60"/>
      </w:pPr>
      <w:r>
        <w:t>Mantener la duración entre 1 y 3 minutos. El problema debe aparecer durante los primeros 15 segundos.</w:t>
      </w:r>
    </w:p>
    <w:p>
      <w:pPr>
        <w:pStyle w:val="ListBullet"/>
        <w:spacing w:after="60"/>
      </w:pPr>
      <w:r>
        <w:t>Cerrar con el logotipo, el slogan, el usuario de Instagram y una instrucción concreta para solicitar la demo.</w:t>
      </w:r>
    </w:p>
    <w:p>
      <w:pPr>
        <w:pStyle w:val="Heading1"/>
        <w:spacing w:before="200" w:after="100"/>
      </w:pPr>
      <w:r>
        <w:t>7. Conclusión</w:t>
      </w:r>
    </w:p>
    <w:p>
      <w:r>
        <w:t>El Lienzo de Propuesta de Valor muestra que Cursorg responde a un problema específico y verificable: la dificultad de las empresas latinoamericanas para gestionar capacitación corporativa accesible, contextualizada y medible mediante soluciones que operen en moneda local. La propuesta no se limita a ofrecer cursos. Integra administración empresarial, seguimiento, certificación, soporte y una experiencia emocional basada en confianza, tranquilidad y progreso profesional.</w:t>
      </w:r>
    </w:p>
    <w:p>
      <w:r>
        <w:t>Los objetivos SMART convierten esta propuesta en un plan de validación concreto. La captación de empresas piloto probará la demanda; la finalización de cursos probará el valor de uso; y el canal de Instagram permitirá construir reconocimiento y generar nuevos contactos. En conjunto, estos elementos preparan a Cursorg para avanzar desde la definición estratégica hacia la prueba real del MVP.</w:t>
      </w:r>
    </w:p>
    <w:p>
      <w:pPr>
        <w:pStyle w:val="Heading1"/>
        <w:spacing w:before="200" w:after="100"/>
      </w:pPr>
      <w:r>
        <w:t>Referencias de trabajo</w:t>
      </w:r>
    </w:p>
    <w:p>
      <w:r>
        <w:t>Documento base proporcionado por el equipo: “CURSORG — Plan Estratégico, Fase 1: Descubrimiento, Identidad y Definición de la Oferta”, agosto de 2026.</w:t>
      </w:r>
    </w:p>
    <w:p>
      <w:r>
        <w:t>Documento de instrucciones proporcionado por la asignatura: “Asignación 2 — Llenado del Lienzo de Propuesta de Valor + Manejo de Emociones del Cliente; Definición de Objetivos SMART para tu Emprendimiento”, 2026.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>Cursorg · Asignación 2 · Formación de Emprendedores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ontserrat" w:hAnsi="Montserrat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0D2B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E5A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/>
      <w:b/>
      <w:bCs/>
      <w:color w:val="0D2B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b/>
      <w:color w:val="0D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