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4.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
    </w:p>
    <w:p>
      <w:pPr>
        <w:pStyle w:val="Normal"/>
        <w:spacing w:before="0" w:after="200"/>
        <w:jc w:val="left"/>
        <w:rPr/>
      </w:pPr>
      <w:r>
        <w:rPr>
          <w:rFonts w:eastAsia="Arial" w:cs="Arial"/>
          <w:b/>
          <w:bCs/>
          <w:color w:val="1F3A5F"/>
          <w:sz w:val="56"/>
          <w:szCs w:val="56"/>
        </w:rPr>
        <w:t>BUSINESSPLAN</w:t>
      </w:r>
    </w:p>
    <w:p>
      <w:pPr>
        <w:pStyle w:val="Normal"/>
        <w:spacing w:before="0" w:after="120"/>
        <w:jc w:val="left"/>
        <w:rPr/>
      </w:pPr>
      <w:r>
        <w:rPr>
          <w:rFonts w:eastAsia="Arial" w:cs="Arial"/>
          <w:b/>
          <w:bCs/>
          <w:sz w:val="40"/>
          <w:szCs w:val="40"/>
        </w:rPr>
        <w:t>No.1 Fitness &amp; HYROX Studio</w:t>
      </w:r>
    </w:p>
    <w:p>
      <w:pPr>
        <w:pStyle w:val="Normal"/>
        <w:spacing w:before="0" w:after="600"/>
        <w:jc w:val="left"/>
        <w:rPr/>
      </w:pPr>
      <w:r>
        <w:rPr>
          <w:rFonts w:eastAsia="Arial" w:cs="Arial"/>
          <w:color w:val="5A5A5A"/>
          <w:sz w:val="26"/>
          <w:szCs w:val="26"/>
        </w:rPr>
        <w:t>Fitness-, HYROX- und Wellnessstudio mit rund 2.000 m² in der Bodenseeregion (alternativ Region Stuttgart)</w:t>
      </w:r>
    </w:p>
    <w:p>
      <w:pPr>
        <w:pStyle w:val="Normal"/>
        <w:spacing w:before="0" w:after="80"/>
        <w:jc w:val="left"/>
        <w:rPr/>
      </w:pPr>
      <w:r>
        <w:rPr>
          <w:rFonts w:eastAsia="Arial" w:cs="Arial"/>
          <w:sz w:val="24"/>
          <w:szCs w:val="24"/>
        </w:rPr>
        <w:t xml:space="preserve">Gründer und Geschäftsführer: </w:t>
      </w:r>
      <w:r>
        <w:rPr>
          <w:rFonts w:eastAsia="Arial" w:cs="Arial"/>
          <w:b/>
          <w:bCs/>
          <w:sz w:val="24"/>
          <w:szCs w:val="24"/>
        </w:rPr>
        <w:t>[Vorname Nachname]</w:t>
      </w:r>
    </w:p>
    <w:p>
      <w:pPr>
        <w:pStyle w:val="Normal"/>
        <w:spacing w:before="0" w:after="80"/>
        <w:jc w:val="left"/>
        <w:rPr/>
      </w:pPr>
      <w:r>
        <w:rPr>
          <w:rFonts w:eastAsia="Arial" w:cs="Arial"/>
          <w:sz w:val="24"/>
          <w:szCs w:val="24"/>
        </w:rPr>
        <w:t>Rechtsform: GmbH (in Gründung)</w:t>
      </w:r>
    </w:p>
    <w:p>
      <w:pPr>
        <w:pStyle w:val="Normal"/>
        <w:spacing w:before="0" w:after="80"/>
        <w:jc w:val="left"/>
        <w:rPr/>
      </w:pPr>
      <w:r>
        <w:rPr>
          <w:rFonts w:eastAsia="Arial" w:cs="Arial"/>
          <w:sz w:val="24"/>
          <w:szCs w:val="24"/>
        </w:rPr>
        <w:t>Standort: Bodenseeregion (Bodenseekreis / Landkreis Konstanz / Landkreis Ravensburg), alternativ Region Stuttgart</w:t>
      </w:r>
    </w:p>
    <w:p>
      <w:pPr>
        <w:pStyle w:val="Normal"/>
        <w:spacing w:before="0" w:after="80"/>
        <w:jc w:val="left"/>
        <w:rPr/>
      </w:pPr>
      <w:r>
        <w:rPr>
          <w:rFonts w:eastAsia="Arial" w:cs="Arial"/>
          <w:sz w:val="24"/>
          <w:szCs w:val="24"/>
        </w:rPr>
        <w:t>Geplante Eröffnung: 1. September 2027</w:t>
      </w:r>
    </w:p>
    <w:p>
      <w:pPr>
        <w:pStyle w:val="Normal"/>
        <w:spacing w:before="0" w:after="80"/>
        <w:jc w:val="left"/>
        <w:rPr/>
      </w:pPr>
      <w:r>
        <w:rPr>
          <w:rFonts w:eastAsia="Arial" w:cs="Arial"/>
          <w:sz w:val="24"/>
          <w:szCs w:val="24"/>
        </w:rPr>
        <w:t xml:space="preserve">Kapitalbedarf: </w:t>
      </w:r>
      <w:r>
        <w:rPr>
          <w:rFonts w:eastAsia="Arial" w:cs="Arial"/>
          <w:b/>
          <w:bCs/>
          <w:sz w:val="24"/>
          <w:szCs w:val="24"/>
        </w:rPr>
        <w:t>2.652.583 € (inkl. Anlaufreserve für 24 Monate)</w:t>
      </w:r>
    </w:p>
    <w:p>
      <w:pPr>
        <w:pStyle w:val="Normal"/>
        <w:spacing w:before="0" w:after="1200"/>
        <w:jc w:val="left"/>
        <w:rPr/>
      </w:pPr>
      <w:r>
        <w:rPr>
          <w:rFonts w:eastAsia="Arial" w:cs="Arial"/>
          <w:sz w:val="24"/>
          <w:szCs w:val="24"/>
        </w:rPr>
        <w:t>Stand: 27. September 2026 (Version 1.0)</w:t>
      </w:r>
    </w:p>
    <w:p>
      <w:pPr>
        <w:pStyle w:val="Normal"/>
        <w:spacing w:before="0" w:after="80"/>
        <w:jc w:val="left"/>
        <w:rPr/>
      </w:pPr>
      <w:r>
        <w:rPr>
          <w:rFonts w:eastAsia="Arial" w:cs="Arial"/>
          <w:color w:val="5A5A5A"/>
          <w:sz w:val="20"/>
          <w:szCs w:val="20"/>
        </w:rPr>
        <w:t>Kontakt: [Straße, PLZ Ort · Telefon · E-Mail]</w:t>
      </w:r>
    </w:p>
    <w:p>
      <w:pPr>
        <w:pStyle w:val="Normal"/>
        <w:spacing w:before="0" w:after="80"/>
        <w:jc w:val="both"/>
        <w:rPr/>
      </w:pPr>
      <w:r>
        <w:rPr>
          <w:rFonts w:eastAsia="Arial" w:cs="Arial"/>
          <w:color w:val="5A5A5A"/>
          <w:sz w:val="18"/>
          <w:szCs w:val="18"/>
        </w:rPr>
        <w:t>Vertraulichkeitshinweis: Dieser Businessplan enthält vertrauliche Informationen und ist ausschließlich für die Prüfung einer Finanzierung durch die adressierten Kreditinstitute und Förderbanken bestimmt. Eine Weitergabe an Dritte bedarf der Zustimmung des Verfassers.</w:t>
      </w:r>
    </w:p>
    <w:p>
      <w:pPr>
        <w:sectPr>
          <w:type w:val="nextPage"/>
          <w:pgSz w:w="11906" w:h="16838"/>
          <w:pgMar w:left="1134" w:right="1134" w:gutter="0" w:header="0" w:top="1134" w:footer="0" w:bottom="1134"/>
          <w:pgNumType w:fmt="decimal"/>
          <w:formProt w:val="false"/>
          <w:textDirection w:val="lrTb"/>
          <w:docGrid w:type="default" w:linePitch="360" w:charSpace="4096"/>
        </w:sectPr>
        <w:pStyle w:val="Normal"/>
        <w:jc w:val="both"/>
        <w:rPr/>
      </w:pPr>
      <w:r>
        <w:rPr>
          <w:rFonts w:eastAsia="Arial" w:cs="Arial"/>
          <w:color w:val="5A5A5A"/>
          <w:sz w:val="18"/>
          <w:szCs w:val="18"/>
        </w:rPr>
        <w:t>Grundlage und Zahlenherkunft: Alle Planzahlen (Investition, Finanzierung, Mitglieder, Umsatz, Kosten, Liquidität, Rentabilität, Szenarien) stammen aus der beiliegenden Excel-Planrechnung Finanzplan_No1.xlsx (Blatt „Annahmen“ mit allen Eingaben); Flächen, Geräteliste, Kapazität und Regularienprüfung aus dem Planungsprojekt „No.1 (überarbeitet)“ der Planungssoftware GymPlanner; Markt-, Förder-, Betriebs- und Standortdaten aus den in Anhang I aufgeführten Quellen (Stand September 2026). Alle Beträge netto in Euro, Mitgliedsbeiträge brutto inklusive 19 % Umsatzsteuer.</w:t>
      </w:r>
      <w:r>
        <w:br w:type="page"/>
      </w:r>
    </w:p>
    <w:p>
      <w:pPr>
        <w:pStyle w:val="Normal"/>
        <w:spacing w:before="0" w:after="240"/>
        <w:rPr/>
      </w:pPr>
      <w:r>
        <w:rPr>
          <w:rFonts w:eastAsia="Arial" w:cs="Arial"/>
          <w:b/>
          <w:bCs/>
          <w:color w:val="1F3A5F"/>
          <w:sz w:val="32"/>
          <w:szCs w:val="32"/>
        </w:rPr>
        <w:t>Inhaltsverzeichnis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21101_3809407278">
            <w:r>
              <w:rPr>
                <w:rStyle w:val="IndexLink"/>
              </w:rPr>
              <w:t>1 Zusammenfassung (Executive Summary)</w:t>
              <w:tab/>
              <w:t>5</w:t>
            </w:r>
          </w:hyperlink>
        </w:p>
        <w:p>
          <w:pPr>
            <w:pStyle w:val="TOC2"/>
            <w:tabs>
              <w:tab w:val="clear" w:pos="9355"/>
              <w:tab w:val="right" w:pos="9637" w:leader="dot"/>
            </w:tabs>
            <w:rPr/>
          </w:pPr>
          <w:hyperlink w:anchor="__RefHeading___Toc21103_3809407278">
            <w:r>
              <w:rPr>
                <w:rStyle w:val="IndexLink"/>
              </w:rPr>
              <w:t>1.1 Vorhaben und Gründer</w:t>
              <w:tab/>
              <w:t>5</w:t>
            </w:r>
          </w:hyperlink>
        </w:p>
        <w:p>
          <w:pPr>
            <w:pStyle w:val="TOC2"/>
            <w:tabs>
              <w:tab w:val="clear" w:pos="9355"/>
              <w:tab w:val="right" w:pos="9637" w:leader="dot"/>
            </w:tabs>
            <w:rPr/>
          </w:pPr>
          <w:hyperlink w:anchor="__RefHeading___Toc21105_3809407278">
            <w:r>
              <w:rPr>
                <w:rStyle w:val="IndexLink"/>
              </w:rPr>
              <w:t>1.2 Konzept und Alleinstellung</w:t>
              <w:tab/>
              <w:t>5</w:t>
            </w:r>
          </w:hyperlink>
        </w:p>
        <w:p>
          <w:pPr>
            <w:pStyle w:val="TOC2"/>
            <w:tabs>
              <w:tab w:val="clear" w:pos="9355"/>
              <w:tab w:val="right" w:pos="9637" w:leader="dot"/>
            </w:tabs>
            <w:rPr/>
          </w:pPr>
          <w:hyperlink w:anchor="__RefHeading___Toc21107_3809407278">
            <w:r>
              <w:rPr>
                <w:rStyle w:val="IndexLink"/>
              </w:rPr>
              <w:t>1.3 Standort und Markt</w:t>
              <w:tab/>
              <w:t>5</w:t>
            </w:r>
          </w:hyperlink>
        </w:p>
        <w:p>
          <w:pPr>
            <w:pStyle w:val="TOC2"/>
            <w:tabs>
              <w:tab w:val="clear" w:pos="9355"/>
              <w:tab w:val="right" w:pos="9637" w:leader="dot"/>
            </w:tabs>
            <w:rPr/>
          </w:pPr>
          <w:hyperlink w:anchor="__RefHeading___Toc21109_3809407278">
            <w:r>
              <w:rPr>
                <w:rStyle w:val="IndexLink"/>
              </w:rPr>
              <w:t>1.4 Kapitalbedarf und Finanzierung</w:t>
              <w:tab/>
              <w:t>5</w:t>
            </w:r>
          </w:hyperlink>
        </w:p>
        <w:p>
          <w:pPr>
            <w:pStyle w:val="TOC2"/>
            <w:tabs>
              <w:tab w:val="clear" w:pos="9355"/>
              <w:tab w:val="right" w:pos="9637" w:leader="dot"/>
            </w:tabs>
            <w:rPr/>
          </w:pPr>
          <w:hyperlink w:anchor="__RefHeading___Toc21111_3809407278">
            <w:r>
              <w:rPr>
                <w:rStyle w:val="IndexLink"/>
              </w:rPr>
              <w:t>1.5 Planzahlen und Break-even</w:t>
              <w:tab/>
              <w:t>6</w:t>
            </w:r>
          </w:hyperlink>
        </w:p>
        <w:p>
          <w:pPr>
            <w:pStyle w:val="TOC2"/>
            <w:tabs>
              <w:tab w:val="clear" w:pos="9355"/>
              <w:tab w:val="right" w:pos="9637" w:leader="dot"/>
            </w:tabs>
            <w:rPr/>
          </w:pPr>
          <w:hyperlink w:anchor="__RefHeading___Toc21113_3809407278">
            <w:r>
              <w:rPr>
                <w:rStyle w:val="IndexLink"/>
              </w:rPr>
              <w:t>1.6 Wesentliche Risiken und Gegenmaßnahmen</w:t>
              <w:tab/>
              <w:t>6</w:t>
            </w:r>
          </w:hyperlink>
        </w:p>
        <w:p>
          <w:pPr>
            <w:pStyle w:val="TOC2"/>
            <w:tabs>
              <w:tab w:val="clear" w:pos="9355"/>
              <w:tab w:val="right" w:pos="9637" w:leader="dot"/>
            </w:tabs>
            <w:rPr/>
          </w:pPr>
          <w:hyperlink w:anchor="__RefHeading___Toc21115_3809407278">
            <w:r>
              <w:rPr>
                <w:rStyle w:val="IndexLink"/>
              </w:rPr>
              <w:t>1.7 Bitte an die Hausbank</w:t>
              <w:tab/>
              <w:t>6</w:t>
            </w:r>
          </w:hyperlink>
        </w:p>
        <w:p>
          <w:pPr>
            <w:pStyle w:val="TOC1"/>
            <w:tabs>
              <w:tab w:val="clear" w:pos="9638"/>
              <w:tab w:val="right" w:pos="9637" w:leader="dot"/>
            </w:tabs>
            <w:rPr/>
          </w:pPr>
          <w:hyperlink w:anchor="__RefHeading___Toc21117_3809407278">
            <w:r>
              <w:rPr>
                <w:rStyle w:val="IndexLink"/>
              </w:rPr>
              <w:t>2 Gründerperson und Team</w:t>
              <w:tab/>
              <w:t>8</w:t>
            </w:r>
          </w:hyperlink>
        </w:p>
        <w:p>
          <w:pPr>
            <w:pStyle w:val="TOC2"/>
            <w:tabs>
              <w:tab w:val="clear" w:pos="9355"/>
              <w:tab w:val="right" w:pos="9637" w:leader="dot"/>
            </w:tabs>
            <w:rPr/>
          </w:pPr>
          <w:hyperlink w:anchor="__RefHeading___Toc21119_3809407278">
            <w:r>
              <w:rPr>
                <w:rStyle w:val="IndexLink"/>
              </w:rPr>
              <w:t>2.1 Gründerprofil</w:t>
              <w:tab/>
              <w:t>8</w:t>
            </w:r>
          </w:hyperlink>
        </w:p>
        <w:p>
          <w:pPr>
            <w:pStyle w:val="TOC2"/>
            <w:tabs>
              <w:tab w:val="clear" w:pos="9355"/>
              <w:tab w:val="right" w:pos="9637" w:leader="dot"/>
            </w:tabs>
            <w:rPr/>
          </w:pPr>
          <w:hyperlink w:anchor="__RefHeading___Toc21121_3809407278">
            <w:r>
              <w:rPr>
                <w:rStyle w:val="IndexLink"/>
              </w:rPr>
              <w:t>2.2 Motivation und Zielsetzung</w:t>
              <w:tab/>
              <w:t>8</w:t>
            </w:r>
          </w:hyperlink>
        </w:p>
        <w:p>
          <w:pPr>
            <w:pStyle w:val="TOC2"/>
            <w:tabs>
              <w:tab w:val="clear" w:pos="9355"/>
              <w:tab w:val="right" w:pos="9637" w:leader="dot"/>
            </w:tabs>
            <w:rPr/>
          </w:pPr>
          <w:hyperlink w:anchor="__RefHeading___Toc21123_3809407278">
            <w:r>
              <w:rPr>
                <w:rStyle w:val="IndexLink"/>
              </w:rPr>
              <w:t>2.3 Nachweise, die dem Plan beizulegen sind</w:t>
              <w:tab/>
              <w:t>8</w:t>
            </w:r>
          </w:hyperlink>
        </w:p>
        <w:p>
          <w:pPr>
            <w:pStyle w:val="TOC2"/>
            <w:tabs>
              <w:tab w:val="clear" w:pos="9355"/>
              <w:tab w:val="right" w:pos="9637" w:leader="dot"/>
            </w:tabs>
            <w:rPr/>
          </w:pPr>
          <w:hyperlink w:anchor="__RefHeading___Toc21125_3809407278">
            <w:r>
              <w:rPr>
                <w:rStyle w:val="IndexLink"/>
              </w:rPr>
              <w:t>2.4 Das junge Alter des Gründers als Risiko und die Antwort darauf</w:t>
              <w:tab/>
              <w:t>9</w:t>
            </w:r>
          </w:hyperlink>
        </w:p>
        <w:p>
          <w:pPr>
            <w:pStyle w:val="TOC2"/>
            <w:tabs>
              <w:tab w:val="clear" w:pos="9355"/>
              <w:tab w:val="right" w:pos="9637" w:leader="dot"/>
            </w:tabs>
            <w:rPr/>
          </w:pPr>
          <w:hyperlink w:anchor="__RefHeading___Toc21127_3809407278">
            <w:r>
              <w:rPr>
                <w:rStyle w:val="IndexLink"/>
              </w:rPr>
              <w:t>2.5 Team und externe Partner</w:t>
              <w:tab/>
              <w:t>10</w:t>
            </w:r>
          </w:hyperlink>
        </w:p>
        <w:p>
          <w:pPr>
            <w:pStyle w:val="TOC2"/>
            <w:tabs>
              <w:tab w:val="clear" w:pos="9355"/>
              <w:tab w:val="right" w:pos="9637" w:leader="dot"/>
            </w:tabs>
            <w:rPr/>
          </w:pPr>
          <w:hyperlink w:anchor="__RefHeading___Toc21129_3809407278">
            <w:r>
              <w:rPr>
                <w:rStyle w:val="IndexLink"/>
              </w:rPr>
              <w:t>2.6 Weiterbildung des Gründers</w:t>
              <w:tab/>
              <w:t>11</w:t>
            </w:r>
          </w:hyperlink>
        </w:p>
        <w:p>
          <w:pPr>
            <w:pStyle w:val="TOC2"/>
            <w:tabs>
              <w:tab w:val="clear" w:pos="9355"/>
              <w:tab w:val="right" w:pos="9637" w:leader="dot"/>
            </w:tabs>
            <w:rPr/>
          </w:pPr>
          <w:hyperlink w:anchor="__RefHeading___Toc21131_3809407278">
            <w:r>
              <w:rPr>
                <w:rStyle w:val="IndexLink"/>
              </w:rPr>
              <w:t>2.7 Private Lebenshaltung des Gründers</w:t>
              <w:tab/>
              <w:t>11</w:t>
            </w:r>
          </w:hyperlink>
        </w:p>
        <w:p>
          <w:pPr>
            <w:pStyle w:val="TOC2"/>
            <w:tabs>
              <w:tab w:val="clear" w:pos="9355"/>
              <w:tab w:val="right" w:pos="9637" w:leader="dot"/>
            </w:tabs>
            <w:rPr/>
          </w:pPr>
          <w:hyperlink w:anchor="__RefHeading___Toc21133_3809407278">
            <w:r>
              <w:rPr>
                <w:rStyle w:val="IndexLink"/>
              </w:rPr>
              <w:t>2.8 Persönliche Haftung, Bürgschaft und Rechtsform</w:t>
              <w:tab/>
              <w:t>12</w:t>
            </w:r>
          </w:hyperlink>
        </w:p>
        <w:p>
          <w:pPr>
            <w:pStyle w:val="TOC1"/>
            <w:tabs>
              <w:tab w:val="clear" w:pos="9638"/>
              <w:tab w:val="right" w:pos="9637" w:leader="dot"/>
            </w:tabs>
            <w:rPr/>
          </w:pPr>
          <w:hyperlink w:anchor="__RefHeading___Toc21135_3809407278">
            <w:r>
              <w:rPr>
                <w:rStyle w:val="IndexLink"/>
              </w:rPr>
              <w:t>3 Geschäftsidee, Leistungsangebot und Studiokonzept</w:t>
              <w:tab/>
              <w:t>14</w:t>
            </w:r>
          </w:hyperlink>
        </w:p>
        <w:p>
          <w:pPr>
            <w:pStyle w:val="TOC2"/>
            <w:tabs>
              <w:tab w:val="clear" w:pos="9355"/>
              <w:tab w:val="right" w:pos="9637" w:leader="dot"/>
            </w:tabs>
            <w:rPr/>
          </w:pPr>
          <w:hyperlink w:anchor="__RefHeading___Toc21137_3809407278">
            <w:r>
              <w:rPr>
                <w:rStyle w:val="IndexLink"/>
              </w:rPr>
              <w:t>3.1 Geschäftsidee und Positionierung</w:t>
              <w:tab/>
              <w:t>14</w:t>
            </w:r>
          </w:hyperlink>
        </w:p>
        <w:p>
          <w:pPr>
            <w:pStyle w:val="TOC2"/>
            <w:tabs>
              <w:tab w:val="clear" w:pos="9355"/>
              <w:tab w:val="right" w:pos="9637" w:leader="dot"/>
            </w:tabs>
            <w:rPr/>
          </w:pPr>
          <w:hyperlink w:anchor="__RefHeading___Toc21139_3809407278">
            <w:r>
              <w:rPr>
                <w:rStyle w:val="IndexLink"/>
              </w:rPr>
              <w:t>3.2 Studiokonzept und Flächenprogramm</w:t>
              <w:tab/>
              <w:t>15</w:t>
            </w:r>
          </w:hyperlink>
        </w:p>
        <w:p>
          <w:pPr>
            <w:pStyle w:val="TOC2"/>
            <w:tabs>
              <w:tab w:val="clear" w:pos="9355"/>
              <w:tab w:val="right" w:pos="9637" w:leader="dot"/>
            </w:tabs>
            <w:rPr/>
          </w:pPr>
          <w:hyperlink w:anchor="__RefHeading___Toc21141_3809407278">
            <w:r>
              <w:rPr>
                <w:rStyle w:val="IndexLink"/>
              </w:rPr>
              <w:t>3.3 Leistungsangebot je Bereich</w:t>
              <w:tab/>
              <w:t>17</w:t>
            </w:r>
          </w:hyperlink>
        </w:p>
        <w:p>
          <w:pPr>
            <w:pStyle w:val="TOC2"/>
            <w:tabs>
              <w:tab w:val="clear" w:pos="9355"/>
              <w:tab w:val="right" w:pos="9637" w:leader="dot"/>
            </w:tabs>
            <w:rPr/>
          </w:pPr>
          <w:hyperlink w:anchor="__RefHeading___Toc21143_3809407278">
            <w:r>
              <w:rPr>
                <w:rStyle w:val="IndexLink"/>
              </w:rPr>
              <w:t>3.3.1 Gerätegestütztes Krafttraining</w:t>
              <w:tab/>
              <w:t>17</w:t>
            </w:r>
          </w:hyperlink>
        </w:p>
        <w:p>
          <w:pPr>
            <w:pStyle w:val="TOC2"/>
            <w:tabs>
              <w:tab w:val="clear" w:pos="9355"/>
              <w:tab w:val="right" w:pos="9637" w:leader="dot"/>
            </w:tabs>
            <w:rPr/>
          </w:pPr>
          <w:hyperlink w:anchor="__RefHeading___Toc21145_3809407278">
            <w:r>
              <w:rPr>
                <w:rStyle w:val="IndexLink"/>
              </w:rPr>
              <w:t>3.3.2 Freihantelbereich</w:t>
              <w:tab/>
              <w:t>17</w:t>
            </w:r>
          </w:hyperlink>
        </w:p>
        <w:p>
          <w:pPr>
            <w:pStyle w:val="TOC2"/>
            <w:tabs>
              <w:tab w:val="clear" w:pos="9355"/>
              <w:tab w:val="right" w:pos="9637" w:leader="dot"/>
            </w:tabs>
            <w:rPr/>
          </w:pPr>
          <w:hyperlink w:anchor="__RefHeading___Toc21147_3809407278">
            <w:r>
              <w:rPr>
                <w:rStyle w:val="IndexLink"/>
              </w:rPr>
              <w:t>3.3.3 Cardiobereich</w:t>
              <w:tab/>
              <w:t>18</w:t>
            </w:r>
          </w:hyperlink>
        </w:p>
        <w:p>
          <w:pPr>
            <w:pStyle w:val="TOC2"/>
            <w:tabs>
              <w:tab w:val="clear" w:pos="9355"/>
              <w:tab w:val="right" w:pos="9637" w:leader="dot"/>
            </w:tabs>
            <w:rPr/>
          </w:pPr>
          <w:hyperlink w:anchor="__RefHeading___Toc21149_3809407278">
            <w:r>
              <w:rPr>
                <w:rStyle w:val="IndexLink"/>
              </w:rPr>
              <w:t>3.3.4 HYROX-Zone</w:t>
              <w:tab/>
              <w:t>18</w:t>
            </w:r>
          </w:hyperlink>
        </w:p>
        <w:p>
          <w:pPr>
            <w:pStyle w:val="TOC2"/>
            <w:tabs>
              <w:tab w:val="clear" w:pos="9355"/>
              <w:tab w:val="right" w:pos="9637" w:leader="dot"/>
            </w:tabs>
            <w:rPr/>
          </w:pPr>
          <w:hyperlink w:anchor="__RefHeading___Toc21151_3809407278">
            <w:r>
              <w:rPr>
                <w:rStyle w:val="IndexLink"/>
              </w:rPr>
              <w:t>3.3.5 Kursraum und Functional-Bereich</w:t>
              <w:tab/>
              <w:t>18</w:t>
            </w:r>
          </w:hyperlink>
        </w:p>
        <w:p>
          <w:pPr>
            <w:pStyle w:val="TOC2"/>
            <w:tabs>
              <w:tab w:val="clear" w:pos="9355"/>
              <w:tab w:val="right" w:pos="9637" w:leader="dot"/>
            </w:tabs>
            <w:rPr/>
          </w:pPr>
          <w:hyperlink w:anchor="__RefHeading___Toc21153_3809407278">
            <w:r>
              <w:rPr>
                <w:rStyle w:val="IndexLink"/>
              </w:rPr>
              <w:t>3.3.6 Wellness und Regeneration</w:t>
              <w:tab/>
              <w:t>19</w:t>
            </w:r>
          </w:hyperlink>
        </w:p>
        <w:p>
          <w:pPr>
            <w:pStyle w:val="TOC2"/>
            <w:tabs>
              <w:tab w:val="clear" w:pos="9355"/>
              <w:tab w:val="right" w:pos="9637" w:leader="dot"/>
            </w:tabs>
            <w:rPr/>
          </w:pPr>
          <w:hyperlink w:anchor="__RefHeading___Toc21155_3809407278">
            <w:r>
              <w:rPr>
                <w:rStyle w:val="IndexLink"/>
              </w:rPr>
              <w:t>3.3.7 Umkleiden, Sanitär und Empfang</w:t>
              <w:tab/>
              <w:t>19</w:t>
            </w:r>
          </w:hyperlink>
        </w:p>
        <w:p>
          <w:pPr>
            <w:pStyle w:val="TOC2"/>
            <w:tabs>
              <w:tab w:val="clear" w:pos="9355"/>
              <w:tab w:val="right" w:pos="9637" w:leader="dot"/>
            </w:tabs>
            <w:rPr/>
          </w:pPr>
          <w:hyperlink w:anchor="__RefHeading___Toc21157_3809407278">
            <w:r>
              <w:rPr>
                <w:rStyle w:val="IndexLink"/>
              </w:rPr>
              <w:t>3.4 Öffnungszeiten und Betreuungsmodell</w:t>
              <w:tab/>
              <w:t>19</w:t>
            </w:r>
          </w:hyperlink>
        </w:p>
        <w:p>
          <w:pPr>
            <w:pStyle w:val="TOC2"/>
            <w:tabs>
              <w:tab w:val="clear" w:pos="9355"/>
              <w:tab w:val="right" w:pos="9637" w:leader="dot"/>
            </w:tabs>
            <w:rPr/>
          </w:pPr>
          <w:hyperlink w:anchor="__RefHeading___Toc21159_3809407278">
            <w:r>
              <w:rPr>
                <w:rStyle w:val="IndexLink"/>
              </w:rPr>
              <w:t>3.5 Tarife und Preispositionierung</w:t>
              <w:tab/>
              <w:t>20</w:t>
            </w:r>
          </w:hyperlink>
        </w:p>
        <w:p>
          <w:pPr>
            <w:pStyle w:val="TOC2"/>
            <w:tabs>
              <w:tab w:val="clear" w:pos="9355"/>
              <w:tab w:val="right" w:pos="9637" w:leader="dot"/>
            </w:tabs>
            <w:rPr/>
          </w:pPr>
          <w:hyperlink w:anchor="__RefHeading___Toc21161_3809407278">
            <w:r>
              <w:rPr>
                <w:rStyle w:val="IndexLink"/>
              </w:rPr>
              <w:t>3.6 Zusatzleistungen</w:t>
              <w:tab/>
              <w:t>21</w:t>
            </w:r>
          </w:hyperlink>
        </w:p>
        <w:p>
          <w:pPr>
            <w:pStyle w:val="TOC2"/>
            <w:tabs>
              <w:tab w:val="clear" w:pos="9355"/>
              <w:tab w:val="right" w:pos="9637" w:leader="dot"/>
            </w:tabs>
            <w:rPr/>
          </w:pPr>
          <w:hyperlink w:anchor="__RefHeading___Toc21163_3809407278">
            <w:r>
              <w:rPr>
                <w:rStyle w:val="IndexLink"/>
              </w:rPr>
              <w:t>3.7 Digitalisierung: Studiosoftware, App und Zutritt</w:t>
              <w:tab/>
              <w:t>21</w:t>
            </w:r>
          </w:hyperlink>
        </w:p>
        <w:p>
          <w:pPr>
            <w:pStyle w:val="TOC2"/>
            <w:tabs>
              <w:tab w:val="clear" w:pos="9355"/>
              <w:tab w:val="right" w:pos="9637" w:leader="dot"/>
            </w:tabs>
            <w:rPr/>
          </w:pPr>
          <w:hyperlink w:anchor="__RefHeading___Toc21165_3809407278">
            <w:r>
              <w:rPr>
                <w:rStyle w:val="IndexLink"/>
              </w:rPr>
              <w:t>3.8 Qualität und Herkunft der Ausstattung</w:t>
              <w:tab/>
              <w:t>22</w:t>
            </w:r>
          </w:hyperlink>
        </w:p>
        <w:p>
          <w:pPr>
            <w:pStyle w:val="TOC2"/>
            <w:tabs>
              <w:tab w:val="clear" w:pos="9355"/>
              <w:tab w:val="right" w:pos="9637" w:leader="dot"/>
            </w:tabs>
            <w:rPr/>
          </w:pPr>
          <w:hyperlink w:anchor="__RefHeading___Toc21167_3809407278">
            <w:r>
              <w:rPr>
                <w:rStyle w:val="IndexLink"/>
              </w:rPr>
              <w:t>3.9 Kapazität und Ziel-Mitgliederbestand</w:t>
              <w:tab/>
              <w:t>23</w:t>
            </w:r>
          </w:hyperlink>
        </w:p>
        <w:p>
          <w:pPr>
            <w:pStyle w:val="TOC1"/>
            <w:tabs>
              <w:tab w:val="clear" w:pos="9638"/>
              <w:tab w:val="right" w:pos="9637" w:leader="dot"/>
            </w:tabs>
            <w:rPr/>
          </w:pPr>
          <w:hyperlink w:anchor="__RefHeading___Toc21169_3809407278">
            <w:r>
              <w:rPr>
                <w:rStyle w:val="IndexLink"/>
              </w:rPr>
              <w:t>4 Markt und Wettbewerb</w:t>
              <w:tab/>
              <w:t>24</w:t>
            </w:r>
          </w:hyperlink>
        </w:p>
        <w:p>
          <w:pPr>
            <w:pStyle w:val="TOC2"/>
            <w:tabs>
              <w:tab w:val="clear" w:pos="9355"/>
              <w:tab w:val="right" w:pos="9637" w:leader="dot"/>
            </w:tabs>
            <w:rPr/>
          </w:pPr>
          <w:hyperlink w:anchor="__RefHeading___Toc21171_3809407278">
            <w:r>
              <w:rPr>
                <w:rStyle w:val="IndexLink"/>
              </w:rPr>
              <w:t>4.1 Fitnessmarkt Deutschland</w:t>
              <w:tab/>
              <w:t>24</w:t>
            </w:r>
          </w:hyperlink>
        </w:p>
        <w:p>
          <w:pPr>
            <w:pStyle w:val="TOC2"/>
            <w:tabs>
              <w:tab w:val="clear" w:pos="9355"/>
              <w:tab w:val="right" w:pos="9637" w:leader="dot"/>
            </w:tabs>
            <w:rPr/>
          </w:pPr>
          <w:hyperlink w:anchor="__RefHeading___Toc21173_3809407278">
            <w:r>
              <w:rPr>
                <w:rStyle w:val="IndexLink"/>
              </w:rPr>
              <w:t>4.2 Trends</w:t>
              <w:tab/>
              <w:t>25</w:t>
            </w:r>
          </w:hyperlink>
        </w:p>
        <w:p>
          <w:pPr>
            <w:pStyle w:val="TOC2"/>
            <w:tabs>
              <w:tab w:val="clear" w:pos="9355"/>
              <w:tab w:val="right" w:pos="9637" w:leader="dot"/>
            </w:tabs>
            <w:rPr/>
          </w:pPr>
          <w:hyperlink w:anchor="__RefHeading___Toc21175_3809407278">
            <w:r>
              <w:rPr>
                <w:rStyle w:val="IndexLink"/>
              </w:rPr>
              <w:t>4.3 Zielgruppen</w:t>
              <w:tab/>
              <w:t>26</w:t>
            </w:r>
          </w:hyperlink>
        </w:p>
        <w:p>
          <w:pPr>
            <w:pStyle w:val="TOC2"/>
            <w:tabs>
              <w:tab w:val="clear" w:pos="9355"/>
              <w:tab w:val="right" w:pos="9637" w:leader="dot"/>
            </w:tabs>
            <w:rPr/>
          </w:pPr>
          <w:hyperlink w:anchor="__RefHeading___Toc21177_3809407278">
            <w:r>
              <w:rPr>
                <w:rStyle w:val="IndexLink"/>
              </w:rPr>
              <w:t>4.4 Nachfrage im Einzugsgebiet</w:t>
              <w:tab/>
              <w:t>27</w:t>
            </w:r>
          </w:hyperlink>
        </w:p>
        <w:p>
          <w:pPr>
            <w:pStyle w:val="TOC2"/>
            <w:tabs>
              <w:tab w:val="clear" w:pos="9355"/>
              <w:tab w:val="right" w:pos="9637" w:leader="dot"/>
            </w:tabs>
            <w:rPr/>
          </w:pPr>
          <w:hyperlink w:anchor="__RefHeading___Toc21179_3809407278">
            <w:r>
              <w:rPr>
                <w:rStyle w:val="IndexLink"/>
              </w:rPr>
              <w:t>4.5 Wettbewerb</w:t>
              <w:tab/>
              <w:t>28</w:t>
            </w:r>
          </w:hyperlink>
        </w:p>
        <w:p>
          <w:pPr>
            <w:pStyle w:val="TOC2"/>
            <w:tabs>
              <w:tab w:val="clear" w:pos="9355"/>
              <w:tab w:val="right" w:pos="9637" w:leader="dot"/>
            </w:tabs>
            <w:rPr/>
          </w:pPr>
          <w:hyperlink w:anchor="__RefHeading___Toc21181_3809407278">
            <w:r>
              <w:rPr>
                <w:rStyle w:val="IndexLink"/>
              </w:rPr>
              <w:t>4.6 Positionierung</w:t>
              <w:tab/>
              <w:t>30</w:t>
            </w:r>
          </w:hyperlink>
        </w:p>
        <w:p>
          <w:pPr>
            <w:pStyle w:val="TOC2"/>
            <w:tabs>
              <w:tab w:val="clear" w:pos="9355"/>
              <w:tab w:val="right" w:pos="9637" w:leader="dot"/>
            </w:tabs>
            <w:rPr/>
          </w:pPr>
          <w:hyperlink w:anchor="__RefHeading___Toc21183_3809407278">
            <w:r>
              <w:rPr>
                <w:rStyle w:val="IndexLink"/>
              </w:rPr>
              <w:t>4.7 Fluktuation (Churn) und Einordnung der Planannahme</w:t>
              <w:tab/>
              <w:t>31</w:t>
            </w:r>
          </w:hyperlink>
        </w:p>
        <w:p>
          <w:pPr>
            <w:pStyle w:val="TOC1"/>
            <w:tabs>
              <w:tab w:val="clear" w:pos="9638"/>
              <w:tab w:val="right" w:pos="9637" w:leader="dot"/>
            </w:tabs>
            <w:rPr/>
          </w:pPr>
          <w:hyperlink w:anchor="__RefHeading___Toc21185_3809407278">
            <w:r>
              <w:rPr>
                <w:rStyle w:val="IndexLink"/>
              </w:rPr>
              <w:t>5 Standort</w:t>
              <w:tab/>
              <w:t>33</w:t>
            </w:r>
          </w:hyperlink>
        </w:p>
        <w:p>
          <w:pPr>
            <w:pStyle w:val="TOC2"/>
            <w:tabs>
              <w:tab w:val="clear" w:pos="9355"/>
              <w:tab w:val="right" w:pos="9637" w:leader="dot"/>
            </w:tabs>
            <w:rPr/>
          </w:pPr>
          <w:hyperlink w:anchor="__RefHeading___Toc21187_3809407278">
            <w:r>
              <w:rPr>
                <w:rStyle w:val="IndexLink"/>
              </w:rPr>
              <w:t>5.1 Standortanforderungen aus der Planung</w:t>
              <w:tab/>
              <w:t>33</w:t>
            </w:r>
          </w:hyperlink>
        </w:p>
        <w:p>
          <w:pPr>
            <w:pStyle w:val="TOC2"/>
            <w:tabs>
              <w:tab w:val="clear" w:pos="9355"/>
              <w:tab w:val="right" w:pos="9637" w:leader="dot"/>
            </w:tabs>
            <w:rPr/>
          </w:pPr>
          <w:hyperlink w:anchor="__RefHeading___Toc21189_3809407278">
            <w:r>
              <w:rPr>
                <w:rStyle w:val="IndexLink"/>
              </w:rPr>
              <w:t>5.2 Regionenvergleich Bodensee und Region Stuttgart</w:t>
              <w:tab/>
              <w:t>35</w:t>
            </w:r>
          </w:hyperlink>
        </w:p>
        <w:p>
          <w:pPr>
            <w:pStyle w:val="TOC2"/>
            <w:tabs>
              <w:tab w:val="clear" w:pos="9355"/>
              <w:tab w:val="right" w:pos="9637" w:leader="dot"/>
            </w:tabs>
            <w:rPr/>
          </w:pPr>
          <w:hyperlink w:anchor="__RefHeading___Toc21191_3809407278">
            <w:r>
              <w:rPr>
                <w:rStyle w:val="IndexLink"/>
              </w:rPr>
              <w:t>5.3 Bevorzugte Mikrolagen</w:t>
              <w:tab/>
              <w:t>37</w:t>
            </w:r>
          </w:hyperlink>
        </w:p>
        <w:p>
          <w:pPr>
            <w:pStyle w:val="TOC2"/>
            <w:tabs>
              <w:tab w:val="clear" w:pos="9355"/>
              <w:tab w:val="right" w:pos="9637" w:leader="dot"/>
            </w:tabs>
            <w:rPr/>
          </w:pPr>
          <w:hyperlink w:anchor="__RefHeading___Toc21193_3809407278">
            <w:r>
              <w:rPr>
                <w:rStyle w:val="IndexLink"/>
              </w:rPr>
              <w:t>5.4 Immobilien-Shortlist</w:t>
              <w:tab/>
              <w:t>37</w:t>
            </w:r>
          </w:hyperlink>
        </w:p>
        <w:p>
          <w:pPr>
            <w:pStyle w:val="TOC2"/>
            <w:tabs>
              <w:tab w:val="clear" w:pos="9355"/>
              <w:tab w:val="right" w:pos="9637" w:leader="dot"/>
            </w:tabs>
            <w:rPr/>
          </w:pPr>
          <w:hyperlink w:anchor="__RefHeading___Toc21195_3809407278">
            <w:r>
              <w:rPr>
                <w:rStyle w:val="IndexLink"/>
              </w:rPr>
              <w:t>5.5 Mietvertragsziele</w:t>
              <w:tab/>
              <w:t>39</w:t>
            </w:r>
          </w:hyperlink>
        </w:p>
        <w:p>
          <w:pPr>
            <w:pStyle w:val="TOC2"/>
            <w:tabs>
              <w:tab w:val="clear" w:pos="9355"/>
              <w:tab w:val="right" w:pos="9637" w:leader="dot"/>
            </w:tabs>
            <w:rPr/>
          </w:pPr>
          <w:hyperlink w:anchor="__RefHeading___Toc21197_3809407278">
            <w:r>
              <w:rPr>
                <w:rStyle w:val="IndexLink"/>
              </w:rPr>
              <w:t>5.6 Nächste Schritte zur Standortsicherung</w:t>
              <w:tab/>
              <w:t>40</w:t>
            </w:r>
          </w:hyperlink>
        </w:p>
        <w:p>
          <w:pPr>
            <w:pStyle w:val="TOC1"/>
            <w:tabs>
              <w:tab w:val="clear" w:pos="9638"/>
              <w:tab w:val="right" w:pos="9637" w:leader="dot"/>
            </w:tabs>
            <w:rPr/>
          </w:pPr>
          <w:hyperlink w:anchor="__RefHeading___Toc21199_3809407278">
            <w:r>
              <w:rPr>
                <w:rStyle w:val="IndexLink"/>
              </w:rPr>
              <w:t>6 Marketing und Vertrieb</w:t>
              <w:tab/>
              <w:t>42</w:t>
            </w:r>
          </w:hyperlink>
        </w:p>
        <w:p>
          <w:pPr>
            <w:pStyle w:val="TOC2"/>
            <w:tabs>
              <w:tab w:val="clear" w:pos="9355"/>
              <w:tab w:val="right" w:pos="9637" w:leader="dot"/>
            </w:tabs>
            <w:rPr/>
          </w:pPr>
          <w:hyperlink w:anchor="__RefHeading___Toc21201_3809407278">
            <w:r>
              <w:rPr>
                <w:rStyle w:val="IndexLink"/>
              </w:rPr>
              <w:t>6.1 Marketingziele in Zahlen</w:t>
              <w:tab/>
              <w:t>42</w:t>
            </w:r>
          </w:hyperlink>
        </w:p>
        <w:p>
          <w:pPr>
            <w:pStyle w:val="TOC2"/>
            <w:tabs>
              <w:tab w:val="clear" w:pos="9355"/>
              <w:tab w:val="right" w:pos="9637" w:leader="dot"/>
            </w:tabs>
            <w:rPr/>
          </w:pPr>
          <w:hyperlink w:anchor="__RefHeading___Toc21203_3809407278">
            <w:r>
              <w:rPr>
                <w:rStyle w:val="IndexLink"/>
              </w:rPr>
              <w:t>6.2 Preis- und Tarifstrategie</w:t>
              <w:tab/>
              <w:t>44</w:t>
            </w:r>
          </w:hyperlink>
        </w:p>
        <w:p>
          <w:pPr>
            <w:pStyle w:val="TOC2"/>
            <w:tabs>
              <w:tab w:val="clear" w:pos="9355"/>
              <w:tab w:val="right" w:pos="9637" w:leader="dot"/>
            </w:tabs>
            <w:rPr/>
          </w:pPr>
          <w:hyperlink w:anchor="__RefHeading___Toc21205_3809407278">
            <w:r>
              <w:rPr>
                <w:rStyle w:val="IndexLink"/>
              </w:rPr>
              <w:t>6.3 Vorverkaufsplan (Juni bis August 2027)</w:t>
              <w:tab/>
              <w:t>45</w:t>
            </w:r>
          </w:hyperlink>
        </w:p>
        <w:p>
          <w:pPr>
            <w:pStyle w:val="TOC2"/>
            <w:tabs>
              <w:tab w:val="clear" w:pos="9355"/>
              <w:tab w:val="right" w:pos="9637" w:leader="dot"/>
            </w:tabs>
            <w:rPr/>
          </w:pPr>
          <w:hyperlink w:anchor="__RefHeading___Toc21207_3809407278">
            <w:r>
              <w:rPr>
                <w:rStyle w:val="IndexLink"/>
              </w:rPr>
              <w:t>6.4 Laufendes Marketing und Budget</w:t>
              <w:tab/>
              <w:t>46</w:t>
            </w:r>
          </w:hyperlink>
        </w:p>
        <w:p>
          <w:pPr>
            <w:pStyle w:val="TOC2"/>
            <w:tabs>
              <w:tab w:val="clear" w:pos="9355"/>
              <w:tab w:val="right" w:pos="9637" w:leader="dot"/>
            </w:tabs>
            <w:rPr/>
          </w:pPr>
          <w:hyperlink w:anchor="__RefHeading___Toc21209_3809407278">
            <w:r>
              <w:rPr>
                <w:rStyle w:val="IndexLink"/>
              </w:rPr>
              <w:t>6.5 Vertriebskanäle und Kooperationen</w:t>
              <w:tab/>
              <w:t>47</w:t>
            </w:r>
          </w:hyperlink>
        </w:p>
        <w:p>
          <w:pPr>
            <w:pStyle w:val="TOC2"/>
            <w:tabs>
              <w:tab w:val="clear" w:pos="9355"/>
              <w:tab w:val="right" w:pos="9637" w:leader="dot"/>
            </w:tabs>
            <w:rPr/>
          </w:pPr>
          <w:hyperlink w:anchor="__RefHeading___Toc21211_3809407278">
            <w:r>
              <w:rPr>
                <w:rStyle w:val="IndexLink"/>
              </w:rPr>
              <w:t>6.6 Mitgliederbindung</w:t>
              <w:tab/>
              <w:t>48</w:t>
            </w:r>
          </w:hyperlink>
        </w:p>
        <w:p>
          <w:pPr>
            <w:pStyle w:val="TOC2"/>
            <w:tabs>
              <w:tab w:val="clear" w:pos="9355"/>
              <w:tab w:val="right" w:pos="9637" w:leader="dot"/>
            </w:tabs>
            <w:rPr/>
          </w:pPr>
          <w:hyperlink w:anchor="__RefHeading___Toc21213_3809407278">
            <w:r>
              <w:rPr>
                <w:rStyle w:val="IndexLink"/>
              </w:rPr>
              <w:t>6.7 Kennzahlen-Controlling</w:t>
              <w:tab/>
              <w:t>49</w:t>
            </w:r>
          </w:hyperlink>
        </w:p>
        <w:p>
          <w:pPr>
            <w:pStyle w:val="TOC1"/>
            <w:tabs>
              <w:tab w:val="clear" w:pos="9638"/>
              <w:tab w:val="right" w:pos="9637" w:leader="dot"/>
            </w:tabs>
            <w:rPr/>
          </w:pPr>
          <w:hyperlink w:anchor="__RefHeading___Toc21215_3809407278">
            <w:r>
              <w:rPr>
                <w:rStyle w:val="IndexLink"/>
              </w:rPr>
              <w:t>7 Organisation, Personal und Rechtsform</w:t>
              <w:tab/>
              <w:t>51</w:t>
            </w:r>
          </w:hyperlink>
        </w:p>
        <w:p>
          <w:pPr>
            <w:pStyle w:val="TOC2"/>
            <w:tabs>
              <w:tab w:val="clear" w:pos="9355"/>
              <w:tab w:val="right" w:pos="9637" w:leader="dot"/>
            </w:tabs>
            <w:rPr/>
          </w:pPr>
          <w:hyperlink w:anchor="__RefHeading___Toc21217_3809407278">
            <w:r>
              <w:rPr>
                <w:rStyle w:val="IndexLink"/>
              </w:rPr>
              <w:t>7.1 Rechtsform: GmbH</w:t>
              <w:tab/>
              <w:t>51</w:t>
            </w:r>
          </w:hyperlink>
        </w:p>
        <w:p>
          <w:pPr>
            <w:pStyle w:val="TOC2"/>
            <w:tabs>
              <w:tab w:val="clear" w:pos="9355"/>
              <w:tab w:val="right" w:pos="9637" w:leader="dot"/>
            </w:tabs>
            <w:rPr/>
          </w:pPr>
          <w:hyperlink w:anchor="__RefHeading___Toc21219_3809407278">
            <w:r>
              <w:rPr>
                <w:rStyle w:val="IndexLink"/>
              </w:rPr>
              <w:t>7.2 Aufbauorganisation</w:t>
              <w:tab/>
              <w:t>52</w:t>
            </w:r>
          </w:hyperlink>
        </w:p>
        <w:p>
          <w:pPr>
            <w:pStyle w:val="TOC2"/>
            <w:tabs>
              <w:tab w:val="clear" w:pos="9355"/>
              <w:tab w:val="right" w:pos="9637" w:leader="dot"/>
            </w:tabs>
            <w:rPr/>
          </w:pPr>
          <w:hyperlink w:anchor="__RefHeading___Toc21221_3809407278">
            <w:r>
              <w:rPr>
                <w:rStyle w:val="IndexLink"/>
              </w:rPr>
              <w:t>7.3 Stellenplan und Personalkosten</w:t>
              <w:tab/>
              <w:t>52</w:t>
            </w:r>
          </w:hyperlink>
        </w:p>
        <w:p>
          <w:pPr>
            <w:pStyle w:val="TOC2"/>
            <w:tabs>
              <w:tab w:val="clear" w:pos="9355"/>
              <w:tab w:val="right" w:pos="9637" w:leader="dot"/>
            </w:tabs>
            <w:rPr/>
          </w:pPr>
          <w:hyperlink w:anchor="__RefHeading___Toc21223_3809407278">
            <w:r>
              <w:rPr>
                <w:rStyle w:val="IndexLink"/>
              </w:rPr>
              <w:t>7.4 Gehaltsbenchmarks</w:t>
              <w:tab/>
              <w:t>54</w:t>
            </w:r>
          </w:hyperlink>
        </w:p>
        <w:p>
          <w:pPr>
            <w:pStyle w:val="TOC2"/>
            <w:tabs>
              <w:tab w:val="clear" w:pos="9355"/>
              <w:tab w:val="right" w:pos="9637" w:leader="dot"/>
            </w:tabs>
            <w:rPr/>
          </w:pPr>
          <w:hyperlink w:anchor="__RefHeading___Toc21225_3809407278">
            <w:r>
              <w:rPr>
                <w:rStyle w:val="IndexLink"/>
              </w:rPr>
              <w:t>7.5 Öffnungszeiten und Schichtmodell</w:t>
              <w:tab/>
              <w:t>55</w:t>
            </w:r>
          </w:hyperlink>
        </w:p>
        <w:p>
          <w:pPr>
            <w:pStyle w:val="TOC2"/>
            <w:tabs>
              <w:tab w:val="clear" w:pos="9355"/>
              <w:tab w:val="right" w:pos="9637" w:leader="dot"/>
            </w:tabs>
            <w:rPr/>
          </w:pPr>
          <w:hyperlink w:anchor="__RefHeading___Toc21227_3809407278">
            <w:r>
              <w:rPr>
                <w:rStyle w:val="IndexLink"/>
              </w:rPr>
              <w:t>7.6 Externe Partner und Dienstleister</w:t>
              <w:tab/>
              <w:t>55</w:t>
            </w:r>
          </w:hyperlink>
        </w:p>
        <w:p>
          <w:pPr>
            <w:pStyle w:val="TOC2"/>
            <w:tabs>
              <w:tab w:val="clear" w:pos="9355"/>
              <w:tab w:val="right" w:pos="9637" w:leader="dot"/>
            </w:tabs>
            <w:rPr/>
          </w:pPr>
          <w:hyperlink w:anchor="__RefHeading___Toc21229_3809407278">
            <w:r>
              <w:rPr>
                <w:rStyle w:val="IndexLink"/>
              </w:rPr>
              <w:t>7.7 Prozesse</w:t>
              <w:tab/>
              <w:t>57</w:t>
            </w:r>
          </w:hyperlink>
        </w:p>
        <w:p>
          <w:pPr>
            <w:pStyle w:val="TOC2"/>
            <w:tabs>
              <w:tab w:val="clear" w:pos="9355"/>
              <w:tab w:val="right" w:pos="9637" w:leader="dot"/>
            </w:tabs>
            <w:rPr/>
          </w:pPr>
          <w:hyperlink w:anchor="__RefHeading___Toc21231_3809407278">
            <w:r>
              <w:rPr>
                <w:rStyle w:val="IndexLink"/>
              </w:rPr>
              <w:t>7.8 Meilensteinplan Gründung bis Eröffnung</w:t>
              <w:tab/>
              <w:t>58</w:t>
            </w:r>
          </w:hyperlink>
        </w:p>
        <w:p>
          <w:pPr>
            <w:pStyle w:val="TOC1"/>
            <w:tabs>
              <w:tab w:val="clear" w:pos="9638"/>
              <w:tab w:val="right" w:pos="9637" w:leader="dot"/>
            </w:tabs>
            <w:rPr/>
          </w:pPr>
          <w:hyperlink w:anchor="__RefHeading___Toc21233_3809407278">
            <w:r>
              <w:rPr>
                <w:rStyle w:val="IndexLink"/>
              </w:rPr>
              <w:t>8 Rechtliche Rahmenbedingungen, Sicherheit und Genehmigungen</w:t>
              <w:tab/>
              <w:t>60</w:t>
            </w:r>
          </w:hyperlink>
        </w:p>
        <w:p>
          <w:pPr>
            <w:pStyle w:val="TOC2"/>
            <w:tabs>
              <w:tab w:val="clear" w:pos="9355"/>
              <w:tab w:val="right" w:pos="9637" w:leader="dot"/>
            </w:tabs>
            <w:rPr/>
          </w:pPr>
          <w:hyperlink w:anchor="__RefHeading___Toc21235_3809407278">
            <w:r>
              <w:rPr>
                <w:rStyle w:val="IndexLink"/>
              </w:rPr>
              <w:t>8.1 Rechtsform und Gründungsformalitäten</w:t>
              <w:tab/>
              <w:t>60</w:t>
            </w:r>
          </w:hyperlink>
        </w:p>
        <w:p>
          <w:pPr>
            <w:pStyle w:val="TOC2"/>
            <w:tabs>
              <w:tab w:val="clear" w:pos="9355"/>
              <w:tab w:val="right" w:pos="9637" w:leader="dot"/>
            </w:tabs>
            <w:rPr/>
          </w:pPr>
          <w:hyperlink w:anchor="__RefHeading___Toc21237_3809407278">
            <w:r>
              <w:rPr>
                <w:rStyle w:val="IndexLink"/>
              </w:rPr>
              <w:t>8.2 Baurecht: Nutzungsänderung, Stellplätze, Brandschutz und Barrierefreiheit</w:t>
              <w:tab/>
              <w:t>61</w:t>
            </w:r>
          </w:hyperlink>
        </w:p>
        <w:p>
          <w:pPr>
            <w:pStyle w:val="TOC2"/>
            <w:tabs>
              <w:tab w:val="clear" w:pos="9355"/>
              <w:tab w:val="right" w:pos="9637" w:leader="dot"/>
            </w:tabs>
            <w:rPr/>
          </w:pPr>
          <w:hyperlink w:anchor="__RefHeading___Toc21239_3809407278">
            <w:r>
              <w:rPr>
                <w:rStyle w:val="IndexLink"/>
              </w:rPr>
              <w:t>8.3 Arbeitsstätten- und Sicherheitsanforderungen: Ergebnis der Regularienprüfung</w:t>
              <w:tab/>
              <w:t>62</w:t>
            </w:r>
          </w:hyperlink>
        </w:p>
        <w:p>
          <w:pPr>
            <w:pStyle w:val="TOC2"/>
            <w:tabs>
              <w:tab w:val="clear" w:pos="9355"/>
              <w:tab w:val="right" w:pos="9637" w:leader="dot"/>
            </w:tabs>
            <w:rPr/>
          </w:pPr>
          <w:hyperlink w:anchor="__RefHeading___Toc21241_3809407278">
            <w:r>
              <w:rPr>
                <w:rStyle w:val="IndexLink"/>
              </w:rPr>
              <w:t>8.4 Hygiene: Sauna, Dampfbad, Trinkwasser und Reinigung</w:t>
              <w:tab/>
              <w:t>65</w:t>
            </w:r>
          </w:hyperlink>
        </w:p>
        <w:p>
          <w:pPr>
            <w:pStyle w:val="TOC2"/>
            <w:tabs>
              <w:tab w:val="clear" w:pos="9355"/>
              <w:tab w:val="right" w:pos="9637" w:leader="dot"/>
            </w:tabs>
            <w:rPr/>
          </w:pPr>
          <w:hyperlink w:anchor="__RefHeading___Toc21243_3809407278">
            <w:r>
              <w:rPr>
                <w:rStyle w:val="IndexLink"/>
              </w:rPr>
              <w:t>8.5 Datenschutz: Zutrittssystem, Videoüberwachung und Mitgliederdaten</w:t>
              <w:tab/>
              <w:t>66</w:t>
            </w:r>
          </w:hyperlink>
        </w:p>
        <w:p>
          <w:pPr>
            <w:pStyle w:val="TOC2"/>
            <w:tabs>
              <w:tab w:val="clear" w:pos="9355"/>
              <w:tab w:val="right" w:pos="9637" w:leader="dot"/>
            </w:tabs>
            <w:rPr/>
          </w:pPr>
          <w:hyperlink w:anchor="__RefHeading___Toc21245_3809407278">
            <w:r>
              <w:rPr>
                <w:rStyle w:val="IndexLink"/>
              </w:rPr>
              <w:t>8.6 Mitgliedsverträge und Allgemeine Geschäftsbedingungen</w:t>
              <w:tab/>
              <w:t>67</w:t>
            </w:r>
          </w:hyperlink>
        </w:p>
        <w:p>
          <w:pPr>
            <w:pStyle w:val="TOC2"/>
            <w:tabs>
              <w:tab w:val="clear" w:pos="9355"/>
              <w:tab w:val="right" w:pos="9637" w:leader="dot"/>
            </w:tabs>
            <w:rPr/>
          </w:pPr>
          <w:hyperlink w:anchor="__RefHeading___Toc21247_3809407278">
            <w:r>
              <w:rPr>
                <w:rStyle w:val="IndexLink"/>
              </w:rPr>
              <w:t>8.7 GEMA, GVL und Rundfunkbeitrag</w:t>
              <w:tab/>
              <w:t>68</w:t>
            </w:r>
          </w:hyperlink>
        </w:p>
        <w:p>
          <w:pPr>
            <w:pStyle w:val="TOC2"/>
            <w:tabs>
              <w:tab w:val="clear" w:pos="9355"/>
              <w:tab w:val="right" w:pos="9637" w:leader="dot"/>
            </w:tabs>
            <w:rPr/>
          </w:pPr>
          <w:hyperlink w:anchor="__RefHeading___Toc21249_3809407278">
            <w:r>
              <w:rPr>
                <w:rStyle w:val="IndexLink"/>
              </w:rPr>
              <w:t>8.8 Versicherungen</w:t>
              <w:tab/>
              <w:t>69</w:t>
            </w:r>
          </w:hyperlink>
        </w:p>
        <w:p>
          <w:pPr>
            <w:pStyle w:val="TOC2"/>
            <w:tabs>
              <w:tab w:val="clear" w:pos="9355"/>
              <w:tab w:val="right" w:pos="9637" w:leader="dot"/>
            </w:tabs>
            <w:rPr/>
          </w:pPr>
          <w:hyperlink w:anchor="__RefHeading___Toc21251_3809407278">
            <w:r>
              <w:rPr>
                <w:rStyle w:val="IndexLink"/>
              </w:rPr>
              <w:t>8.9 Steuern: Umsatzsteuer, Vorsteuer, Gewerbe- und Körperschaftsteuer</w:t>
              <w:tab/>
              <w:t>70</w:t>
            </w:r>
          </w:hyperlink>
        </w:p>
        <w:p>
          <w:pPr>
            <w:pStyle w:val="TOC2"/>
            <w:tabs>
              <w:tab w:val="clear" w:pos="9355"/>
              <w:tab w:val="right" w:pos="9637" w:leader="dot"/>
            </w:tabs>
            <w:rPr/>
          </w:pPr>
          <w:hyperlink w:anchor="__RefHeading___Toc21253_3809407278">
            <w:r>
              <w:rPr>
                <w:rStyle w:val="IndexLink"/>
              </w:rPr>
              <w:t>8.10 Arbeitsrecht und Beschäftigung</w:t>
              <w:tab/>
              <w:t>71</w:t>
            </w:r>
          </w:hyperlink>
        </w:p>
        <w:p>
          <w:pPr>
            <w:pStyle w:val="TOC2"/>
            <w:tabs>
              <w:tab w:val="clear" w:pos="9355"/>
              <w:tab w:val="right" w:pos="9637" w:leader="dot"/>
            </w:tabs>
            <w:rPr/>
          </w:pPr>
          <w:hyperlink w:anchor="__RefHeading___Toc21255_3809407278">
            <w:r>
              <w:rPr>
                <w:rStyle w:val="IndexLink"/>
              </w:rPr>
              <w:t>8.11 Genehmigungs- und Nachweisplan bis zur Eröffnung</w:t>
              <w:tab/>
              <w:t>72</w:t>
            </w:r>
          </w:hyperlink>
        </w:p>
        <w:p>
          <w:pPr>
            <w:pStyle w:val="TOC1"/>
            <w:tabs>
              <w:tab w:val="clear" w:pos="9638"/>
              <w:tab w:val="right" w:pos="9637" w:leader="dot"/>
            </w:tabs>
            <w:rPr/>
          </w:pPr>
          <w:hyperlink w:anchor="__RefHeading___Toc21257_3809407278">
            <w:r>
              <w:rPr>
                <w:rStyle w:val="IndexLink"/>
              </w:rPr>
              <w:t>9 Chancen und Risiken</w:t>
              <w:tab/>
              <w:t>74</w:t>
            </w:r>
          </w:hyperlink>
        </w:p>
        <w:p>
          <w:pPr>
            <w:pStyle w:val="TOC2"/>
            <w:tabs>
              <w:tab w:val="clear" w:pos="9355"/>
              <w:tab w:val="right" w:pos="9637" w:leader="dot"/>
            </w:tabs>
            <w:rPr/>
          </w:pPr>
          <w:hyperlink w:anchor="__RefHeading___Toc21259_3809407278">
            <w:r>
              <w:rPr>
                <w:rStyle w:val="IndexLink"/>
              </w:rPr>
              <w:t>9.1 SWOT-Analyse</w:t>
              <w:tab/>
              <w:t>74</w:t>
            </w:r>
          </w:hyperlink>
        </w:p>
        <w:p>
          <w:pPr>
            <w:pStyle w:val="TOC2"/>
            <w:tabs>
              <w:tab w:val="clear" w:pos="9355"/>
              <w:tab w:val="right" w:pos="9637" w:leader="dot"/>
            </w:tabs>
            <w:rPr/>
          </w:pPr>
          <w:hyperlink w:anchor="__RefHeading___Toc21261_3809407278">
            <w:r>
              <w:rPr>
                <w:rStyle w:val="IndexLink"/>
              </w:rPr>
              <w:t>9.2 Risikoanalyse</w:t>
              <w:tab/>
              <w:t>75</w:t>
            </w:r>
          </w:hyperlink>
        </w:p>
        <w:p>
          <w:pPr>
            <w:pStyle w:val="TOC2"/>
            <w:tabs>
              <w:tab w:val="clear" w:pos="9355"/>
              <w:tab w:val="right" w:pos="9637" w:leader="dot"/>
            </w:tabs>
            <w:rPr/>
          </w:pPr>
          <w:hyperlink w:anchor="__RefHeading___Toc21263_3809407278">
            <w:r>
              <w:rPr>
                <w:rStyle w:val="IndexLink"/>
              </w:rPr>
              <w:t>9.3 Sensitivitäten und Szenarien</w:t>
              <w:tab/>
              <w:t>78</w:t>
            </w:r>
          </w:hyperlink>
        </w:p>
        <w:p>
          <w:pPr>
            <w:pStyle w:val="TOC2"/>
            <w:tabs>
              <w:tab w:val="clear" w:pos="9355"/>
              <w:tab w:val="right" w:pos="9637" w:leader="dot"/>
            </w:tabs>
            <w:rPr/>
          </w:pPr>
          <w:hyperlink w:anchor="__RefHeading___Toc21265_3809407278">
            <w:r>
              <w:rPr>
                <w:rStyle w:val="IndexLink"/>
              </w:rPr>
              <w:t>9.4 Chancen</w:t>
              <w:tab/>
              <w:t>80</w:t>
            </w:r>
          </w:hyperlink>
        </w:p>
        <w:p>
          <w:pPr>
            <w:pStyle w:val="TOC2"/>
            <w:tabs>
              <w:tab w:val="clear" w:pos="9355"/>
              <w:tab w:val="right" w:pos="9637" w:leader="dot"/>
            </w:tabs>
            <w:rPr/>
          </w:pPr>
          <w:hyperlink w:anchor="__RefHeading___Toc21267_3809407278">
            <w:r>
              <w:rPr>
                <w:rStyle w:val="IndexLink"/>
              </w:rPr>
              <w:t>9.5 Fazit zur Tragfähigkeit</w:t>
              <w:tab/>
              <w:t>81</w:t>
            </w:r>
          </w:hyperlink>
        </w:p>
        <w:p>
          <w:pPr>
            <w:pStyle w:val="TOC1"/>
            <w:tabs>
              <w:tab w:val="clear" w:pos="9638"/>
              <w:tab w:val="right" w:pos="9637" w:leader="dot"/>
            </w:tabs>
            <w:rPr/>
          </w:pPr>
          <w:hyperlink w:anchor="__RefHeading___Toc21269_3809407278">
            <w:r>
              <w:rPr>
                <w:rStyle w:val="IndexLink"/>
              </w:rPr>
              <w:t>10 Finanzplanung</w:t>
              <w:tab/>
              <w:t>83</w:t>
            </w:r>
          </w:hyperlink>
        </w:p>
        <w:p>
          <w:pPr>
            <w:pStyle w:val="TOC2"/>
            <w:tabs>
              <w:tab w:val="clear" w:pos="9355"/>
              <w:tab w:val="right" w:pos="9637" w:leader="dot"/>
            </w:tabs>
            <w:rPr/>
          </w:pPr>
          <w:hyperlink w:anchor="__RefHeading___Toc21271_3809407278">
            <w:r>
              <w:rPr>
                <w:rStyle w:val="IndexLink"/>
              </w:rPr>
              <w:t>10.1 Planungsgrundlagen</w:t>
              <w:tab/>
              <w:t>83</w:t>
            </w:r>
          </w:hyperlink>
        </w:p>
        <w:p>
          <w:pPr>
            <w:pStyle w:val="TOC2"/>
            <w:tabs>
              <w:tab w:val="clear" w:pos="9355"/>
              <w:tab w:val="right" w:pos="9637" w:leader="dot"/>
            </w:tabs>
            <w:rPr/>
          </w:pPr>
          <w:hyperlink w:anchor="__RefHeading___Toc21273_3809407278">
            <w:r>
              <w:rPr>
                <w:rStyle w:val="IndexLink"/>
              </w:rPr>
              <w:t>10.2 Investition und Kapitalbedarf</w:t>
              <w:tab/>
              <w:t>84</w:t>
            </w:r>
          </w:hyperlink>
        </w:p>
        <w:p>
          <w:pPr>
            <w:pStyle w:val="TOC2"/>
            <w:tabs>
              <w:tab w:val="clear" w:pos="9355"/>
              <w:tab w:val="right" w:pos="9637" w:leader="dot"/>
            </w:tabs>
            <w:rPr/>
          </w:pPr>
          <w:hyperlink w:anchor="__RefHeading___Toc21275_3809407278">
            <w:r>
              <w:rPr>
                <w:rStyle w:val="IndexLink"/>
              </w:rPr>
              <w:t>10.3 Finanzierungsplan</w:t>
              <w:tab/>
              <w:t>86</w:t>
            </w:r>
          </w:hyperlink>
        </w:p>
        <w:p>
          <w:pPr>
            <w:pStyle w:val="TOC2"/>
            <w:tabs>
              <w:tab w:val="clear" w:pos="9355"/>
              <w:tab w:val="right" w:pos="9637" w:leader="dot"/>
            </w:tabs>
            <w:rPr/>
          </w:pPr>
          <w:hyperlink w:anchor="__RefHeading___Toc21277_3809407278">
            <w:r>
              <w:rPr>
                <w:rStyle w:val="IndexLink"/>
              </w:rPr>
              <w:t>10.4 Umsatzplanung</w:t>
              <w:tab/>
              <w:t>90</w:t>
            </w:r>
          </w:hyperlink>
        </w:p>
        <w:p>
          <w:pPr>
            <w:pStyle w:val="TOC2"/>
            <w:tabs>
              <w:tab w:val="clear" w:pos="9355"/>
              <w:tab w:val="right" w:pos="9637" w:leader="dot"/>
            </w:tabs>
            <w:rPr/>
          </w:pPr>
          <w:hyperlink w:anchor="__RefHeading___Toc21279_3809407278">
            <w:r>
              <w:rPr>
                <w:rStyle w:val="IndexLink"/>
              </w:rPr>
              <w:t>10.5 Kostenplanung</w:t>
              <w:tab/>
              <w:t>92</w:t>
            </w:r>
          </w:hyperlink>
        </w:p>
        <w:p>
          <w:pPr>
            <w:pStyle w:val="TOC2"/>
            <w:tabs>
              <w:tab w:val="clear" w:pos="9355"/>
              <w:tab w:val="right" w:pos="9637" w:leader="dot"/>
            </w:tabs>
            <w:rPr/>
          </w:pPr>
          <w:hyperlink w:anchor="__RefHeading___Toc21281_3809407278">
            <w:r>
              <w:rPr>
                <w:rStyle w:val="IndexLink"/>
              </w:rPr>
              <w:t>10.6 Rentabilitätsvorschau</w:t>
              <w:tab/>
              <w:t>94</w:t>
            </w:r>
          </w:hyperlink>
        </w:p>
        <w:p>
          <w:pPr>
            <w:pStyle w:val="TOC2"/>
            <w:tabs>
              <w:tab w:val="clear" w:pos="9355"/>
              <w:tab w:val="right" w:pos="9637" w:leader="dot"/>
            </w:tabs>
            <w:rPr/>
          </w:pPr>
          <w:hyperlink w:anchor="__RefHeading___Toc21283_3809407278">
            <w:r>
              <w:rPr>
                <w:rStyle w:val="IndexLink"/>
              </w:rPr>
              <w:t>10.7 Liquiditätsplanung</w:t>
              <w:tab/>
              <w:t>95</w:t>
            </w:r>
          </w:hyperlink>
        </w:p>
        <w:p>
          <w:pPr>
            <w:pStyle w:val="TOC2"/>
            <w:tabs>
              <w:tab w:val="clear" w:pos="9355"/>
              <w:tab w:val="right" w:pos="9637" w:leader="dot"/>
            </w:tabs>
            <w:rPr/>
          </w:pPr>
          <w:hyperlink w:anchor="__RefHeading___Toc21285_3809407278">
            <w:r>
              <w:rPr>
                <w:rStyle w:val="IndexLink"/>
              </w:rPr>
              <w:t>10.8 Kapitaldienstfähigkeit</w:t>
              <w:tab/>
              <w:t>96</w:t>
            </w:r>
          </w:hyperlink>
        </w:p>
        <w:p>
          <w:pPr>
            <w:pStyle w:val="TOC2"/>
            <w:tabs>
              <w:tab w:val="clear" w:pos="9355"/>
              <w:tab w:val="right" w:pos="9637" w:leader="dot"/>
            </w:tabs>
            <w:rPr/>
          </w:pPr>
          <w:hyperlink w:anchor="__RefHeading___Toc21287_3809407278">
            <w:r>
              <w:rPr>
                <w:rStyle w:val="IndexLink"/>
              </w:rPr>
              <w:t>10.9 Szenarien und Sensitivitäten</w:t>
              <w:tab/>
              <w:t>97</w:t>
            </w:r>
          </w:hyperlink>
        </w:p>
        <w:p>
          <w:pPr>
            <w:pStyle w:val="TOC2"/>
            <w:tabs>
              <w:tab w:val="clear" w:pos="9355"/>
              <w:tab w:val="right" w:pos="9637" w:leader="dot"/>
            </w:tabs>
            <w:rPr/>
          </w:pPr>
          <w:hyperlink w:anchor="__RefHeading___Toc21289_3809407278">
            <w:r>
              <w:rPr>
                <w:rStyle w:val="IndexLink"/>
              </w:rPr>
              <w:t>10.10 Umsetzungs- und Auszahlungsplan</w:t>
              <w:tab/>
              <w:t>100</w:t>
            </w:r>
          </w:hyperlink>
        </w:p>
        <w:p>
          <w:pPr>
            <w:pStyle w:val="TOC1"/>
            <w:tabs>
              <w:tab w:val="clear" w:pos="9638"/>
              <w:tab w:val="right" w:pos="9637" w:leader="dot"/>
            </w:tabs>
            <w:rPr/>
          </w:pPr>
          <w:hyperlink w:anchor="__RefHeading___Toc21291_3809407278">
            <w:r>
              <w:rPr>
                <w:rStyle w:val="IndexLink"/>
              </w:rPr>
              <w:t>11 Anhang – Übersicht und Unterlagen</w:t>
              <w:tab/>
              <w:t>102</w:t>
            </w:r>
          </w:hyperlink>
        </w:p>
        <w:p>
          <w:pPr>
            <w:pStyle w:val="TOC2"/>
            <w:tabs>
              <w:tab w:val="clear" w:pos="9355"/>
              <w:tab w:val="right" w:pos="9637" w:leader="dot"/>
            </w:tabs>
            <w:rPr/>
          </w:pPr>
          <w:hyperlink w:anchor="__RefHeading___Toc21293_3809407278">
            <w:r>
              <w:rPr>
                <w:rStyle w:val="IndexLink"/>
              </w:rPr>
              <w:t>11.1 Anhang A – Investitions- und Geräteliste</w:t>
              <w:tab/>
              <w:t>102</w:t>
            </w:r>
          </w:hyperlink>
        </w:p>
        <w:p>
          <w:pPr>
            <w:pStyle w:val="TOC2"/>
            <w:tabs>
              <w:tab w:val="clear" w:pos="9355"/>
              <w:tab w:val="right" w:pos="9637" w:leader="dot"/>
            </w:tabs>
            <w:rPr/>
          </w:pPr>
          <w:hyperlink w:anchor="__RefHeading___Toc21295_3809407278">
            <w:r>
              <w:rPr>
                <w:rStyle w:val="IndexLink"/>
              </w:rPr>
              <w:t>11.2 Anhang B – Tilgungspläne</w:t>
              <w:tab/>
              <w:t>102</w:t>
            </w:r>
          </w:hyperlink>
        </w:p>
        <w:p>
          <w:pPr>
            <w:pStyle w:val="TOC2"/>
            <w:tabs>
              <w:tab w:val="clear" w:pos="9355"/>
              <w:tab w:val="right" w:pos="9637" w:leader="dot"/>
            </w:tabs>
            <w:rPr/>
          </w:pPr>
          <w:hyperlink w:anchor="__RefHeading___Toc21297_3809407278">
            <w:r>
              <w:rPr>
                <w:rStyle w:val="IndexLink"/>
              </w:rPr>
              <w:t>11.3 Anhang C – Liquiditätsplan (monatlich)</w:t>
              <w:tab/>
              <w:t>102</w:t>
            </w:r>
          </w:hyperlink>
        </w:p>
        <w:p>
          <w:pPr>
            <w:pStyle w:val="TOC2"/>
            <w:tabs>
              <w:tab w:val="clear" w:pos="9355"/>
              <w:tab w:val="right" w:pos="9637" w:leader="dot"/>
            </w:tabs>
            <w:rPr/>
          </w:pPr>
          <w:hyperlink w:anchor="__RefHeading___Toc21299_3809407278">
            <w:r>
              <w:rPr>
                <w:rStyle w:val="IndexLink"/>
              </w:rPr>
              <w:t>11.4 Anhang D – Rentabilitätsvorschau (Plan-GuV)</w:t>
              <w:tab/>
              <w:t>102</w:t>
            </w:r>
          </w:hyperlink>
        </w:p>
        <w:p>
          <w:pPr>
            <w:pStyle w:val="TOC2"/>
            <w:tabs>
              <w:tab w:val="clear" w:pos="9355"/>
              <w:tab w:val="right" w:pos="9637" w:leader="dot"/>
            </w:tabs>
            <w:rPr/>
          </w:pPr>
          <w:hyperlink w:anchor="__RefHeading___Toc21301_3809407278">
            <w:r>
              <w:rPr>
                <w:rStyle w:val="IndexLink"/>
              </w:rPr>
              <w:t>11.5 Anhang E – Planungsannahmen</w:t>
              <w:tab/>
              <w:t>102</w:t>
            </w:r>
          </w:hyperlink>
        </w:p>
        <w:p>
          <w:pPr>
            <w:pStyle w:val="TOC2"/>
            <w:tabs>
              <w:tab w:val="clear" w:pos="9355"/>
              <w:tab w:val="right" w:pos="9637" w:leader="dot"/>
            </w:tabs>
            <w:rPr/>
          </w:pPr>
          <w:hyperlink w:anchor="__RefHeading___Toc21303_3809407278">
            <w:r>
              <w:rPr>
                <w:rStyle w:val="IndexLink"/>
              </w:rPr>
              <w:t>11.6 Anhang F – Grundriss</w:t>
              <w:tab/>
              <w:t>103</w:t>
            </w:r>
          </w:hyperlink>
        </w:p>
        <w:p>
          <w:pPr>
            <w:pStyle w:val="TOC2"/>
            <w:tabs>
              <w:tab w:val="clear" w:pos="9355"/>
              <w:tab w:val="right" w:pos="9637" w:leader="dot"/>
            </w:tabs>
            <w:rPr/>
          </w:pPr>
          <w:hyperlink w:anchor="__RefHeading___Toc21305_3809407278">
            <w:r>
              <w:rPr>
                <w:rStyle w:val="IndexLink"/>
              </w:rPr>
              <w:t>11.7 Anhang G – Immobilien-Shortlist</w:t>
              <w:tab/>
              <w:t>103</w:t>
            </w:r>
          </w:hyperlink>
        </w:p>
        <w:p>
          <w:pPr>
            <w:pStyle w:val="TOC2"/>
            <w:tabs>
              <w:tab w:val="clear" w:pos="9355"/>
              <w:tab w:val="right" w:pos="9637" w:leader="dot"/>
            </w:tabs>
            <w:rPr/>
          </w:pPr>
          <w:hyperlink w:anchor="__RefHeading___Toc21307_3809407278">
            <w:r>
              <w:rPr>
                <w:rStyle w:val="IndexLink"/>
              </w:rPr>
              <w:t>11.8 Anhang H – Regularien-Checkliste</w:t>
              <w:tab/>
              <w:t>103</w:t>
            </w:r>
          </w:hyperlink>
        </w:p>
        <w:p>
          <w:pPr>
            <w:pStyle w:val="TOC2"/>
            <w:tabs>
              <w:tab w:val="clear" w:pos="9355"/>
              <w:tab w:val="right" w:pos="9637" w:leader="dot"/>
            </w:tabs>
            <w:rPr/>
          </w:pPr>
          <w:hyperlink w:anchor="__RefHeading___Toc21309_3809407278">
            <w:r>
              <w:rPr>
                <w:rStyle w:val="IndexLink"/>
              </w:rPr>
              <w:t>11.9 Anhang I – Quellen</w:t>
              <w:tab/>
              <w:t>103</w:t>
            </w:r>
          </w:hyperlink>
        </w:p>
        <w:p>
          <w:pPr>
            <w:pStyle w:val="TOC2"/>
            <w:tabs>
              <w:tab w:val="clear" w:pos="9355"/>
              <w:tab w:val="right" w:pos="9637" w:leader="dot"/>
            </w:tabs>
            <w:rPr/>
          </w:pPr>
          <w:hyperlink w:anchor="__RefHeading___Toc21311_3809407278">
            <w:r>
              <w:rPr>
                <w:rStyle w:val="IndexLink"/>
              </w:rPr>
              <w:t>11.10 Checkliste der Unterlagen für das Bankgespräch</w:t>
              <w:tab/>
              <w:t>103</w:t>
            </w:r>
          </w:hyperlink>
        </w:p>
        <w:p>
          <w:pPr>
            <w:pStyle w:val="TOC2"/>
            <w:tabs>
              <w:tab w:val="clear" w:pos="9355"/>
              <w:tab w:val="right" w:pos="9637" w:leader="dot"/>
            </w:tabs>
            <w:rPr/>
          </w:pPr>
          <w:hyperlink w:anchor="__RefHeading___Toc21313_3809407278">
            <w:r>
              <w:rPr>
                <w:rStyle w:val="IndexLink"/>
              </w:rPr>
              <w:t>11.11 Glossar</w:t>
              <w:tab/>
              <w:t>104</w:t>
            </w:r>
          </w:hyperlink>
        </w:p>
        <w:p>
          <w:pPr>
            <w:pStyle w:val="TOC1"/>
            <w:tabs>
              <w:tab w:val="clear" w:pos="9638"/>
              <w:tab w:val="right" w:pos="9637" w:leader="dot"/>
            </w:tabs>
            <w:rPr/>
          </w:pPr>
          <w:hyperlink w:anchor="__RefHeading___Toc21315_3809407278">
            <w:r>
              <w:rPr>
                <w:rStyle w:val="IndexLink"/>
              </w:rPr>
              <w:t>Anhang A – Investitions- und Geräteliste</w:t>
              <w:tab/>
              <w:t>106</w:t>
            </w:r>
          </w:hyperlink>
        </w:p>
        <w:p>
          <w:pPr>
            <w:pStyle w:val="TOC1"/>
            <w:tabs>
              <w:tab w:val="clear" w:pos="9638"/>
              <w:tab w:val="right" w:pos="9637" w:leader="dot"/>
            </w:tabs>
            <w:rPr/>
          </w:pPr>
          <w:hyperlink w:anchor="__RefHeading___Toc21317_3809407278">
            <w:r>
              <w:rPr>
                <w:rStyle w:val="IndexLink"/>
              </w:rPr>
              <w:t>Anhang B – Tilgungspläne</w:t>
              <w:tab/>
              <w:t>113</w:t>
            </w:r>
          </w:hyperlink>
        </w:p>
        <w:p>
          <w:pPr>
            <w:pStyle w:val="TOC1"/>
            <w:tabs>
              <w:tab w:val="clear" w:pos="9638"/>
              <w:tab w:val="right" w:pos="9637" w:leader="dot"/>
            </w:tabs>
            <w:rPr/>
          </w:pPr>
          <w:hyperlink w:anchor="__RefHeading___Toc21319_3809407278">
            <w:r>
              <w:rPr>
                <w:rStyle w:val="IndexLink"/>
              </w:rPr>
              <w:t>Anhang C – Liquiditätsplan (monatlich)</w:t>
              <w:tab/>
              <w:t>115</w:t>
            </w:r>
          </w:hyperlink>
        </w:p>
        <w:p>
          <w:pPr>
            <w:pStyle w:val="TOC1"/>
            <w:tabs>
              <w:tab w:val="clear" w:pos="9638"/>
              <w:tab w:val="right" w:pos="9637" w:leader="dot"/>
            </w:tabs>
            <w:rPr/>
          </w:pPr>
          <w:hyperlink w:anchor="__RefHeading___Toc21321_3809407278">
            <w:r>
              <w:rPr>
                <w:rStyle w:val="IndexLink"/>
              </w:rPr>
              <w:t>Anhang D – Rentabilitätsvorschau (Plan-GuV)</w:t>
              <w:tab/>
              <w:t>118</w:t>
            </w:r>
          </w:hyperlink>
        </w:p>
        <w:p>
          <w:pPr>
            <w:pStyle w:val="TOC1"/>
            <w:tabs>
              <w:tab w:val="clear" w:pos="9638"/>
              <w:tab w:val="right" w:pos="9637" w:leader="dot"/>
            </w:tabs>
            <w:rPr/>
          </w:pPr>
          <w:hyperlink w:anchor="__RefHeading___Toc21323_3809407278">
            <w:r>
              <w:rPr>
                <w:rStyle w:val="IndexLink"/>
              </w:rPr>
              <w:t>Anhang E – Planungsannahmen</w:t>
              <w:tab/>
              <w:t>120</w:t>
            </w:r>
          </w:hyperlink>
        </w:p>
        <w:p>
          <w:pPr>
            <w:pStyle w:val="TOC1"/>
            <w:tabs>
              <w:tab w:val="clear" w:pos="9638"/>
              <w:tab w:val="right" w:pos="9637" w:leader="dot"/>
            </w:tabs>
            <w:rPr/>
          </w:pPr>
          <w:hyperlink w:anchor="__RefHeading___Toc21325_3809407278">
            <w:r>
              <w:rPr>
                <w:rStyle w:val="IndexLink"/>
              </w:rPr>
              <w:t>Anhang F – Grundriss</w:t>
              <w:tab/>
              <w:t>122</w:t>
            </w:r>
          </w:hyperlink>
        </w:p>
        <w:p>
          <w:pPr>
            <w:pStyle w:val="TOC1"/>
            <w:tabs>
              <w:tab w:val="clear" w:pos="9638"/>
              <w:tab w:val="right" w:pos="9637" w:leader="dot"/>
            </w:tabs>
            <w:rPr/>
          </w:pPr>
          <w:hyperlink w:anchor="__RefHeading___Toc21327_3809407278">
            <w:r>
              <w:rPr>
                <w:rStyle w:val="IndexLink"/>
              </w:rPr>
              <w:t>Anhang G – Immobilien-Shortlist</w:t>
              <w:tab/>
              <w:t>123</w:t>
            </w:r>
          </w:hyperlink>
        </w:p>
        <w:p>
          <w:pPr>
            <w:pStyle w:val="TOC1"/>
            <w:tabs>
              <w:tab w:val="clear" w:pos="9638"/>
              <w:tab w:val="right" w:pos="9637" w:leader="dot"/>
            </w:tabs>
            <w:rPr/>
          </w:pPr>
          <w:hyperlink w:anchor="__RefHeading___Toc21329_3809407278">
            <w:r>
              <w:rPr>
                <w:rStyle w:val="IndexLink"/>
              </w:rPr>
              <w:t>Anhang H – Regularien-Checkliste</w:t>
              <w:tab/>
              <w:t>125</w:t>
            </w:r>
          </w:hyperlink>
        </w:p>
        <w:p>
          <w:pPr>
            <w:pStyle w:val="TOC1"/>
            <w:tabs>
              <w:tab w:val="clear" w:pos="9638"/>
              <w:tab w:val="right" w:pos="9637" w:leader="dot"/>
            </w:tabs>
            <w:rPr/>
          </w:pPr>
          <w:hyperlink w:anchor="__RefHeading___Toc21331_3809407278">
            <w:r>
              <w:rPr>
                <w:rStyle w:val="IndexLink"/>
              </w:rPr>
              <w:t>Anhang I – Quellen</w:t>
              <w:tab/>
              <w:t>128</w:t>
            </w:r>
          </w:hyperlink>
          <w:r>
            <w:rPr>
              <w:rStyle w:val="IndexLink"/>
            </w:rPr>
            <w:fldChar w:fldCharType="end"/>
          </w:r>
        </w:p>
      </w:sdtContent>
    </w:sdt>
    <w:p>
      <w:pPr>
        <w:pStyle w:val="Normal"/>
        <w:rPr/>
      </w:pPr>
      <w:r>
        <w:rPr/>
      </w:r>
    </w:p>
    <w:p>
      <w:pPr>
        <w:pStyle w:val="Normal"/>
        <w:spacing w:before="240" w:after="0"/>
        <w:rPr/>
      </w:pPr>
      <w:r>
        <w:rPr>
          <w:rFonts w:eastAsia="Arial" w:cs="Arial"/>
          <w:i/>
          <w:iCs/>
          <w:color w:val="5A5A5A"/>
          <w:sz w:val="18"/>
          <w:szCs w:val="18"/>
        </w:rPr>
        <w:t>Abbildungen und Tabellen sind im Text nummeriert; der Anhang enthält die vollständigen Zahlentabellen der Planrechnung.</w:t>
      </w:r>
      <w:r>
        <w:br w:type="page"/>
      </w:r>
    </w:p>
    <w:p>
      <w:pPr>
        <w:pStyle w:val="Heading1"/>
        <w:spacing w:before="360" w:after="200"/>
        <w:rPr/>
      </w:pPr>
      <w:bookmarkStart w:id="0" w:name="__RefHeading___Toc21101_3809407278"/>
      <w:bookmarkEnd w:id="0"/>
      <w:r>
        <w:rPr/>
        <w:t>1 Zusammenfassung (Executive Summary)</w:t>
      </w:r>
    </w:p>
    <w:p>
      <w:pPr>
        <w:pStyle w:val="Heading2"/>
        <w:keepNext w:val="true"/>
        <w:spacing w:before="280" w:after="120"/>
        <w:rPr/>
      </w:pPr>
      <w:bookmarkStart w:id="1" w:name="__RefHeading___Toc21103_3809407278"/>
      <w:bookmarkEnd w:id="1"/>
      <w:r>
        <w:rPr/>
        <w:t>1.1 Vorhaben und Gründer</w:t>
      </w:r>
    </w:p>
    <w:p>
      <w:pPr>
        <w:pStyle w:val="Normal"/>
        <w:spacing w:lineRule="exact" w:line="276" w:before="0" w:after="120"/>
        <w:jc w:val="both"/>
        <w:rPr/>
      </w:pPr>
      <w:r>
        <w:rPr>
          <w:rFonts w:eastAsia="Arial" w:cs="Arial"/>
          <w:sz w:val="22"/>
          <w:szCs w:val="22"/>
        </w:rPr>
        <w:t>Die zu gründende No.1 Fitness GmbH eröffnet am 1. September 2027 in der Bodenseeregion, alternativ in der Region Stuttgart, ein inhabergeführtes Fitnessstudio mit 1.975,40 m² Bruttofläche, das Kraft-, Freihantel- und Cardiotraining, eine HYROX-Zone, einen Kursraum und Wellness (Sauna, Dampfbad, Cold Plunge) verbindet (Quellen: Anhang I). Das Studio positioniert sich in der Premium-Mittelklasse mit Beiträgen von 34,90 bis 59,90 € brutto je Monat und einem Zielbestand von 2.200 Mitgliedern ab dem 29. Betriebsmonat. Der Kapitalbedarf von 2.652.583 € netto einschließlich einer Anlaufreserve für 24 Monate wird über 150.000 € Eigenmittel, eine stille Beteiligung der MBG Baden-Württemberg sowie KfW- und L-Bank-Darlehen über die Hausbank gedeckt (Quellen: Anhang I).</w:t>
      </w:r>
    </w:p>
    <w:p>
      <w:pPr>
        <w:pStyle w:val="Normal"/>
        <w:spacing w:lineRule="exact" w:line="276" w:before="0" w:after="120"/>
        <w:jc w:val="both"/>
        <w:rPr/>
      </w:pPr>
      <w:r>
        <w:rPr>
          <w:rFonts w:eastAsia="Arial" w:cs="Arial"/>
          <w:sz w:val="22"/>
          <w:szCs w:val="22"/>
        </w:rPr>
        <w:t>Gründer, alleiniger Gesellschafter und Geschäftsführer ist [Name], geboren am [Geburtsdatum], wohnhaft in [Wohnort], etwa 20 Jahre alt, [Ausbildung / Trainerlizenzen / Branchenerfahrung]; er bringt [Eigenmittel] als Bareinlage ein (Planansatz 150.000 €) und übernimmt die persönliche Mitverpflichtung gegenüber KfW, Bürgschaftsbank und MBG. Die fehlende Führungserfahrung wird durch eine erfahrene stellvertretende Studioleitung (Trainer-A-Lizenz), Steuerberater, IHK-Gründungsberatung, einen Beirat aus der Branche [Name] und die 24-monatige Anlaufreserve ausgeglichen (Kapitel 2).</w:t>
      </w:r>
    </w:p>
    <w:p>
      <w:pPr>
        <w:pStyle w:val="Heading2"/>
        <w:keepNext w:val="true"/>
        <w:spacing w:before="280" w:after="120"/>
        <w:rPr/>
      </w:pPr>
      <w:bookmarkStart w:id="2" w:name="__RefHeading___Toc21105_3809407278"/>
      <w:bookmarkEnd w:id="2"/>
      <w:r>
        <w:rPr/>
        <w:t>1.2 Konzept und Alleinstellung</w:t>
      </w:r>
    </w:p>
    <w:p>
      <w:pPr>
        <w:pStyle w:val="Normal"/>
        <w:spacing w:lineRule="exact" w:line="276" w:before="0" w:after="120"/>
        <w:jc w:val="both"/>
        <w:rPr/>
      </w:pPr>
      <w:r>
        <w:rPr>
          <w:rFonts w:eastAsia="Arial" w:cs="Arial"/>
          <w:sz w:val="22"/>
          <w:szCs w:val="22"/>
        </w:rPr>
        <w:t>Kein erfasster Wettbewerber in beiden Regionen bietet die Kombination aus Vollsortiment-Kraftbereich, fester HYROX-Zone und Wellness mit Dampfbad und Cold Plunge (Quellen: Anhang I): 1.138,58 m² Trainingsfläche mit 52 Kraftmaschinen von Atlantis und Prime, 5 Racks und 20 Cardiogeräten, eine HYROX-Zone von 169,88 m² und ein Kursraum von 149 m² (Quellen: Anhang I). Drei Tarife (Basic 44,90 €, Premium 59,90 € mit Wellness und HYROX, Student/Azubi/Senior 34,90 €, brutto) ergeben im Planmix 50,15 € je Mitglied und Monat, nahe dem Branchendurchschnitt von 48,55 € und unter den 59,24 € der Einzelanlagen (DSSV Eckdaten 2026).</w:t>
      </w:r>
    </w:p>
    <w:p>
      <w:pPr>
        <w:pStyle w:val="Heading2"/>
        <w:keepNext w:val="true"/>
        <w:spacing w:before="280" w:after="120"/>
        <w:rPr/>
      </w:pPr>
      <w:bookmarkStart w:id="3" w:name="__RefHeading___Toc21107_3809407278"/>
      <w:bookmarkEnd w:id="3"/>
      <w:r>
        <w:rPr/>
        <w:t>1.3 Standort und Markt</w:t>
      </w:r>
    </w:p>
    <w:p>
      <w:pPr>
        <w:pStyle w:val="Normal"/>
        <w:spacing w:lineRule="exact" w:line="276" w:before="0" w:after="120"/>
        <w:jc w:val="both"/>
        <w:rPr/>
      </w:pPr>
      <w:r>
        <w:rPr>
          <w:rFonts w:eastAsia="Arial" w:cs="Arial"/>
          <w:sz w:val="22"/>
          <w:szCs w:val="22"/>
        </w:rPr>
        <w:t>Die deutsche Fitnesswirtschaft erreichte 2025 mit 12,36 Mio. Mitgliedern, 6,25 Mrd. € Nettoumsatz (+7,4 %) und 14,8 % Penetration ihren Höchststand (DSSV Eckdaten 2026). Das 15-Minuten-Einzugsgebiet um Friedrichshafen zählt 149.548 Einwohner und rechnerisch 22.133 Fitnessmitglieder, der Zielbestand von 2.200 entspricht 9,9 % davon; die Kaufkraft im Bodenseekreis liegt mit 36.069 € je Einwohner rund 7 % über dem Landeswert; nur zwei von 20 erfassten Studios bieten HYROX an (Rechercheprotokoll (Anhang I); IHK Bodensee-Oberschwaben 2026). Der Alternativraum Böblingen/Sindelfingen bietet 215.039 Einwohner (Marktanteil 6,9 %) bei stärkerem Wettbewerb; die Kaltmiete von 8,50 €/m² liegt am Bodensee über den IHK-Mietpreisspannen für Produktionshallen (4,30 bis 6,70 €/m²) und im oberen Bereich der Angebotsmieten für Hallen ab 1.300 m² (4,33 bis 9,68 €/m²) und entspricht in der Region Stuttgart der Spitzenmiete 2025 für Hallenflächen im Stadtgebiet (Umland bis 9,90 €/m², Durchschnitt 7,00 €/m²); sie ist damit konservativ angesetzt (Rechercheprotokoll (Anhang I); IHK Bodensee-Oberschwaben 06/2025; Realogis 2025; Shortlist Anhang G).</w:t>
      </w:r>
    </w:p>
    <w:p>
      <w:pPr>
        <w:pStyle w:val="Heading2"/>
        <w:keepNext w:val="true"/>
        <w:spacing w:before="280" w:after="120"/>
        <w:rPr/>
      </w:pPr>
      <w:bookmarkStart w:id="4" w:name="__RefHeading___Toc21109_3809407278"/>
      <w:bookmarkEnd w:id="4"/>
      <w:r>
        <w:rPr/>
        <w:t>1.4 Kapitalbedarf und Finanzierung</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Investition (netto)</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1.912.583 €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Anlaufreserve 24 Monate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740.000 €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Kapitalbedarf gesamt</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2.652.583 €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Eigenkapital inkl. MBG (Quote)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150.000 € + 250.000 € = 400.000 € (15,1 %)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KfW ERP-Förderkredit 077</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500.000 € (15 Jahre, 5 tilgungsfrei)</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L-Bank GuW-BW über Hausbank</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1.752.583 € (20 Jahre, 3 tilgungsfrei)</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Finanzierungswunsch an die Hausbank</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2.252.583 € + 200.000 € Kontokorrent</w:t>
            </w:r>
          </w:p>
        </w:tc>
      </w:tr>
    </w:tbl>
    <w:p>
      <w:pPr>
        <w:pStyle w:val="Normal"/>
        <w:spacing w:lineRule="exact" w:line="276" w:before="0" w:after="80"/>
        <w:jc w:val="both"/>
        <w:rPr/>
      </w:pPr>
      <w:r>
        <w:rPr/>
      </w:r>
    </w:p>
    <w:p>
      <w:pPr>
        <w:pStyle w:val="Normal"/>
        <w:spacing w:lineRule="exact" w:line="276" w:before="0" w:after="120"/>
        <w:jc w:val="both"/>
        <w:rPr/>
      </w:pPr>
      <w:r>
        <w:rPr>
          <w:rFonts w:eastAsia="Arial" w:cs="Arial"/>
          <w:sz w:val="22"/>
          <w:szCs w:val="22"/>
        </w:rPr>
        <w:t>Die Anlaufreserve deckt den kumulierten Fehlbetrag aus Betrieb und Kapitaldienst, der im 18. Betriebsmonat seinen Höchstwert von 640.858 € erreicht, plus 15 % Puffer (rechnerisch 736.987 €, aufgerundet auf 740.000 €); die Eigenkapitalquote von 15,1 % liegt in der Sparkassen-Spanne von 15 bis 20 %, setzt jedoch die Zusage der stillen Beteiligung der MBG voraus; die harten Eigenmittel des Gründers allein entsprechen 5,7 % des Kapitalbedarfs (Quellen: Anhang I).</w:t>
      </w:r>
    </w:p>
    <w:p>
      <w:pPr>
        <w:pStyle w:val="Heading2"/>
        <w:keepNext w:val="true"/>
        <w:spacing w:before="280" w:after="120"/>
        <w:rPr/>
      </w:pPr>
      <w:bookmarkStart w:id="5" w:name="__RefHeading___Toc21111_3809407278"/>
      <w:bookmarkEnd w:id="5"/>
      <w:r>
        <w:rPr/>
        <w:t>1.5 Planzahlen und Break-even</w:t>
      </w:r>
    </w:p>
    <w:p>
      <w:pPr>
        <w:pStyle w:val="Normal"/>
        <w:keepNext w:val="true"/>
        <w:spacing w:before="160" w:after="80"/>
        <w:jc w:val="left"/>
        <w:rPr/>
      </w:pPr>
      <w:r>
        <w:rPr>
          <w:rFonts w:eastAsia="Arial" w:cs="Arial"/>
          <w:b/>
          <w:bCs/>
          <w:sz w:val="20"/>
          <w:szCs w:val="20"/>
        </w:rPr>
        <w:t>Tabelle 1.1: Planzahlen Basisszenario Jahr 1 bis 3 (netto; Jahr 1 einschließlich fünf Vorlaufmonaten)</w:t>
      </w:r>
    </w:p>
    <w:tbl>
      <w:tblPr>
        <w:tblW w:w="9638" w:type="dxa"/>
        <w:jc w:val="left"/>
        <w:tblInd w:w="0" w:type="dxa"/>
        <w:tblLayout w:type="fixed"/>
        <w:tblCellMar>
          <w:top w:w="40" w:type="dxa"/>
          <w:left w:w="70" w:type="dxa"/>
          <w:bottom w:w="40" w:type="dxa"/>
          <w:right w:w="70" w:type="dxa"/>
        </w:tblCellMar>
      </w:tblPr>
      <w:tblGrid>
        <w:gridCol w:w="3566"/>
        <w:gridCol w:w="2024"/>
        <w:gridCol w:w="2024"/>
        <w:gridCol w:w="2023"/>
      </w:tblGrid>
      <w:tr>
        <w:trPr>
          <w:tblHeader w:val="true"/>
        </w:trPr>
        <w:tc>
          <w:tcPr>
            <w:tcW w:w="356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Kennzahl</w:t>
            </w:r>
          </w:p>
        </w:tc>
        <w:tc>
          <w:tcPr>
            <w:tcW w:w="202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Jahr 1 (2027/28)</w:t>
            </w:r>
          </w:p>
        </w:tc>
        <w:tc>
          <w:tcPr>
            <w:tcW w:w="202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Jahr 2 (2028/29)</w:t>
            </w:r>
          </w:p>
        </w:tc>
        <w:tc>
          <w:tcPr>
            <w:tcW w:w="202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Jahr 3 (2029/30)</w:t>
            </w:r>
          </w:p>
        </w:tc>
      </w:tr>
      <w:tr>
        <w:trPr/>
        <w:tc>
          <w:tcPr>
            <w:tcW w:w="35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 am Jahresende</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1.429</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2.053</w:t>
            </w:r>
          </w:p>
        </w:tc>
        <w:tc>
          <w:tcPr>
            <w:tcW w:w="202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w:t>
            </w:r>
          </w:p>
        </w:tc>
      </w:tr>
      <w:tr>
        <w:trPr/>
        <w:tc>
          <w:tcPr>
            <w:tcW w:w="35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Umsatz</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622.361 €</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1.101.585 €</w:t>
            </w:r>
          </w:p>
        </w:tc>
        <w:tc>
          <w:tcPr>
            <w:tcW w:w="202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1.368.522 €</w:t>
            </w:r>
          </w:p>
        </w:tc>
      </w:tr>
      <w:tr>
        <w:trPr/>
        <w:tc>
          <w:tcPr>
            <w:tcW w:w="356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EBITDA</w:t>
            </w:r>
          </w:p>
        </w:tc>
        <w:tc>
          <w:tcPr>
            <w:tcW w:w="202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389.492 €</w:t>
            </w:r>
          </w:p>
        </w:tc>
        <w:tc>
          <w:tcPr>
            <w:tcW w:w="202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153.383 €</w:t>
            </w:r>
          </w:p>
        </w:tc>
        <w:tc>
          <w:tcPr>
            <w:tcW w:w="202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398.960 €</w:t>
            </w:r>
          </w:p>
        </w:tc>
      </w:tr>
      <w:tr>
        <w:trPr/>
        <w:tc>
          <w:tcPr>
            <w:tcW w:w="356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Jahresergebnis</w:t>
            </w:r>
          </w:p>
        </w:tc>
        <w:tc>
          <w:tcPr>
            <w:tcW w:w="202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798.519 €</w:t>
            </w:r>
          </w:p>
        </w:tc>
        <w:tc>
          <w:tcPr>
            <w:tcW w:w="202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209.477 €</w:t>
            </w:r>
          </w:p>
        </w:tc>
        <w:tc>
          <w:tcPr>
            <w:tcW w:w="202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36.237 €</w:t>
            </w:r>
          </w:p>
        </w:tc>
      </w:tr>
      <w:tr>
        <w:trPr/>
        <w:tc>
          <w:tcPr>
            <w:tcW w:w="35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Kapitaldienstdeckung (DSCR)</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1,87 (aus Reserve)</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0,95</w:t>
            </w:r>
          </w:p>
        </w:tc>
        <w:tc>
          <w:tcPr>
            <w:tcW w:w="202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2,12</w:t>
            </w:r>
          </w:p>
        </w:tc>
      </w:tr>
    </w:tbl>
    <w:p>
      <w:pPr>
        <w:pStyle w:val="Normal"/>
        <w:spacing w:before="60" w:after="200"/>
        <w:jc w:val="left"/>
        <w:rPr/>
      </w:pPr>
      <w:r>
        <w:rPr>
          <w:rFonts w:eastAsia="Arial" w:cs="Arial"/>
          <w:i/>
          <w:iCs/>
          <w:color w:val="5A5A5A"/>
          <w:sz w:val="18"/>
          <w:szCs w:val="18"/>
        </w:rPr>
        <w:t>Quelle: Excel-Planrechnung; Jahr 4: Ergebnis 61.146 €, DSCR 1,61.</w:t>
      </w:r>
    </w:p>
    <w:p>
      <w:pPr>
        <w:pStyle w:val="Normal"/>
        <w:spacing w:lineRule="exact" w:line="276" w:before="0" w:after="120"/>
        <w:jc w:val="both"/>
        <w:rPr/>
      </w:pPr>
      <w:r>
        <w:rPr>
          <w:rFonts w:eastAsia="Arial" w:cs="Arial"/>
          <w:sz w:val="22"/>
          <w:szCs w:val="22"/>
        </w:rPr>
        <w:t>Start mit 350 Vorverkaufsmitgliedern, Kündigungsquote 2,2 % je Monat auf Branchenniveau (DSSV 2019 in Kruse 2021); EBITDA ab dem 12., Cashflow nach Kapitaldienst ab dem 19. Betriebsmonat positiv; Break-even bei 1.572 Mitgliedern ohne und 2.018 mit vollem Kapitaldienst (erreicht im 24. Monat); Kassenminimum 107.975 € im 18. Monat, stets positiv.</w:t>
      </w:r>
    </w:p>
    <w:p>
      <w:pPr>
        <w:pStyle w:val="Heading2"/>
        <w:keepNext w:val="true"/>
        <w:spacing w:before="280" w:after="120"/>
        <w:rPr/>
      </w:pPr>
      <w:bookmarkStart w:id="6" w:name="__RefHeading___Toc21113_3809407278"/>
      <w:bookmarkEnd w:id="6"/>
      <w:r>
        <w:rPr/>
        <w:t>1.6 Wesentliche Risiken und Gegenmaßnahmen</w:t>
      </w:r>
    </w:p>
    <w:p>
      <w:pPr>
        <w:pStyle w:val="Normal"/>
        <w:keepNext w:val="true"/>
        <w:spacing w:before="160" w:after="80"/>
        <w:jc w:val="left"/>
        <w:rPr/>
      </w:pPr>
      <w:r>
        <w:rPr>
          <w:rFonts w:eastAsia="Arial" w:cs="Arial"/>
          <w:b/>
          <w:bCs/>
          <w:sz w:val="20"/>
          <w:szCs w:val="20"/>
        </w:rPr>
        <w:t>Tabelle 1.2: Wichtigste Risiken (Wirkung Jahr 3) und Gegenmaßnahmen</w:t>
      </w:r>
    </w:p>
    <w:tbl>
      <w:tblPr>
        <w:tblW w:w="9638" w:type="dxa"/>
        <w:jc w:val="left"/>
        <w:tblInd w:w="0" w:type="dxa"/>
        <w:tblLayout w:type="fixed"/>
        <w:tblCellMar>
          <w:top w:w="40" w:type="dxa"/>
          <w:left w:w="70" w:type="dxa"/>
          <w:bottom w:w="40" w:type="dxa"/>
          <w:right w:w="70" w:type="dxa"/>
        </w:tblCellMar>
      </w:tblPr>
      <w:tblGrid>
        <w:gridCol w:w="2120"/>
        <w:gridCol w:w="3662"/>
        <w:gridCol w:w="3856"/>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Risiko</w:t>
            </w:r>
          </w:p>
        </w:tc>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Wirkung (Sensitivität)</w:t>
            </w:r>
          </w:p>
        </w:tc>
        <w:tc>
          <w:tcPr>
            <w:tcW w:w="38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Gegenmaßnahme</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Mitgliederaufbau unter Plan</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Neuzugänge −20 %: DSCR 0,92, Kasse −202.288 €; −30 %: Nachfinanzierung nötig</w:t>
            </w:r>
          </w:p>
        </w:tc>
        <w:tc>
          <w:tcPr>
            <w:tcW w:w="38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Vorverkauf-Warnschwelle 280, Firmenfitness, Aggregatoren, Kostenpaket bis 86.623 €/Jahr, Kontokorrent, Tilgungsstreckung</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Churn 3,0 % oder Beiträge −10 %</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DSCR 1,57 bzw. 1,53; Ergebnis −68.514 € bzw. −74.793 €</w:t>
            </w:r>
          </w:p>
        </w:tc>
        <w:tc>
          <w:tcPr>
            <w:tcW w:w="38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Zwei Trainerkontakte je Monat; keine Preiskämpfe, Differenzierung über Wellness und HYROX</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Kosten, Miete, Zinsen</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Miete 10,00 €/m², Personal +10 %, Energie 5,50 €/m², Zinsen +1,5 Pp.: DSCR 1,77 bis 1,93</w:t>
            </w:r>
          </w:p>
        </w:tc>
        <w:tc>
          <w:tcPr>
            <w:tcW w:w="38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Zinsbindung 10 Jahre, Festpreisangebote, Position Unvorhergesehenes 165.378 € im Investitionsplan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Unerfahrenheit, Ausfall des Gründers</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Führungslücke, Bankvertrauen</w:t>
            </w:r>
          </w:p>
        </w:tc>
        <w:tc>
          <w:tcPr>
            <w:tcW w:w="38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Stellv. Studioleitung mit Vollmacht, Beirat, Risikolebens- und BU-Versicherung</w:t>
            </w:r>
          </w:p>
        </w:tc>
      </w:tr>
    </w:tbl>
    <w:p>
      <w:pPr>
        <w:pStyle w:val="Normal"/>
        <w:spacing w:before="60" w:after="200"/>
        <w:jc w:val="left"/>
        <w:rPr/>
      </w:pPr>
      <w:r>
        <w:rPr>
          <w:rFonts w:eastAsia="Arial" w:cs="Arial"/>
          <w:i/>
          <w:iCs/>
          <w:color w:val="5A5A5A"/>
          <w:sz w:val="18"/>
          <w:szCs w:val="18"/>
        </w:rPr>
        <w:t>Quelle: Excel-Planrechnung; Kapitel 9 und 10; Frühindikatoren Kapitel 6.7.</w:t>
      </w:r>
    </w:p>
    <w:p>
      <w:pPr>
        <w:pStyle w:val="Heading2"/>
        <w:keepNext w:val="true"/>
        <w:spacing w:before="280" w:after="120"/>
        <w:rPr/>
      </w:pPr>
      <w:bookmarkStart w:id="7" w:name="__RefHeading___Toc21115_3809407278"/>
      <w:bookmarkEnd w:id="7"/>
      <w:r>
        <w:rPr/>
        <w:t>1.7 Bitte an die Hausbank</w:t>
      </w:r>
    </w:p>
    <w:p>
      <w:pPr>
        <w:pStyle w:val="Normal"/>
        <w:spacing w:lineRule="exact" w:line="276" w:before="0" w:after="120"/>
        <w:jc w:val="both"/>
        <w:rPr/>
      </w:pPr>
      <w:r>
        <w:rPr>
          <w:rFonts w:eastAsia="Arial" w:cs="Arial"/>
          <w:sz w:val="22"/>
          <w:szCs w:val="22"/>
        </w:rPr>
        <w:t>Die No.1 Fitness GmbH (in Gründung) bittet die Hausbank um die Begleitung der Gründungsfinanzierung mit 2.252.583 € Darlehen und 200.000 € Kontokorrent (Stand 09/2026): KfW ERP-Förderkredit Gründung und Nachfolge (077) über 500.000 € mit 100-%-Garantie der Bürgschaftsbank Baden-Württemberg; L-Bank Gründungs- und Wachstumsfinanzierung (GuW-BW) über 1.752.583 € mit 80-%-Ausfallbürgschaft der Bürgschaftsbank (1.402.066 €) und Sicherheitenpaket nach Kapitel 10.3; der KfW ERP-Gründerkredit StartGeld (067) wurde geprüft und nicht angesetzt, weil er einen Gesamtfremdfinanzierungsbedarf von höchstens 200.000 € voraussetzt; Kontokorrent als Sicherheitslinie für eine verzögerte Vorsteuererstattung (höchster offener Umsatzsteuerbetrag 366.018 € im Monat −1, im Plan aus dem Kassenbestand vorfinanziert). Parallel werden die MBG-Beteiligung (250.000 €) beantragt und 150.000 € Eigenmittel eingebracht [Herkunft zu belegen]; Zusage unter der aufschiebenden Bedingung eines Mietvertrags mit Baugenehmigung (Unterlagen: Kapitel 11, Planrechnung: Finanzplan_No1.xlsx).</w:t>
      </w:r>
      <w:r>
        <w:br w:type="page"/>
      </w:r>
    </w:p>
    <w:p>
      <w:pPr>
        <w:pStyle w:val="Heading1"/>
        <w:spacing w:before="360" w:after="200"/>
        <w:rPr/>
      </w:pPr>
      <w:bookmarkStart w:id="8" w:name="__RefHeading___Toc21117_3809407278"/>
      <w:bookmarkEnd w:id="8"/>
      <w:r>
        <w:rPr/>
        <w:t>2 Gründerperson und Team</w:t>
      </w:r>
    </w:p>
    <w:p>
      <w:pPr>
        <w:pStyle w:val="Heading2"/>
        <w:keepNext w:val="true"/>
        <w:spacing w:before="280" w:after="120"/>
        <w:rPr/>
      </w:pPr>
      <w:bookmarkStart w:id="9" w:name="__RefHeading___Toc21119_3809407278"/>
      <w:bookmarkEnd w:id="9"/>
      <w:r>
        <w:rPr/>
        <w:t>2.1 Gründerprofil</w:t>
      </w:r>
    </w:p>
    <w:p>
      <w:pPr>
        <w:pStyle w:val="Normal"/>
        <w:spacing w:lineRule="exact" w:line="276" w:before="0" w:after="120"/>
        <w:jc w:val="both"/>
        <w:rPr/>
      </w:pPr>
      <w:r>
        <w:rPr>
          <w:rFonts w:eastAsia="Arial" w:cs="Arial"/>
          <w:sz w:val="22"/>
          <w:szCs w:val="22"/>
        </w:rPr>
        <w:t>Gründer und alleiniger Gesellschafter-Geschäftsführer der zu gründenden No.1 Fitness GmbH (Arbeitstitel) ist [Name], geboren am [Geburtsdatum], wohnhaft in [Wohnort], Baden-Württemberg. Der Gründer ist zum Zeitpunkt der Antragstellung etwa 20 Jahre alt. Die persönlichen Angaben in diesem Abschnitt sind vor der Einreichung bei der Hausbank vollständig auszufüllen und durch die in Abschnitt 2.2 genannten Unterlagen zu belegen.</w:t>
      </w:r>
    </w:p>
    <w:p>
      <w:pPr>
        <w:pStyle w:val="Normal"/>
        <w:keepNext w:val="true"/>
        <w:spacing w:before="160" w:after="80"/>
        <w:jc w:val="left"/>
        <w:rPr/>
      </w:pPr>
      <w:r>
        <w:rPr>
          <w:rFonts w:eastAsia="Arial" w:cs="Arial"/>
          <w:b/>
          <w:bCs/>
          <w:sz w:val="20"/>
          <w:szCs w:val="20"/>
        </w:rPr>
        <w:t>Tabelle 2.1: Gründerprofil (vom Gründer zu vervollständigen)</w:t>
      </w:r>
    </w:p>
    <w:tbl>
      <w:tblPr>
        <w:tblW w:w="9638" w:type="dxa"/>
        <w:jc w:val="left"/>
        <w:tblInd w:w="0" w:type="dxa"/>
        <w:tblLayout w:type="fixed"/>
        <w:tblCellMar>
          <w:top w:w="40" w:type="dxa"/>
          <w:left w:w="70" w:type="dxa"/>
          <w:bottom w:w="40" w:type="dxa"/>
          <w:right w:w="70" w:type="dxa"/>
        </w:tblCellMar>
      </w:tblPr>
      <w:tblGrid>
        <w:gridCol w:w="3373"/>
        <w:gridCol w:w="6264"/>
      </w:tblGrid>
      <w:tr>
        <w:trPr>
          <w:tblHeader w:val="true"/>
        </w:trPr>
        <w:tc>
          <w:tcPr>
            <w:tcW w:w="337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Merkmal</w:t>
            </w:r>
          </w:p>
        </w:tc>
        <w:tc>
          <w:tcPr>
            <w:tcW w:w="62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Angabe</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Name, Geburtsdatum</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[Name], [Geburtsdatum]</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Wohnort</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[Wohnort, Landkreis]</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Familienstand, Unterhaltspflichten</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[Familienstand]</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Schulabschluss</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[Schulabschluss, Jahr]</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Berufsausbildung / Studium</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[Ausbildung bzw. Studiengang, Abschluss, Jahr, ggf. laufend]</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Trainerlizenzen</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 B. Fitnesstrainer B-Lizenz / A-Lizenz, Anbieter, Jahr; HYROX-Trainerzertifikat; Erste-Hilfe-Schein]</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Berufs- und Branchenerfahrung</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[Tätigkeiten in Fitnessstudios, Vereinen, Nebenjobs; Zeitraum, Aufgaben, Verantwortung]</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Kaufmännische Kenntnisse</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[Schulische/berufliche Nachweise, absolvierte Kurse, z. B. IHK-Gründerseminar]</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Eigener sportlicher Hintergrund</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[Wettkampferfahrung, z. B. HYROX-Teilnahmen, Vereinssport]</w:t>
            </w:r>
          </w:p>
        </w:tc>
      </w:tr>
      <w:tr>
        <w:trPr/>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Eigenmittel</w:t>
            </w:r>
          </w:p>
        </w:tc>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[Eigenmittel] (Planansatz: 150.000 € Bareinlage, siehe Kapitel 10)</w:t>
            </w:r>
          </w:p>
        </w:tc>
      </w:tr>
    </w:tbl>
    <w:p>
      <w:pPr>
        <w:pStyle w:val="Normal"/>
        <w:spacing w:before="60" w:after="200"/>
        <w:jc w:val="left"/>
        <w:rPr/>
      </w:pPr>
      <w:r>
        <w:rPr>
          <w:rFonts w:eastAsia="Arial" w:cs="Arial"/>
          <w:i/>
          <w:iCs/>
          <w:color w:val="5A5A5A"/>
          <w:sz w:val="18"/>
          <w:szCs w:val="18"/>
        </w:rPr>
        <w:t>Quelle: Angaben des Gründers; Planansatz Eigenkapital laut Finanzmodell (Excel-Planrechnung).</w:t>
      </w:r>
    </w:p>
    <w:p>
      <w:pPr>
        <w:pStyle w:val="Heading2"/>
        <w:keepNext w:val="true"/>
        <w:spacing w:before="280" w:after="120"/>
        <w:rPr/>
      </w:pPr>
      <w:bookmarkStart w:id="10" w:name="__RefHeading___Toc21121_3809407278"/>
      <w:bookmarkEnd w:id="10"/>
      <w:r>
        <w:rPr/>
        <w:t>2.2 Motivation und Zielsetzung</w:t>
      </w:r>
    </w:p>
    <w:p>
      <w:pPr>
        <w:pStyle w:val="Normal"/>
        <w:spacing w:lineRule="exact" w:line="276" w:before="0" w:after="120"/>
        <w:jc w:val="both"/>
        <w:rPr/>
      </w:pPr>
      <w:r>
        <w:rPr>
          <w:rFonts w:eastAsia="Arial" w:cs="Arial"/>
          <w:sz w:val="22"/>
          <w:szCs w:val="22"/>
        </w:rPr>
        <w:t>[Motivation des Gründers in eigenen Worten: Warum ein eigenes Studio, warum die Kombination aus betreutem Kraft- und Cardiotraining, HYROX-Zone und Wellness, warum die Bodenseeregion bzw. die Region Stuttgart, welche persönliche Beziehung zum Sport besteht und welche langfristigen Ziele verfolgt werden.]</w:t>
      </w:r>
    </w:p>
    <w:p>
      <w:pPr>
        <w:pStyle w:val="Normal"/>
        <w:spacing w:lineRule="exact" w:line="276" w:before="0" w:after="120"/>
        <w:jc w:val="both"/>
        <w:rPr/>
      </w:pPr>
      <w:r>
        <w:rPr>
          <w:rFonts w:eastAsia="Arial" w:cs="Arial"/>
          <w:sz w:val="22"/>
          <w:szCs w:val="22"/>
        </w:rPr>
        <w:t>Die unternehmerische Zielsetzung ist in diesem Plan eindeutig festgelegt: Aufbau eines inhabergeführten Studios mit rund 1.975 m² Bruttofläche, Erreichen von 2.200 Mitgliedern bis zum 29. Betriebsmonat und dauerhafter Betrieb mit einer Kapitaldienstdeckung von 2,12 im dritten und 1,61 im vierten Geschäftsjahr, nach einer Anlaufphase mit einer Kapitaldienstdeckung von 0,95 im zweiten Jahr (Basisszenario). Der Gründer trägt die Gesamtverantwortung als Geschäftsführer, wird die operative Leitung jedoch von Beginn an mit einer erfahrenen stellvertretenden Studioleitung teilen (Abschnitt 2.4).</w:t>
      </w:r>
    </w:p>
    <w:p>
      <w:pPr>
        <w:pStyle w:val="Heading2"/>
        <w:keepNext w:val="true"/>
        <w:spacing w:before="280" w:after="120"/>
        <w:rPr/>
      </w:pPr>
      <w:bookmarkStart w:id="11" w:name="__RefHeading___Toc21123_3809407278"/>
      <w:bookmarkEnd w:id="11"/>
      <w:r>
        <w:rPr/>
        <w:t>2.3 Nachweise, die dem Plan beizulegen sind</w:t>
      </w:r>
    </w:p>
    <w:p>
      <w:pPr>
        <w:pStyle w:val="Normal"/>
        <w:spacing w:lineRule="exact" w:line="276" w:before="0" w:after="120"/>
        <w:jc w:val="both"/>
        <w:rPr/>
      </w:pPr>
      <w:r>
        <w:rPr>
          <w:rFonts w:eastAsia="Arial" w:cs="Arial"/>
          <w:sz w:val="22"/>
          <w:szCs w:val="22"/>
        </w:rPr>
        <w:t>Kreditinstitute prüfen bei Gründungsfinanzierungen neben dem Zahlenteil die persönliche Eignung und die wirtschaftlichen Verhältnisse des Gründers. Die Sparkassen-Finanzgruppe nennt als Standardunterlagen den Businessplan, den Investitionsplan mit Angeboten, eine Vermögensaufstellung bzw. Selbstauskunft, eine Schufa-Auskunft, die Einkommensteuerbescheide der letzten zwei Jahre sowie Vertragsentwürfe (Miet- und Gesellschaftsvertrag) (Sparkasse Gründungsfinanzierung). Die IHK Stuttgart bezeichnet die Kapitaldienstfähigkeit als Kernstück jeder Kreditbeurteilung; die Gründerplattform weist darauf hin, dass ein Break-even nach mehr als einem Jahr eine belastbare Erklärung braucht (Quellen: Anhang I). Beides wird im Finanzplan (Kapitel 10) und in der Risikoanalyse (Kapitel 9) behandelt. Folgende Anlagen werden dem Plan beigefügt:</w:t>
      </w:r>
    </w:p>
    <w:p>
      <w:pPr>
        <w:pStyle w:val="Normal"/>
        <w:keepNext w:val="true"/>
        <w:spacing w:before="160" w:after="80"/>
        <w:jc w:val="left"/>
        <w:rPr/>
      </w:pPr>
      <w:r>
        <w:rPr>
          <w:rFonts w:eastAsia="Arial" w:cs="Arial"/>
          <w:b/>
          <w:bCs/>
          <w:sz w:val="20"/>
          <w:szCs w:val="20"/>
        </w:rPr>
        <w:t>Tabelle 2.2: Checkliste persönliche Unterlagen für das Bankgespräch</w:t>
      </w:r>
    </w:p>
    <w:tbl>
      <w:tblPr>
        <w:tblW w:w="9638" w:type="dxa"/>
        <w:jc w:val="left"/>
        <w:tblInd w:w="0" w:type="dxa"/>
        <w:tblLayout w:type="fixed"/>
        <w:tblCellMar>
          <w:top w:w="40" w:type="dxa"/>
          <w:left w:w="70" w:type="dxa"/>
          <w:bottom w:w="40" w:type="dxa"/>
          <w:right w:w="70" w:type="dxa"/>
        </w:tblCellMar>
      </w:tblPr>
      <w:tblGrid>
        <w:gridCol w:w="4337"/>
        <w:gridCol w:w="3373"/>
        <w:gridCol w:w="1928"/>
      </w:tblGrid>
      <w:tr>
        <w:trPr>
          <w:tblHeader w:val="true"/>
        </w:trPr>
        <w:tc>
          <w:tcPr>
            <w:tcW w:w="433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Unterlage</w:t>
            </w:r>
          </w:p>
        </w:tc>
        <w:tc>
          <w:tcPr>
            <w:tcW w:w="337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Zweck für die Bank</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Status</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Tabellarischer Lebenslauf mit Lichtbild</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Werdegang, Lücken, Kontinuität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Schul- und Ausbildungszeugnisse, ggf. Studiennachweise</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Qualifikation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Trainerlizenzen und Zertifikate (Kopien)</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Fachliche Eignung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Arbeitszeugnisse / Praktikumsbescheinigungen aus der Fitnessbranche</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Branchenerfahrung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Schufa-Auskunft (nicht älter als 3 Monate)</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Bonität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Vermögensaufstellung / Selbstauskunft der Hausbank</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Eigenmittel, Sicherheiten, Verbindlichkeiten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Einkommensteuerbescheide der letzten 2 Jahre</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Einkommensverhältnisse</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 bei fehlender Veranlagung: Erklärung]</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Nachweis der Eigenmittel (Kontoauszüge, Sparverträge, Schenkungs-/Darlehenszusagen der Familie)</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Herkunft und Verfügbarkeit des Eigenkapitals</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Entwurf Gesellschaftsvertrag GmbH</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Rechtsform, Vertretung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Entwurf Mietvertrag / Letter of Intent des Vermieters</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Standort, Mietkonditionen 8,50 €/m²</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Stellungnahme IHK-Gründungsberatung (fachkundige Stellungnahme)</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Plausibilität des Vorhabens</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r>
        <w:trPr/>
        <w:tc>
          <w:tcPr>
            <w:tcW w:w="433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Absichtserklärung der stellvertretenden Studioleitung</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Führungskompetenz im Team</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fehlt]</w:t>
            </w:r>
          </w:p>
        </w:tc>
      </w:tr>
    </w:tbl>
    <w:p>
      <w:pPr>
        <w:pStyle w:val="Normal"/>
        <w:spacing w:before="60" w:after="200"/>
        <w:jc w:val="left"/>
        <w:rPr/>
      </w:pPr>
      <w:r>
        <w:rPr>
          <w:rFonts w:eastAsia="Arial" w:cs="Arial"/>
          <w:i/>
          <w:iCs/>
          <w:color w:val="5A5A5A"/>
          <w:sz w:val="18"/>
          <w:szCs w:val="18"/>
        </w:rPr>
        <w:t>Quelle: Sparkasse Gründungsfinanzierung; IHK Stuttgart Bankgespräch; Gründerplattform (Rechercheprotokoll (Anhang I)).</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Vor dem Bankgespräch zu klären: Liegen für den Gründer bereits zwei Einkommensteuerbescheide vor? Falls nicht (z. B. wegen Ausbildung), ist dies offen zu benennen und durch eine Aufstellung der bisherigen Einkünfte zu ersetzen. Die Herkunft der Eigenmittel (eigene Ersparnisse, Familiendarlehen, Schenkung) muss belegbar sein; Familiendarlehen sollten mit Rangrücktritt versehen werden, damit sie als eigenkapitalähnlich gewertet werden können.</w:t>
      </w:r>
    </w:p>
    <w:p>
      <w:pPr>
        <w:pStyle w:val="Heading2"/>
        <w:keepNext w:val="true"/>
        <w:spacing w:before="280" w:after="120"/>
        <w:rPr/>
      </w:pPr>
      <w:bookmarkStart w:id="12" w:name="__RefHeading___Toc21125_3809407278"/>
      <w:bookmarkEnd w:id="12"/>
      <w:r>
        <w:rPr/>
        <w:t>2.4 Das junge Alter des Gründers als Risiko und die Antwort darauf</w:t>
      </w:r>
    </w:p>
    <w:p>
      <w:pPr>
        <w:pStyle w:val="Normal"/>
        <w:spacing w:lineRule="exact" w:line="276" w:before="0" w:after="120"/>
        <w:jc w:val="both"/>
        <w:rPr/>
      </w:pPr>
      <w:r>
        <w:rPr>
          <w:rFonts w:eastAsia="Arial" w:cs="Arial"/>
          <w:sz w:val="22"/>
          <w:szCs w:val="22"/>
        </w:rPr>
        <w:t>Der Gründer ist rund 20 Jahre alt und verfügt naturgemäß nicht über mehrjährige Führungs- und Budgetverantwortung in einem Betrieb dieser Größe. Aus Sicht eines Kreditgebers ist das ein Bewertungsfaktor: Der geplante Kapitalbedarf von 2.652.583 € liegt deutlich über den Grenzen der klassischen Gründerprogramme (KfW ERP-Gründerkredit StartGeld mit 200.000 € Gesamtfremdfinanzierungsbedarf, L-Bank Startfinanzierung 80 mit maximal 250.000 € Gesamtkapitalbedarf je Unternehmer); das StartGeld wurde geprüft und wegen dieser Grenze nicht angesetzt (Kapitel 10). Zudem ein Unternehmen ohne Historie wird von den Förderbanken erfahrungsgemäß eher in die Preisklassen C bis E eingestuft; der Finanzplan rechnet mit Zinssätzen zwischen 6,4 % und 7,0 % und prüft in der Sensitivität einen Zinsanstieg um 1,5 Prozentpunkte (Quellen: Anhang I). Der Plan verschweigt dieses Risiko nicht, sondern beantwortet es mit konkreten, bereits im Finanzmodell hinterlegten Maßnahmen.</w:t>
      </w:r>
    </w:p>
    <w:p>
      <w:pPr>
        <w:pStyle w:val="Normal"/>
        <w:keepNext w:val="true"/>
        <w:spacing w:before="160" w:after="80"/>
        <w:jc w:val="left"/>
        <w:rPr/>
      </w:pPr>
      <w:r>
        <w:rPr>
          <w:rFonts w:eastAsia="Arial" w:cs="Arial"/>
          <w:b/>
          <w:bCs/>
          <w:sz w:val="20"/>
          <w:szCs w:val="20"/>
        </w:rPr>
        <w:t>Tabelle 2.3: Risiko fehlender Erfahrung und Gegenmaßnahmen</w:t>
      </w:r>
    </w:p>
    <w:tbl>
      <w:tblPr>
        <w:tblW w:w="9638" w:type="dxa"/>
        <w:jc w:val="left"/>
        <w:tblInd w:w="0" w:type="dxa"/>
        <w:tblLayout w:type="fixed"/>
        <w:tblCellMar>
          <w:top w:w="40" w:type="dxa"/>
          <w:left w:w="70" w:type="dxa"/>
          <w:bottom w:w="40" w:type="dxa"/>
          <w:right w:w="70" w:type="dxa"/>
        </w:tblCellMar>
      </w:tblPr>
      <w:tblGrid>
        <w:gridCol w:w="2891"/>
        <w:gridCol w:w="4048"/>
        <w:gridCol w:w="2699"/>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Risiko aus Sicht der Bank</w:t>
            </w:r>
          </w:p>
        </w:tc>
        <w:tc>
          <w:tcPr>
            <w:tcW w:w="404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Maßnahme</w:t>
            </w:r>
          </w:p>
        </w:tc>
        <w:tc>
          <w:tcPr>
            <w:tcW w:w="269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Verankerung im Plan</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Führungserfahrung im Studiobetrieb</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Erfahrene stellvertretende Studioleitung (Vollzeit, Trainer-A-Lizenz) mit mehrjähriger Branchenpraxis, Einstellung 2 Monate vor Eröffnung</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Stellenplan: 3.600 € brutto/Monat ab Monat −2</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Kaufmännische Lücken (Buchhaltung, Steuern, Liquiditätssteuerung)</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Steuerberater von der Gründung an, monatliche BWA und Liquiditätsplan, Lohnbuchhaltung extern</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Beratung Gründung 5.000 €; laufend 1.000 €/Monat</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Fehlende Plausibilitätsprüfung durch Dritte</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IHK-Gründungsberatung mit fachkundiger Stellungnahme; Prüfung des Finanzplans</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 zum Plan [zu beauftragen]</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Fehlendes Branchennetzwerk</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Beirat/Mentor aus der Fitnessbranche (erfahrener Studiobetreiber oder Berater), quartalsweise Beiratssitzung</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[Name, Funktion des Mentors zu ergänzen]</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Fachliche Weiterqualifikation</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Weiterbildung bei DSSV/DHfPG (z. B. Studioleitung, Fitnessökonomie) vor und parallel zur Eröffnung</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[Lehrgang, Beginn, Kosten zu ergänzen]</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Anlaufphase länger als geplant</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Betriebsmittelreserve für 24 Monate statt der branchenüblich empfohlenen 6 bis 12 Monate Fixkosten</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Reserve 740.000 € im Kapitalbedarf (Empfehlung GymAccess 6 bis 12 Monate)</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Ausfall des Gründers</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Vertretungsregelung durch stellvertretende Studioleitung; Prokura oder Handlungsvollmacht; Risikolebens- und Berufsunfähigkeitsversicherung [zu prüfen]</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Organisation (Kapitel 7)</w:t>
            </w:r>
          </w:p>
        </w:tc>
      </w:tr>
    </w:tbl>
    <w:p>
      <w:pPr>
        <w:pStyle w:val="Normal"/>
        <w:spacing w:before="60" w:after="200"/>
        <w:jc w:val="left"/>
        <w:rPr/>
      </w:pPr>
      <w:r>
        <w:rPr>
          <w:rFonts w:eastAsia="Arial" w:cs="Arial"/>
          <w:i/>
          <w:iCs/>
          <w:color w:val="5A5A5A"/>
          <w:sz w:val="18"/>
          <w:szCs w:val="18"/>
        </w:rPr>
        <w:t>Quelle: Excel-Planrechnung (Annahmen Personal, Vorlauf, Finanzierung); Rechercheprotokoll (Anhang I).</w:t>
      </w:r>
    </w:p>
    <w:p>
      <w:pPr>
        <w:pStyle w:val="Normal"/>
        <w:spacing w:lineRule="exact" w:line="276" w:before="0" w:after="120"/>
        <w:jc w:val="both"/>
        <w:rPr/>
      </w:pPr>
      <w:r>
        <w:rPr>
          <w:rFonts w:eastAsia="Arial" w:cs="Arial"/>
          <w:sz w:val="22"/>
          <w:szCs w:val="22"/>
        </w:rPr>
        <w:t>Der Gründer bringt umgekehrt Eigenschaften mit, die für das Konzept relevant sind: Er gehört selbst zur Kernzielgruppe des HYROX- und Krafttrainingsangebots, ist mit digitalen Vertriebs- und Trainingswerkzeugen (App, Online-Abschluss, Social Media) vertraut und plant einen langen unternehmerischen Zeithorizont, der zur 20-jährigen Laufzeit der Restfinanzierung passt. Die Planung des Studios wurde vollständig mit einer Planungssoftware (GymPlanner) durchgeführt, einschließlich Flächenbilanz, Kapazitätsprüfung, Fluchtwegen und einer Regularienprüfung mit 114 erfüllten und keinem nicht erfüllten Prüfpunkt (Quellen: Anhang I). Diese Vorarbeit ist Teil des Nachweises, dass der Gründer das Vorhaben strukturiert angeht.</w:t>
      </w:r>
    </w:p>
    <w:p>
      <w:pPr>
        <w:pStyle w:val="Heading2"/>
        <w:keepNext w:val="true"/>
        <w:spacing w:before="280" w:after="120"/>
        <w:rPr/>
      </w:pPr>
      <w:bookmarkStart w:id="13" w:name="__RefHeading___Toc21127_3809407278"/>
      <w:bookmarkEnd w:id="13"/>
      <w:r>
        <w:rPr/>
        <w:t>2.5 Team und externe Partner</w:t>
      </w:r>
    </w:p>
    <w:p>
      <w:pPr>
        <w:pStyle w:val="Normal"/>
        <w:spacing w:lineRule="exact" w:line="276" w:before="0" w:after="120"/>
        <w:jc w:val="both"/>
        <w:rPr/>
      </w:pPr>
      <w:r>
        <w:rPr>
          <w:rFonts w:eastAsia="Arial" w:cs="Arial"/>
          <w:sz w:val="22"/>
          <w:szCs w:val="22"/>
        </w:rPr>
        <w:t>Das Studio wird nicht allein vom Gründer getragen. Der Stellenplan sieht ab Eröffnung 14 Beschäftigte vor, darunter vier Vollzeitkräfte; ab dem zweiten Jahr kommt ein weiterer Vollzeittrainer hinzu. Die Personalkosten belaufen sich im ersten Betriebsjahr auf durchschnittlich 28.533 € je Monat und im dritten Jahr auf 33.801 € je Monat (Arbeitgeberbrutto einschließlich Sozialabgaben von 21,3 % bzw. 31,17 % bei Minijobs). Die Gehaltsansätze orientieren sich an den Marktdaten 2026: Fitnesstrainer in Baden-Württemberg verdienen im Median 3.081 € brutto/Monat (GEHALT.de 2026); der gesetzliche Mindestlohn beträgt 13,90 € (2027: 14,60 €), die Minijob-Grenze 603 € (2027: 633 €) (Quellen: Anhang I). Der Minijob-Ansatz von 620 € liegt unter der ab 2027 geltenden Grenze von 633 €.</w:t>
      </w:r>
    </w:p>
    <w:p>
      <w:pPr>
        <w:pStyle w:val="Normal"/>
        <w:keepNext w:val="true"/>
        <w:spacing w:before="160" w:after="80"/>
        <w:jc w:val="left"/>
        <w:rPr/>
      </w:pPr>
      <w:r>
        <w:rPr>
          <w:rFonts w:eastAsia="Arial" w:cs="Arial"/>
          <w:b/>
          <w:bCs/>
          <w:sz w:val="20"/>
          <w:szCs w:val="20"/>
        </w:rPr>
        <w:t>Tabelle 2.4: Stellenplan (Bruttogehalt je Monat, ohne Arbeitgeberabgaben)</w:t>
      </w:r>
    </w:p>
    <w:tbl>
      <w:tblPr>
        <w:tblW w:w="9638" w:type="dxa"/>
        <w:jc w:val="left"/>
        <w:tblInd w:w="0" w:type="dxa"/>
        <w:tblLayout w:type="fixed"/>
        <w:tblCellMar>
          <w:top w:w="40" w:type="dxa"/>
          <w:left w:w="70" w:type="dxa"/>
          <w:bottom w:w="40" w:type="dxa"/>
          <w:right w:w="70" w:type="dxa"/>
        </w:tblCellMar>
      </w:tblPr>
      <w:tblGrid>
        <w:gridCol w:w="3662"/>
        <w:gridCol w:w="964"/>
        <w:gridCol w:w="1542"/>
        <w:gridCol w:w="1542"/>
        <w:gridCol w:w="1928"/>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Funktion</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Umfang</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Brutto/Monat</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Beginn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Geschäftsführung / Studioleitung (Gründer)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Vollzeit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 Monate vor Eröffnung</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Stellv. Studioleitung / Trainer (Lizenz A)</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Vollzeit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3.600 €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 Monate vor Eröffnung</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Fitnesstrainer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Vollzeit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je 3.000 €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Monat vor Eröffnung</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Fitnesstrainer (zusätzlich)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Vollzeit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13</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Trainer / Kursleiter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Teilzeit 50 %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je 1.650 €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Eröffnung</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Empfang / Service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Teilzeit 50 %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je 1.550 €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Eröffnung</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Empfang Abend und Wochenende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Minijob</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je 620 €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Eröffnung</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 Abend</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Minijob</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je 620 €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Eröffnung</w:t>
            </w:r>
          </w:p>
        </w:tc>
      </w:tr>
    </w:tbl>
    <w:p>
      <w:pPr>
        <w:pStyle w:val="Normal"/>
        <w:spacing w:before="60" w:after="200"/>
        <w:jc w:val="left"/>
        <w:rPr/>
      </w:pPr>
      <w:r>
        <w:rPr>
          <w:rFonts w:eastAsia="Arial" w:cs="Arial"/>
          <w:i/>
          <w:iCs/>
          <w:color w:val="5A5A5A"/>
          <w:sz w:val="18"/>
          <w:szCs w:val="18"/>
        </w:rPr>
        <w:t>Quelle: Excel-Planrechnung (Gehaltssteigerung 2,5 % p. a. eingeplant).</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Der Planansatz von 3.600 € brutto für die stellvertretende Studioleitung liegt unter dem branchenübergreifenden Median für Studioleiter (5.379 € bundesweit, unteres Quartil 4.685 €, GEHALT.de 2026) und knapp über dem Median für Fitnesstrainer in Baden-Württemberg (3.081 €). Der Ansatz entspricht damit einer erfahrenen Trainerkraft mit Leitungsaufgaben, nicht einer klassischen Studioleitung. Die Bank wird dies hinterfragen; die Sensitivität „Personalkosten +10 %“ im Finanzmodell (EBITDA Jahr 3: 358.399 €, Kapitaldienstdeckung Jahr 3: 1,91) zeigt, dass ein höheres Gehalt tragbar wäre. Vor dem Bankgespräch sollte die Position idealerweise bereits mit einer konkreten Person besetzt sein, deren Lebenslauf beigelegt wird.</w:t>
      </w:r>
    </w:p>
    <w:p>
      <w:pPr>
        <w:pStyle w:val="Normal"/>
        <w:spacing w:lineRule="exact" w:line="276" w:before="0" w:after="120"/>
        <w:jc w:val="both"/>
        <w:rPr/>
      </w:pPr>
      <w:r>
        <w:rPr>
          <w:rFonts w:eastAsia="Arial" w:cs="Arial"/>
          <w:sz w:val="22"/>
          <w:szCs w:val="22"/>
        </w:rPr>
        <w:t>Externe Partner ergänzen das Team. Der Steuerberater übernimmt Finanzbuchhaltung, Lohnabrechnung, Umsatzsteuervoranmeldungen und Jahresabschluss; die Planung setzt hierfür 1.000 € je Monat an, was innerhalb der Marktspanne für die laufende GmbH-Buchhaltung von 600 bis 1.200 € je Monat liegt, zuzüglich Jahresabschluss (Steuerberater Beck 2026). Die Umsatzsteuer ist für das Vorhaben besonders relevant, weil aus der Investition 340.941 € Vorsteuer zwischenzufinanzieren sind und der Liquiditätsplan eine Spitze der Umsatzsteuer-Zwischenfinanzierung von 366.018 € ausweist; die Abstimmung mit dem Finanzamt über monatliche Voranmeldungen ist Aufgabe des Steuerberaters. Die IHK-Gründungsberatung begleitet den Plan bis zur fachkundigen Stellungnahme. Ein Beirat oder Mentor aus der Fitnessbranche [Name, Hintergrund] steht dem Gründer in der Anlaufphase beratend zur Seite; die Rolle ist unvergütet oder mit einer geringen Aufwandsentschädigung vorgesehen [zu vereinbaren]. Für die Studiosoftware, das Zutrittssystem, die Lüftungs- und Sanitärplanung sowie den Brandschutznachweis werden Fachplaner beauftragt; hierfür sind 106.991 € Planungskosten im Investitionsplan enthalten.</w:t>
      </w:r>
    </w:p>
    <w:p>
      <w:pPr>
        <w:pStyle w:val="Heading2"/>
        <w:keepNext w:val="true"/>
        <w:spacing w:before="280" w:after="120"/>
        <w:rPr/>
      </w:pPr>
      <w:bookmarkStart w:id="14" w:name="__RefHeading___Toc21129_3809407278"/>
      <w:bookmarkEnd w:id="14"/>
      <w:r>
        <w:rPr/>
        <w:t>2.6 Weiterbildung des Gründers</w:t>
      </w:r>
    </w:p>
    <w:p>
      <w:pPr>
        <w:pStyle w:val="Normal"/>
        <w:spacing w:lineRule="exact" w:line="276" w:before="0" w:after="120"/>
        <w:jc w:val="both"/>
        <w:rPr/>
      </w:pPr>
      <w:r>
        <w:rPr>
          <w:rFonts w:eastAsia="Arial" w:cs="Arial"/>
          <w:sz w:val="22"/>
          <w:szCs w:val="22"/>
        </w:rPr>
        <w:t>Der Gründer wird seine Qualifikation vor und während der Anlaufphase gezielt ergänzen. Vorgesehen sind [Lehrgang bei DSSV bzw. DHfPG, z. B. Fachwirt/Studioleitung oder Fitnessökonomie, Beginn, Dauer, Kosten], das IHK-Gründerseminar sowie eine HYROX-Trainerzertifizierung [Anbieter, Termin]. Die Trainerlizenzen des Gründers sind [vorhanden: Lizenzstufe, Anbieter, Jahr / geplant bis: Datum]. Die Kosten der Weiterbildung werden aus dem Ansatz für Sonstiges (1.500 € je Monat) bzw. privat getragen [Zuordnung zu ergänzen]. Der DSSV-Kostenrichtwert für Beratung, Fortbildung und Sonstiges liegt bei 5 bis 6 % des Nettoumsatzes (DSSV Leitfaden Kostenmanagement 2022).</w:t>
      </w:r>
    </w:p>
    <w:p>
      <w:pPr>
        <w:pStyle w:val="Heading2"/>
        <w:keepNext w:val="true"/>
        <w:spacing w:before="280" w:after="120"/>
        <w:rPr/>
      </w:pPr>
      <w:bookmarkStart w:id="15" w:name="__RefHeading___Toc21131_3809407278"/>
      <w:bookmarkEnd w:id="15"/>
      <w:r>
        <w:rPr/>
        <w:t>2.7 Private Lebenshaltung des Gründers</w:t>
      </w:r>
    </w:p>
    <w:p>
      <w:pPr>
        <w:pStyle w:val="Normal"/>
        <w:spacing w:lineRule="exact" w:line="276" w:before="0" w:after="120"/>
        <w:jc w:val="both"/>
        <w:rPr/>
      </w:pPr>
      <w:r>
        <w:rPr>
          <w:rFonts w:eastAsia="Arial" w:cs="Arial"/>
          <w:sz w:val="22"/>
          <w:szCs w:val="22"/>
        </w:rPr>
        <w:t>Der Gründer bezieht als Geschäftsführer ein Gehalt von 3.500 € brutto je Monat, beginnend drei Monate vor Eröffnung. Als Gesellschafter-Geschäftsführer mit beherrschender Stellung ist er in der Regel nicht sozialversicherungspflichtig; Kranken-, Pflege- und Altersvorsorge sind privat bzw. freiwillig zu organisieren und im privaten Haushaltsplan zu berücksichtigen [vom Gründer zu prüfen, Statusfeststellung]. Im Finanzmodell sind auf das Geschäftsführergehalt gleichwohl 21,3 % Arbeitgeberabgaben angesetzt, die Personalkosten sind insoweit konservativ geplant. Das Gehalt ist bewusst unterhalb marktüblicher Studioleitergehälter angesetzt, damit die Anlaufphase nicht durch Privatentnahmen belastet wird; Gewinnausschüttungen sind in den fünf Planjahren nicht vorgesehen. Die Bank erwartet eine Gegenüberstellung von privatem Einkommen und Ausgaben:</w:t>
      </w:r>
    </w:p>
    <w:p>
      <w:pPr>
        <w:pStyle w:val="Normal"/>
        <w:keepNext w:val="true"/>
        <w:spacing w:before="160" w:after="80"/>
        <w:jc w:val="left"/>
        <w:rPr/>
      </w:pPr>
      <w:r>
        <w:rPr>
          <w:rFonts w:eastAsia="Arial" w:cs="Arial"/>
          <w:b/>
          <w:bCs/>
          <w:sz w:val="20"/>
          <w:szCs w:val="20"/>
        </w:rPr>
        <w:t>Tabelle 2.5: Privater Finanzbedarf je Monat (vom Gründer auszufüllen)</w:t>
      </w:r>
    </w:p>
    <w:tbl>
      <w:tblPr>
        <w:tblW w:w="9638" w:type="dxa"/>
        <w:jc w:val="left"/>
        <w:tblInd w:w="0" w:type="dxa"/>
        <w:tblLayout w:type="fixed"/>
        <w:tblCellMar>
          <w:top w:w="40" w:type="dxa"/>
          <w:left w:w="70" w:type="dxa"/>
          <w:bottom w:w="40" w:type="dxa"/>
          <w:right w:w="70" w:type="dxa"/>
        </w:tblCellMar>
      </w:tblPr>
      <w:tblGrid>
        <w:gridCol w:w="6264"/>
        <w:gridCol w:w="3373"/>
      </w:tblGrid>
      <w:tr>
        <w:trPr>
          <w:tblHeader w:val="true"/>
        </w:trPr>
        <w:tc>
          <w:tcPr>
            <w:tcW w:w="62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337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Betrag je Monat</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Geschäftsführergehalt brutto (Plan)</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3.500 €</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abzüglich Lohnsteuer, Solidaritätszuschlag, ggf. Kirchensteuer</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abzüglich Kranken- und Pflegeversicherung (privat/freiwillig gesetzlich)</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abzüglich Altersvorsorge</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Verfügbares Nettoeinkommen</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Miete/Wohnen inkl. Nebenkosten</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Lebenshaltung (Ernährung, Kleidung, Mobilität, Kommunikation)</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Versicherungen privat (Haftpflicht, ggf. Berufsunfähigkeit)</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Bestehende private Kredite/Raten</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 oder: keine]</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Rücklage</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w:t>
            </w:r>
          </w:p>
        </w:tc>
      </w:tr>
      <w:tr>
        <w:trPr/>
        <w:tc>
          <w:tcPr>
            <w:tcW w:w="62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Überschuss / Unterdeckung</w:t>
            </w:r>
          </w:p>
        </w:tc>
        <w:tc>
          <w:tcPr>
            <w:tcW w:w="337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[Betrag]</w:t>
            </w:r>
          </w:p>
        </w:tc>
      </w:tr>
    </w:tbl>
    <w:p>
      <w:pPr>
        <w:pStyle w:val="Normal"/>
        <w:spacing w:before="60" w:after="200"/>
        <w:jc w:val="left"/>
        <w:rPr/>
      </w:pPr>
      <w:r>
        <w:rPr>
          <w:rFonts w:eastAsia="Arial" w:cs="Arial"/>
          <w:i/>
          <w:iCs/>
          <w:color w:val="5A5A5A"/>
          <w:sz w:val="18"/>
          <w:szCs w:val="18"/>
        </w:rPr>
        <w:t>Quelle: Excel-Planrechnung (Gehaltsansatz); private Angaben des Gründers.</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Der Gründungszuschuss der Bundesagentur für Arbeit setzt einen Restanspruch auf Arbeitslosengeld I von mindestens 150 Tagen voraus und steht einem etwa 20-jährigen Gründer ohne ALG-I-Anspruch in der Regel nicht zur Verfügung (Quellen: Anhang I). Er ist daher nicht eingeplant.</w:t>
      </w:r>
    </w:p>
    <w:p>
      <w:pPr>
        <w:pStyle w:val="Heading2"/>
        <w:keepNext w:val="true"/>
        <w:spacing w:before="280" w:after="120"/>
        <w:rPr/>
      </w:pPr>
      <w:bookmarkStart w:id="16" w:name="__RefHeading___Toc21133_3809407278"/>
      <w:bookmarkEnd w:id="16"/>
      <w:r>
        <w:rPr/>
        <w:t>2.8 Persönliche Haftung, Bürgschaft und Rechtsform</w:t>
      </w:r>
    </w:p>
    <w:p>
      <w:pPr>
        <w:pStyle w:val="Normal"/>
        <w:spacing w:lineRule="exact" w:line="276" w:before="0" w:after="120"/>
        <w:jc w:val="both"/>
        <w:rPr/>
      </w:pPr>
      <w:r>
        <w:rPr>
          <w:rFonts w:eastAsia="Arial" w:cs="Arial"/>
          <w:sz w:val="22"/>
          <w:szCs w:val="22"/>
        </w:rPr>
        <w:t>Das Unternehmen wird als GmbH mit einem voll eingezahlten Stammkapital von 25.000 € gegründet (§ 7 Abs. 2 GmbHG; mindestens 12.500 € vor Anmeldung). Die Haftung der Gesellschaft ist damit auf das Gesellschaftsvermögen begrenzt. Für die Gründungsfinanzierung bedeutet das jedoch keine Haftungsfreiheit des Gründers: Die Bürgschaftsbank Baden-Württemberg verlangt in der Regel die persönliche Mitverpflichtung der Gesellschafter, die KfW verlangt beim ERP-Förderkredit Gründung und Nachfolge (077) die persönliche Haftung des Antragstellers als einzige Sicherheit (Quellen: Anhang I). Das KfW ERP-Gründerkredit StartGeld (067) wurde geprüft und nicht angesetzt, weil es nur bei einem Gesamtfremdfinanzierungsbedarf bis 200.000 € förderfähig ist; die Restfinanzierung erfolgt über die L-Bank Gründungsfinanzierung (GuW-BW) über die Hausbank mit 80 % Bürgschaft der Bürgschaftsbank Baden-Württemberg (Kapitel 10). Der Gründer erklärt sich bereit, für die Darlehen der GmbH eine selbstschuldnerische Bürgschaft in banküblicher Höhe zu übernehmen [Umfang mit der Hausbank abzustimmen].</w:t>
      </w:r>
    </w:p>
    <w:p>
      <w:pPr>
        <w:pStyle w:val="Normal"/>
        <w:spacing w:lineRule="exact" w:line="276" w:before="0" w:after="120"/>
        <w:jc w:val="both"/>
        <w:rPr/>
      </w:pPr>
      <w:r>
        <w:rPr>
          <w:rFonts w:eastAsia="Arial" w:cs="Arial"/>
          <w:sz w:val="22"/>
          <w:szCs w:val="22"/>
        </w:rPr>
        <w:t>Die Eigenmittel bestehen aus 150.000 € Bareinlage des Gründers [Herkunft: eigene Ersparnisse / Familiendarlehen mit Rangrücktritt / Schenkung, zu belegen] sowie einer geplanten stillen Beteiligung der MBG Baden-Württemberg über 250.000 €, die als wirtschaftliches Eigenkapital gilt (Quellen: Anhang I). Zusammen ergibt das eine Eigenkapitalquote von 15,1 % des Kapitalbedarfs von 2.652.583 €. Die Sparkasse nennt 15 bis 20 % als Erwartung, das BMWK-Existenzgründungsportal empfiehlt möglichst nicht unter 20 % (Quellen: Anhang I). Die Quote liegt damit am unteren Rand des Bankrahmens; jede zusätzliche Eigenleistung (z. B. Familiendarlehen mit Rangrücktritt) verbessert die Verhandlungsposition und wird in Kapitel 10 als Handlungsoption dargestellt.</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Alter des Gründers</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ca. 20 Jahre</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Rechtsform</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GmbH, Stammkapital 25.000 €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Eigenmittel Gründer</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150.000 €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Eigenkapitalähnlich (MBG)</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250.000 €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Eigenkapitalquote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15,1 %</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Beschäftigte ab Eröffnung</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14 (ab Jahr 2: 15)</w:t>
            </w:r>
          </w:p>
        </w:tc>
      </w:tr>
    </w:tbl>
    <w:p>
      <w:pPr>
        <w:pStyle w:val="Normal"/>
        <w:spacing w:lineRule="exact" w:line="276" w:before="0" w:after="80"/>
        <w:jc w:val="both"/>
        <w:rPr/>
      </w:pPr>
      <w:r>
        <w:rPr/>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Vor dem Bankgespräch zu ergänzen: alle Platzhalter in den Tabellen 2.1, 2.2 und 2.5; Lebenslauf der stellvertretenden Studioleitung; Name und Hintergrund des Mentors/Beirats; Nachweis der Eigenmittelherkunft; Angebot des Steuerberaters; Bestätigung des Termins für die IHK-Gründungsberatung.</w:t>
      </w:r>
      <w:r>
        <w:br w:type="page"/>
      </w:r>
    </w:p>
    <w:p>
      <w:pPr>
        <w:pStyle w:val="Heading1"/>
        <w:spacing w:before="360" w:after="200"/>
        <w:rPr/>
      </w:pPr>
      <w:bookmarkStart w:id="17" w:name="__RefHeading___Toc21135_3809407278"/>
      <w:bookmarkEnd w:id="17"/>
      <w:r>
        <w:rPr/>
        <w:t>3 Geschäftsidee, Leistungsangebot und Studiokonzept</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Bruttofläche</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1.975,40 m²</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Trainingsfläche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1.138,58 m² (59,0 % der Nettofläche)</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Kapazität gleichzeitig</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126 Trainierende (9 m²-Regel)</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Ziel-Mitgliederbestand</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2.200 (ab Monat 29)</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Kraftmaschinen / Cardiogeräte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52 / 20</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Beiträge brutto</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34,90 bis 59,90 €/Monat</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Geräteinvestition netto</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590.968 € (147 Positionen)</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Eröffnung</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01.09.2027</w:t>
            </w:r>
          </w:p>
        </w:tc>
      </w:tr>
    </w:tbl>
    <w:p>
      <w:pPr>
        <w:pStyle w:val="Normal"/>
        <w:spacing w:lineRule="exact" w:line="276" w:before="0" w:after="80"/>
        <w:jc w:val="both"/>
        <w:rPr/>
      </w:pPr>
      <w:r>
        <w:rPr/>
      </w:r>
    </w:p>
    <w:p>
      <w:pPr>
        <w:pStyle w:val="Heading2"/>
        <w:keepNext w:val="true"/>
        <w:spacing w:before="280" w:after="120"/>
        <w:rPr/>
      </w:pPr>
      <w:bookmarkStart w:id="18" w:name="__RefHeading___Toc21137_3809407278"/>
      <w:bookmarkEnd w:id="18"/>
      <w:r>
        <w:rPr/>
        <w:t>3.1 Geschäftsidee und Positionierung</w:t>
      </w:r>
    </w:p>
    <w:p>
      <w:pPr>
        <w:pStyle w:val="Normal"/>
        <w:spacing w:lineRule="exact" w:line="276" w:before="0" w:after="120"/>
        <w:jc w:val="both"/>
        <w:rPr/>
      </w:pPr>
      <w:r>
        <w:rPr>
          <w:rFonts w:eastAsia="Arial" w:cs="Arial"/>
          <w:sz w:val="22"/>
          <w:szCs w:val="22"/>
        </w:rPr>
        <w:t>No.1 Fitness &amp; HYROX Studio (Arbeitstitel) ist ein inhabergeführtes Fitnessstudio mit rund 1.975 m² Bruttofläche auf einer Ebene, das vier Angebote unter einem Dach verbindet: einen vollständig mit Premiumgeräten der Hersteller Atlantis und Prime ausgestatteten Kraftbereich mit 52 Maschinen, gegliedert nach Muskelgruppen, einen Freihantel- und Rack-Bereich, eine HYROX-Zone mit acht Stationen und einer Sled-Bahn sowie einen Wellnessbereich mit finnischer Sauna, Dampfbad, Cold Plunge und Erlebnisdusche. Ergänzt wird das Angebot durch einen Cardiobereich mit 20 Geräten, einen Kursraum mit 149 m² und betreutes Training durch lizenzierte Trainer in den Kernzeiten (Quellen: Anhang I). Das Studio positioniert sich in der Premium-Mittelklasse: oberhalb der Discount-Ketten, die 2026 effektiv 31 bis 39 € je Monat verlangen (fair-for-fitness 2026), und unterhalb der reinen Premiumanbieter wie Happy Fit Premium Konstanz mit 80 bis 109 € je Monat (Happy Fit Premium).</w:t>
      </w:r>
    </w:p>
    <w:p>
      <w:pPr>
        <w:pStyle w:val="Normal"/>
        <w:spacing w:lineRule="exact" w:line="276" w:before="0" w:after="120"/>
        <w:jc w:val="both"/>
        <w:rPr/>
      </w:pPr>
      <w:r>
        <w:rPr>
          <w:rFonts w:eastAsia="Arial" w:cs="Arial"/>
          <w:sz w:val="22"/>
          <w:szCs w:val="22"/>
        </w:rPr>
        <w:t>Die Positionierung greift die belegten Nachfragetrends auf. Im ACSM-Trendranking 2026 für Deutschland liegt klassisches Krafttraining auf Platz 1, datengestützte Trainingstechnologie auf Platz 2 und Functional Training auf Platz 4 (BODYMEDIA/DHfPG 2026); die DSSV-Betreiberbefragung 2024 nennt Krafttraining mit freien Gewichten, qualifizierte Fachkräfte und Functional Fitness unter den fünf wichtigsten Trends (DSSV 2024). HYROX hat sich seit der Gründung 2017 zur weltweit größten Fitness-Wettkampfserie entwickelt: rund 900.000 Athleten im Jahr 2025, über 1,5 Mio. Teilnehmer in der Saison 2025/26 und rund 15.000 Partnerstudios, davon etwa 1.300 im DACH-Raum (BODYMEDIA 29.05.2026; endurance.biz 20.07.2026). In der Bodenseeregion bieten nur zwei der 20 erfassten Studios ein HYROX-Training an, in der Region Stuttgart zwei von zehn (Quellen: Anhang I). Sauna ist dagegen bei rund zwei Dritteln der Wettbewerber vorhanden und wird deshalb nicht als Alleinstellungsmerkmal, sondern als Hygienefaktor für das Premiumsegment betrachtet.</w:t>
      </w:r>
    </w:p>
    <w:p>
      <w:pPr>
        <w:pStyle w:val="Normal"/>
        <w:spacing w:lineRule="exact" w:line="276" w:before="0" w:after="120"/>
        <w:jc w:val="both"/>
        <w:rPr/>
      </w:pPr>
      <w:r>
        <w:rPr>
          <w:rFonts w:eastAsia="Arial" w:cs="Arial"/>
          <w:sz w:val="22"/>
          <w:szCs w:val="22"/>
        </w:rPr>
        <w:t>Der Kundennutzen lässt sich in vier Aussagen zusammenfassen. Erstens: vollständige Geräteausstattung auf Wettkampfniveau (Atlantis Precision-, Power- und Pro-Serie; Prime Hybrid und Evolution) statt der in Discount-Ketten üblichen Standardlinien. Zweitens: ein HYROX-Trainingsangebot mit den offiziellen Stationen, das in der Region kaum verfügbar ist und eine wachsende, zahlungsbereite Zielgruppe anspricht. Drittens: Betreuung durch lizenzierte Trainer in den Kernzeiten, verbunden mit langen Öffnungszeiten über ein Zutrittssystem. Viertens: Regeneration und Wellness als Bestandteil des Premiumtarifs statt als kostenpflichtiges Extra. Damit spricht das Studio sowohl leistungsorientierte Trainierende (20 bis 40 Jahre) als auch gesundheits- und regenerationsorientierte Mitglieder (40 Jahre und älter) an; das Durchschnittsalter der Fitnessstudiomitglieder in Deutschland liegt bei 40,5 Jahren, der Frauenanteil bei 53,3 % (DSSV Eckdaten 2022). Die Zielgruppen und das Einzugsgebiet werden in Kapitel 4 quantifiziert.</w:t>
      </w:r>
    </w:p>
    <w:p>
      <w:pPr>
        <w:pStyle w:val="Heading2"/>
        <w:keepNext w:val="true"/>
        <w:spacing w:before="280" w:after="120"/>
        <w:rPr/>
      </w:pPr>
      <w:bookmarkStart w:id="19" w:name="__RefHeading___Toc21139_3809407278"/>
      <w:bookmarkEnd w:id="19"/>
      <w:r>
        <w:rPr/>
        <w:t>3.2 Studiokonzept und Flächenprogramm</w:t>
      </w:r>
    </w:p>
    <w:p>
      <w:pPr>
        <w:pStyle w:val="Normal"/>
        <w:spacing w:lineRule="exact" w:line="276" w:before="0" w:after="120"/>
        <w:jc w:val="both"/>
        <w:rPr/>
      </w:pPr>
      <w:r>
        <w:rPr>
          <w:rFonts w:eastAsia="Arial" w:cs="Arial"/>
          <w:sz w:val="22"/>
          <w:szCs w:val="22"/>
        </w:rPr>
        <w:t>Das Studio wurde vollständig in der Planungssoftware GymPlanner geplant und geprüft (Projekt „No.1 (überarbeitet)“, Export 26.09.2026). Die Halle misst 59,50 × 33,20 m bei 4,00 m Deckenhöhe und 24 cm Außenwänden; die Bruttofläche beträgt 1.975,40 m², die Nettofläche 1.931,13 m² (Quellen: Anhang I). Alle Funktionen liegen im Erdgeschoss, was Barrierefreiheit, kurze Wege und einfache Aufsicht ermöglicht. Die Flächenbilanz zeigt einen für Fitnessanlagen hohen Anteil produktiver Trainingsfläche von 59,0 %:</w:t>
      </w:r>
    </w:p>
    <w:p>
      <w:pPr>
        <w:pStyle w:val="Normal"/>
        <w:keepNext w:val="true"/>
        <w:spacing w:before="160" w:after="80"/>
        <w:jc w:val="left"/>
        <w:rPr/>
      </w:pPr>
      <w:r>
        <w:rPr>
          <w:rFonts w:eastAsia="Arial" w:cs="Arial"/>
          <w:b/>
          <w:bCs/>
          <w:sz w:val="20"/>
          <w:szCs w:val="20"/>
        </w:rPr>
        <w:t>Tabelle 3.1: Flächenprogramm nach Flächenklassen</w:t>
      </w:r>
    </w:p>
    <w:tbl>
      <w:tblPr>
        <w:tblW w:w="9638" w:type="dxa"/>
        <w:jc w:val="left"/>
        <w:tblInd w:w="0" w:type="dxa"/>
        <w:tblLayout w:type="fixed"/>
        <w:tblCellMar>
          <w:top w:w="40" w:type="dxa"/>
          <w:left w:w="70" w:type="dxa"/>
          <w:bottom w:w="40" w:type="dxa"/>
          <w:right w:w="70" w:type="dxa"/>
        </w:tblCellMar>
      </w:tblPr>
      <w:tblGrid>
        <w:gridCol w:w="2505"/>
        <w:gridCol w:w="1350"/>
        <w:gridCol w:w="1735"/>
        <w:gridCol w:w="4047"/>
      </w:tblGrid>
      <w:tr>
        <w:trPr>
          <w:tblHeader w:val="true"/>
        </w:trPr>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Flächenklasse</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m²</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Anteil Nettofläche</w:t>
            </w:r>
          </w:p>
        </w:tc>
        <w:tc>
          <w:tcPr>
            <w:tcW w:w="404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Inhalt</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Trainingsfläche</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1.138,58</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59,0 %</w:t>
            </w:r>
          </w:p>
        </w:tc>
        <w:tc>
          <w:tcPr>
            <w:tcW w:w="40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Maschinen, Freihantel, HYROX, Kursraum, Functional, Cardio</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Verkehrsfläche</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340,26</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17,6 %</w:t>
            </w:r>
          </w:p>
        </w:tc>
        <w:tc>
          <w:tcPr>
            <w:tcW w:w="40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Hauptwege in der Halle, Flur Umkleiden, Flur WC/Wellness</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Nebenfläche</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207,01</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10,7 %</w:t>
            </w:r>
          </w:p>
        </w:tc>
        <w:tc>
          <w:tcPr>
            <w:tcW w:w="40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Empfang/Lounge, Lager, Technik, Putzraum, Büro, Personalraum</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Umkleide/Sanitär</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158,99</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8,2 %</w:t>
            </w:r>
          </w:p>
        </w:tc>
        <w:tc>
          <w:tcPr>
            <w:tcW w:w="40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Umkleiden Damen/Herren, Duschen, WCs</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Wellness</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58,35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3,0 %</w:t>
            </w:r>
          </w:p>
        </w:tc>
        <w:tc>
          <w:tcPr>
            <w:tcW w:w="40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Sauna, Dampfbad, Cold Plunge, Ruheraum</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Innenwände (nicht zugeordnet)</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27,94</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1,4 %</w:t>
            </w:r>
          </w:p>
        </w:tc>
        <w:tc>
          <w:tcPr>
            <w:tcW w:w="40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Nettofläche gesamt</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1.931,13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100 %</w:t>
            </w:r>
          </w:p>
        </w:tc>
        <w:tc>
          <w:tcPr>
            <w:tcW w:w="40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Bruttofläche 1.975,40 m²</w:t>
            </w:r>
          </w:p>
        </w:tc>
      </w:tr>
    </w:tbl>
    <w:p>
      <w:pPr>
        <w:pStyle w:val="Normal"/>
        <w:spacing w:before="60" w:after="200"/>
        <w:jc w:val="left"/>
        <w:rPr/>
      </w:pPr>
      <w:r>
        <w:rPr>
          <w:rFonts w:eastAsia="Arial" w:cs="Arial"/>
          <w:i/>
          <w:iCs/>
          <w:color w:val="5A5A5A"/>
          <w:sz w:val="18"/>
          <w:szCs w:val="18"/>
        </w:rPr>
        <w:t>Quelle: Rechercheprotokoll (Anhang I), GymPlanner-Flächenbilanz.</w:t>
      </w:r>
    </w:p>
    <w:p>
      <w:pPr>
        <w:pStyle w:val="Normal"/>
        <w:keepNext w:val="true"/>
        <w:spacing w:before="160" w:after="80"/>
        <w:jc w:val="left"/>
        <w:rPr/>
      </w:pPr>
      <w:r>
        <w:rPr>
          <w:rFonts w:eastAsia="Arial" w:cs="Arial"/>
          <w:b/>
          <w:bCs/>
          <w:sz w:val="20"/>
          <w:szCs w:val="20"/>
        </w:rPr>
        <w:t>Tabelle 3.2: Zonen und Räume mit Flächen</w:t>
      </w:r>
    </w:p>
    <w:tbl>
      <w:tblPr>
        <w:tblW w:w="9638" w:type="dxa"/>
        <w:jc w:val="left"/>
        <w:tblInd w:w="0" w:type="dxa"/>
        <w:tblLayout w:type="fixed"/>
        <w:tblCellMar>
          <w:top w:w="40" w:type="dxa"/>
          <w:left w:w="70" w:type="dxa"/>
          <w:bottom w:w="40" w:type="dxa"/>
          <w:right w:w="70" w:type="dxa"/>
        </w:tblCellMar>
      </w:tblPr>
      <w:tblGrid>
        <w:gridCol w:w="3084"/>
        <w:gridCol w:w="1735"/>
        <w:gridCol w:w="4819"/>
      </w:tblGrid>
      <w:tr>
        <w:trPr>
          <w:tblHeader w:val="true"/>
        </w:trPr>
        <w:tc>
          <w:tcPr>
            <w:tcW w:w="308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Zone / Raum</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m²</w:t>
            </w:r>
          </w:p>
        </w:tc>
        <w:tc>
          <w:tcPr>
            <w:tcW w:w="481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Kernausstattung</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Maschinen Rücken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158,68</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 Kraftmaschinen (Latzug, Ruderzug, Rack-Module, Hyperextension)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Maschinen Beine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141,90</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 Kraftmaschinen (Beinpressen, Hack Squat, Pendulum Squat, Beinbeuger/-strecker)</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Maschinen Schultern &amp; Arme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99,50</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 Kraftmaschinen (Schulterpresse, Seitheben, Bizeps-/Trizepsgeräte, Dip)</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Maschinen Brust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76,10</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 Kraftmaschinen (Brustpressen, Butterfly, Pec/Rear-Delt)</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Freihantel</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184,25</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 Half Racks, 1 Power Rack, 2 Smith Machines, Plattform, 3 Bänke, Kurzhantel-Racks</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HYROX-Zone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169,88</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 Stationen, 2 Sleds auf einer Kunstrasenbahn, 2 SkiErg, 2 RowErg, 2 Wall-Ball-Ziele</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Kursraum</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149,01</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 Matten, 8 Indoor-Cycling-Räder, Musikanlage, Trainerpodest</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Core &amp; Dehnen (Functional/Stretching)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88,11</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 Matten, Kettlebell-, Medizinball-Regal, Plyo-Boxen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Cardio</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71,16</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16 Cardiogeräte (Laufbänder, Crosstrainer, Stairmaster, Ergometer)</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Empfang / Lounge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78,28</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Theke, Shakebar, 2 Drehkreuze, Sitzbereich</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Umkleide Damen / Herren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44,92 / 44,18</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178 Spindfächer gesamt, 2 Einzelkabinen, 10 Bänke</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Duschen Damen / Herren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25,14 / 24,73</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Duschen gesamt (davon 2 barrierefrei)</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WC Damen und barrierefrei / WC Herren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8,43 / 11,58</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 WCs, 4 Urinale, 8 Waschtische</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Wellness / Sauna</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45,99</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Sauna 400 × 300 cm, Dampfbad, Cold Plunge, Erlebnisdusche</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Ruheraum</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12,36</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 Ruheliegen, Teestation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Lager / Technik / Putzraum</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42,09 / 24,04 / 23,80</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Lüftungsanlage, Warmwasserspeicher, Waschmaschine, Trockner</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Büro / Personalraum</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19,51 / 19,30</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Arbeitsplatz Geschäftsführung, Besprechungstisch, Teeküche</w:t>
            </w:r>
          </w:p>
        </w:tc>
      </w:tr>
    </w:tbl>
    <w:p>
      <w:pPr>
        <w:pStyle w:val="Normal"/>
        <w:spacing w:before="60" w:after="200"/>
        <w:jc w:val="left"/>
        <w:rPr/>
      </w:pPr>
      <w:r>
        <w:rPr>
          <w:rFonts w:eastAsia="Arial" w:cs="Arial"/>
          <w:i/>
          <w:iCs/>
          <w:color w:val="5A5A5A"/>
          <w:sz w:val="18"/>
          <w:szCs w:val="18"/>
        </w:rPr>
        <w:t>Quelle: Rechercheprotokoll (Anhang I).</w:t>
      </w:r>
    </w:p>
    <w:p>
      <w:pPr>
        <w:pStyle w:val="Normal"/>
        <w:keepNext w:val="true"/>
        <w:spacing w:before="120" w:after="40"/>
        <w:jc w:val="center"/>
        <w:rPr/>
      </w:pPr>
      <w:r>
        <w:rPr/>
        <w:drawing>
          <wp:inline distT="0" distB="0" distL="0" distR="0">
            <wp:extent cx="5715000" cy="34671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3467100"/>
                    </a:xfrm>
                    <a:prstGeom prst="rect">
                      <a:avLst/>
                    </a:prstGeom>
                  </pic:spPr>
                </pic:pic>
              </a:graphicData>
            </a:graphic>
          </wp:inline>
        </w:drawing>
      </w:r>
    </w:p>
    <w:p>
      <w:pPr>
        <w:pStyle w:val="Normal"/>
        <w:spacing w:before="60" w:after="200"/>
        <w:jc w:val="left"/>
        <w:rPr/>
      </w:pPr>
      <w:r>
        <w:rPr>
          <w:rFonts w:eastAsia="Arial" w:cs="Arial"/>
          <w:i/>
          <w:iCs/>
          <w:color w:val="5A5A5A"/>
          <w:sz w:val="18"/>
          <w:szCs w:val="18"/>
        </w:rPr>
        <w:t>Abbildung 3.1: Grundriss No.1 Fitness &amp; HYROX Studio (Erdgeschoss, 59,50 × 33,20 m) mit Zonen, Fluchtwegen und Legende, Export GymPlanner 26.09.2026</w:t>
      </w:r>
    </w:p>
    <w:p>
      <w:pPr>
        <w:pStyle w:val="Normal"/>
        <w:spacing w:lineRule="exact" w:line="276" w:before="0" w:after="120"/>
        <w:jc w:val="both"/>
        <w:rPr/>
      </w:pPr>
      <w:r>
        <w:rPr>
          <w:rFonts w:eastAsia="Arial" w:cs="Arial"/>
          <w:sz w:val="22"/>
          <w:szCs w:val="22"/>
        </w:rPr>
        <w:t>Die Kapazitätsprüfung nach der 9 m²-Regel ergibt 126 gleichzeitig Trainierende (1.138,58 m² Trainingsfläche geteilt durch 9 m²); die Bemessung für Rettungswege und Sanitäranlagen erfolgt für 132 Personen einschließlich 6 Beschäftigten (Quellen: Anhang I). Die Sanitärausstattung übertrifft die Mindestwerte deutlich: 178 Spindfächer bei einem Soll von 126, 18 Duschen bei einem Soll von 9 (empfohlen 13) und 11 WCs bei einem Soll von 6 (Quellen: Anhang I). Sechs Notausgänge mit zusammen 690 cm Breite (Soll mindestens 120 cm) und zwölf gezeichnete Fluchtwege mit Lauflängen zwischen 14,7 und 35,2 m (Soll höchstens 52,5 m) sind eingeplant; 21 Feuerlöscher, 2 AED-Geräte, 5 Verbandkästen, Rettungszeichenleuchten und Flucht- und Rettungspläne sind Teil der Ausstattung. Die Regularienprüfung der Planungssoftware weist 114 erfüllte Prüfpunkte, keinen nicht erfüllten Punkt und sechs Hinweise aus (Bewegungsfläche barrierefreies WC, Beschäftigten-Toiletten, Brandschutzhelfer, Ersthelfer, Legionellenprüfung, Feuerlöscherprüfung); die Versammlungsstättenverordnung ist bei 132 Personen nicht anwendbar, da sie erst ab 200 Personen greift (Quellen: Anhang I). Für die Nutzungsänderung einer Gewerbehalle zum Fitnessstudio sind nach der Stellplatzverwaltungsvorschrift Baden-Württemberg 1 Kfz-Stellplatz je 25 m² Sportfläche nachzuweisen, für No.1 bei rund 1.300 m² anrechenbarer Sportfläche überschlägig 52 Kfz-Stellplätze; für Fahrräder enthält die Verwaltungsvorschrift keine Richtzahl für Fitnesscenter, in Anlehnung an Sporthallen (1 je 50 m²) sind rund 26 Fahrradstellplätze anzusetzen (AKBW-Merkblatt 593, Rechercheprotokoll (Anhang I); Planungsannahme, im Bauantrag zu konkretisieren).</w:t>
      </w:r>
    </w:p>
    <w:p>
      <w:pPr>
        <w:pStyle w:val="Heading2"/>
        <w:keepNext w:val="true"/>
        <w:spacing w:before="280" w:after="120"/>
        <w:rPr/>
      </w:pPr>
      <w:bookmarkStart w:id="20" w:name="__RefHeading___Toc21141_3809407278"/>
      <w:bookmarkEnd w:id="20"/>
      <w:r>
        <w:rPr/>
        <w:t>3.3 Leistungsangebot je Bereich</w:t>
      </w:r>
    </w:p>
    <w:p>
      <w:pPr>
        <w:pStyle w:val="Heading2"/>
        <w:keepNext w:val="true"/>
        <w:spacing w:before="280" w:after="120"/>
        <w:rPr/>
      </w:pPr>
      <w:bookmarkStart w:id="21" w:name="__RefHeading___Toc21143_3809407278"/>
      <w:bookmarkEnd w:id="21"/>
      <w:r>
        <w:rPr/>
        <w:t>3.3.1 Gerätegestütztes Krafttraining</w:t>
      </w:r>
    </w:p>
    <w:p>
      <w:pPr>
        <w:pStyle w:val="Normal"/>
        <w:spacing w:lineRule="exact" w:line="276" w:before="0" w:after="120"/>
        <w:jc w:val="both"/>
        <w:rPr/>
      </w:pPr>
      <w:r>
        <w:rPr>
          <w:rFonts w:eastAsia="Arial" w:cs="Arial"/>
          <w:sz w:val="22"/>
          <w:szCs w:val="22"/>
        </w:rPr>
        <w:t>Der Kraftbereich umfasst 52 Maschinen, davon 45 von Atlantis (Kanada) und 7 von Prime (USA), auf 476,17 m² in vier nach Muskelgruppen gegliederten Zonen (Quellen: Anhang I). Die Gliederung nach Beine, Rücken, Brust sowie Schultern und Arme ermöglicht Trainierenden einen klaren Split-Ablauf und den Trainern eine effiziente Betreuung. Jede Muskelgruppe ist mit mehreren Geräten für unterschiedliche Winkel und Bewegungsmuster abgedeckt, so dass auch zu Spitzenzeiten keine Wartezeiten an Schlüsselgeräten entstehen; für die Brustpresse sind beispielsweise drei Converging Incline Bench Press (Atlantis P443) vorgesehen.</w:t>
      </w:r>
    </w:p>
    <w:p>
      <w:pPr>
        <w:pStyle w:val="Normal"/>
        <w:keepNext w:val="true"/>
        <w:spacing w:before="160" w:after="80"/>
        <w:jc w:val="left"/>
        <w:rPr/>
      </w:pPr>
      <w:r>
        <w:rPr>
          <w:rFonts w:eastAsia="Arial" w:cs="Arial"/>
          <w:b/>
          <w:bCs/>
          <w:sz w:val="20"/>
          <w:szCs w:val="20"/>
        </w:rPr>
        <w:t>Tabelle 3.3: Kraftmaschinen nach Muskelgruppe (Auswahl der Geräte, Preise netto je Stück)</w:t>
      </w:r>
    </w:p>
    <w:tbl>
      <w:tblPr>
        <w:tblW w:w="9638" w:type="dxa"/>
        <w:jc w:val="left"/>
        <w:tblInd w:w="0" w:type="dxa"/>
        <w:tblLayout w:type="fixed"/>
        <w:tblCellMar>
          <w:top w:w="40" w:type="dxa"/>
          <w:left w:w="70" w:type="dxa"/>
          <w:bottom w:w="40" w:type="dxa"/>
          <w:right w:w="70" w:type="dxa"/>
        </w:tblCellMar>
      </w:tblPr>
      <w:tblGrid>
        <w:gridCol w:w="1734"/>
        <w:gridCol w:w="964"/>
        <w:gridCol w:w="6940"/>
      </w:tblGrid>
      <w:tr>
        <w:trPr>
          <w:tblHeader w:val="true"/>
        </w:trPr>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Muskelgruppe</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694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Beispiele (Hersteller, Modell, Preis netto)</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Beine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69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Horizontal Leg Press Atlantis C403 10.610 €; Pendulum Squat Pro PW212 9.280 €; 40° Leg Press C401 8.470 €; Hack Squat C412 8.310 €; Leg Extension C105 7.590 €; Kneeling Leg Curl C118 7.410 €; Lying Leg Curl C106 7.220 €; Glute Abductor PW429 6.830 €; Hip Thruster Pro PW702 6.450 €; Inner Thigh Prime Hybrid 5.260 €; Seated Calf PW319 4.240 €; Single Leg Squat Stand C220 660 €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Rücken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69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Unilateral Lat Pulldown MS12 (2 ×) 7.020 €; Assisted Chin/Dip D131 7.950 €; Lat Pulldown D123 6.480 €; Low Row MS7 (2 ×) 5.870 €; Lat Pulldown MS6 (2 ×) 5.270 €; Low Row PW637 4.420 €; Row PW437 4.420 €; Incline T-Bar Row PW625 3.160 €; Incline Hyper Extension D828 3.010 €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Brust</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w:t>
            </w:r>
          </w:p>
        </w:tc>
        <w:tc>
          <w:tcPr>
            <w:tcW w:w="69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Converging Incline Bench Press P443 (3 ×) 5.080 €; Pec/Rear Delt Fly Combo P156 6.430 €; Decline Vertical Chest Press PW739 5.660 €; Incline Pec Fly PW256 (2 ×) 3.750 €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Schultern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69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Standing Lateral Raise E252 8.140 €; Converging Shoulder Press E449 5.500 €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Arme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w:t>
            </w:r>
          </w:p>
        </w:tc>
        <w:tc>
          <w:tcPr>
            <w:tcW w:w="69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Biceps Isolator B160 9.400 €; Triceps Pushdown T163 7.950 €; Incline Triceps Pushdown T215 5.520 €; Arm Curl Prime Evolution 4.690 €; Seated Preacher Curl B256 2.380 €; Dip Bars P245 1.940 €; Double-Sided Preacher Prime (2 ×) 1.180 €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Rumpf</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69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Abdominal Crunch Prime Hybrid 4.910 €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Racks / Smith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w:t>
            </w:r>
          </w:p>
        </w:tc>
        <w:tc>
          <w:tcPr>
            <w:tcW w:w="69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Smith Machine E155 (2 ×) 7.240 €; Half Rack C511 (3 ×) 3.100 €; Power Rack C513 4.380 €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Bänke / Plattform</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69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Adjustable Bench Prime (2 ×) 640 €; Flat Bench B275 880 €; Plattform Hartholz B4800 2.540 €</w:t>
            </w:r>
          </w:p>
        </w:tc>
      </w:tr>
      <w:tr>
        <w:trPr/>
        <w:tc>
          <w:tcPr>
            <w:tcW w:w="173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 Kraftgeräte</w:t>
            </w:r>
          </w:p>
        </w:tc>
        <w:tc>
          <w:tcPr>
            <w:tcW w:w="96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52</w:t>
            </w:r>
          </w:p>
        </w:tc>
        <w:tc>
          <w:tcPr>
            <w:tcW w:w="694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268.570 € netto zzgl. 12 % Import-Nebenkosten (32.228 €)</w:t>
            </w:r>
          </w:p>
        </w:tc>
      </w:tr>
    </w:tbl>
    <w:p>
      <w:pPr>
        <w:pStyle w:val="Normal"/>
        <w:spacing w:before="60" w:after="200"/>
        <w:jc w:val="left"/>
        <w:rPr/>
      </w:pPr>
      <w:r>
        <w:rPr>
          <w:rFonts w:eastAsia="Arial" w:cs="Arial"/>
          <w:i/>
          <w:iCs/>
          <w:color w:val="5A5A5A"/>
          <w:sz w:val="18"/>
          <w:szCs w:val="18"/>
        </w:rPr>
        <w:t>Quelle: Rechercheprotokoll (Anhang I); Händlerpreise Show Me Weights / True Iron (09/2026), Listenpreise Prime Fitness USA; vollständige Liste in Anhang A.</w:t>
      </w:r>
    </w:p>
    <w:p>
      <w:pPr>
        <w:pStyle w:val="Heading2"/>
        <w:keepNext w:val="true"/>
        <w:spacing w:before="280" w:after="120"/>
        <w:rPr/>
      </w:pPr>
      <w:bookmarkStart w:id="22" w:name="__RefHeading___Toc21145_3809407278"/>
      <w:bookmarkEnd w:id="22"/>
      <w:r>
        <w:rPr/>
        <w:t>3.3.2 Freihantelbereich</w:t>
      </w:r>
    </w:p>
    <w:p>
      <w:pPr>
        <w:pStyle w:val="Normal"/>
        <w:spacing w:lineRule="exact" w:line="276" w:before="0" w:after="120"/>
        <w:jc w:val="both"/>
        <w:rPr/>
      </w:pPr>
      <w:r>
        <w:rPr>
          <w:rFonts w:eastAsia="Arial" w:cs="Arial"/>
          <w:sz w:val="22"/>
          <w:szCs w:val="22"/>
        </w:rPr>
        <w:t>Der Freihantelbereich mit 184,25 m² bildet zusammen mit den Racks das Zentrum für leistungsorientiertes Training. Vorgesehen sind 3 Half Racks und 1 Power Rack (Atlantis Athletic Series), 2 Smith Machines, 1 Adjustable Single Leg Squat Stand, eine Plattform mit Hartholzoberfläche, 3 Hantelbänke (1 Flat Bench, 2 verstellbare Prime-Bänke), 2 Kurzhantel-Racks, 5 Scheibenständer, ein Langhantelständer und 2 Hantelscheiben-Sätze (Quellen: Anhang I). Die Rack-Straße ist mit den Rack-Modulen Lat Pulldown und Low Row (Atlantis MS6/MS7/MS12) kombiniert, so dass Grundübungen und Zugübungen ohne Zonenwechsel möglich sind. Der Bodenaufbau ist im Investitionsplan als Sportboden für die gesamte Trainingsfläche (1.138,58 m² × 55 € = 62.622 €) berücksichtigt.</w:t>
      </w:r>
    </w:p>
    <w:p>
      <w:pPr>
        <w:pStyle w:val="Heading2"/>
        <w:keepNext w:val="true"/>
        <w:spacing w:before="280" w:after="120"/>
        <w:rPr/>
      </w:pPr>
      <w:bookmarkStart w:id="23" w:name="__RefHeading___Toc21147_3809407278"/>
      <w:bookmarkEnd w:id="23"/>
      <w:r>
        <w:rPr/>
        <w:t>3.3.3 Cardiobereich</w:t>
      </w:r>
    </w:p>
    <w:p>
      <w:pPr>
        <w:pStyle w:val="Normal"/>
        <w:spacing w:lineRule="exact" w:line="276" w:before="0" w:after="120"/>
        <w:jc w:val="both"/>
        <w:rPr/>
      </w:pPr>
      <w:r>
        <w:rPr>
          <w:rFonts w:eastAsia="Arial" w:cs="Arial"/>
          <w:sz w:val="22"/>
          <w:szCs w:val="22"/>
        </w:rPr>
        <w:t>Der Cardiobereich umfasst 20 Geräte, davon 16 in der Cardiozone mit 71,16 m² und 4 (2 SkiErg, 2 Rudergeräte) in der HYROX-Zone (Quellen: Anhang I). Die Auswahl ist auf kommerzielle Dauerlast ausgelegt; die Preisansätze beruhen auf Händlerpreisen und Marktspannen für Studiogeräte (Matrix, Life Fitness, StairMaster, Concept2), sie sind im Investitionsplan mit 104.760 € netto enthalten.</w:t>
      </w:r>
    </w:p>
    <w:p>
      <w:pPr>
        <w:pStyle w:val="Normal"/>
        <w:keepNext w:val="true"/>
        <w:spacing w:before="160" w:after="80"/>
        <w:jc w:val="left"/>
        <w:rPr/>
      </w:pPr>
      <w:r>
        <w:rPr>
          <w:rFonts w:eastAsia="Arial" w:cs="Arial"/>
          <w:b/>
          <w:bCs/>
          <w:sz w:val="20"/>
          <w:szCs w:val="20"/>
        </w:rPr>
        <w:t>Tabelle 3.4: Cardiogeräte</w:t>
      </w:r>
    </w:p>
    <w:tbl>
      <w:tblPr>
        <w:tblW w:w="9638" w:type="dxa"/>
        <w:jc w:val="left"/>
        <w:tblInd w:w="0" w:type="dxa"/>
        <w:tblLayout w:type="fixed"/>
        <w:tblCellMar>
          <w:top w:w="40" w:type="dxa"/>
          <w:left w:w="70" w:type="dxa"/>
          <w:bottom w:w="40" w:type="dxa"/>
          <w:right w:w="70" w:type="dxa"/>
        </w:tblCellMar>
      </w:tblPr>
      <w:tblGrid>
        <w:gridCol w:w="3084"/>
        <w:gridCol w:w="963"/>
        <w:gridCol w:w="1735"/>
        <w:gridCol w:w="3855"/>
      </w:tblGrid>
      <w:tr>
        <w:trPr>
          <w:tblHeader w:val="true"/>
        </w:trPr>
        <w:tc>
          <w:tcPr>
            <w:tcW w:w="308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Gerät</w:t>
            </w:r>
          </w:p>
        </w:tc>
        <w:tc>
          <w:tcPr>
            <w:tcW w:w="96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Preis netto je Stück</w:t>
            </w:r>
          </w:p>
        </w:tc>
        <w:tc>
          <w:tcPr>
            <w:tcW w:w="385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Preisbasis</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Laufband, motorisiert (kommerziell)</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8.000 €</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Matrix T1x 7.199 € brutto; Life Fitness/Technogym 9.000 bis 12.000 € netto</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Curved Treadmill</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3.780 €</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AssaultRunner Pro 4.499 € brutto</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Crosstrainer</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7.000 €</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Life Fitness Club Series+/Integrity+ 8.100 bis 9.800 € netto</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Stairmaster</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6.500 €</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StairMaster 8 Series Gauntlet, Spanne 5.000 bis 8.500 € netto</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Sitzergometer</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3.300 €</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Matrix U1x 3.899 € brutto</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SkiErg (HYROX-Zone)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1.040 €</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Concept2 SkiErg inkl. Bodenständer</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Rudergerät (HYROX-Zone)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1.000 €</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Concept2 RowErg</w:t>
            </w:r>
          </w:p>
        </w:tc>
      </w:tr>
      <w:tr>
        <w:trPr/>
        <w:tc>
          <w:tcPr>
            <w:tcW w:w="308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w:t>
            </w:r>
          </w:p>
        </w:tc>
        <w:tc>
          <w:tcPr>
            <w:tcW w:w="96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20</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104.760 €</w:t>
            </w:r>
          </w:p>
        </w:tc>
        <w:tc>
          <w:tcPr>
            <w:tcW w:w="385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r>
    </w:tbl>
    <w:p>
      <w:pPr>
        <w:pStyle w:val="Normal"/>
        <w:spacing w:before="60" w:after="200"/>
        <w:jc w:val="left"/>
        <w:rPr/>
      </w:pPr>
      <w:r>
        <w:rPr>
          <w:rFonts w:eastAsia="Arial" w:cs="Arial"/>
          <w:i/>
          <w:iCs/>
          <w:color w:val="5A5A5A"/>
          <w:sz w:val="18"/>
          <w:szCs w:val="18"/>
        </w:rPr>
        <w:t>Quelle: Rechercheprotokoll (Anhang I); Händlerpreise professionell-fitness-shop.de, assaultfitness.de, concept2.de, fitnessclub-24.de (Stand 09/2026).</w:t>
      </w:r>
    </w:p>
    <w:p>
      <w:pPr>
        <w:pStyle w:val="Heading2"/>
        <w:keepNext w:val="true"/>
        <w:spacing w:before="280" w:after="120"/>
        <w:rPr/>
      </w:pPr>
      <w:bookmarkStart w:id="24" w:name="__RefHeading___Toc21149_3809407278"/>
      <w:bookmarkEnd w:id="24"/>
      <w:r>
        <w:rPr/>
        <w:t>3.3.4 HYROX-Zone</w:t>
      </w:r>
    </w:p>
    <w:p>
      <w:pPr>
        <w:pStyle w:val="Normal"/>
        <w:spacing w:lineRule="exact" w:line="276" w:before="0" w:after="120"/>
        <w:jc w:val="both"/>
        <w:rPr/>
      </w:pPr>
      <w:r>
        <w:rPr>
          <w:rFonts w:eastAsia="Arial" w:cs="Arial"/>
          <w:sz w:val="22"/>
          <w:szCs w:val="22"/>
        </w:rPr>
        <w:t>Die HYROX-Zone mit 169,88 m² bildet die acht Stationen des Wettkampfformats ab: SkiErg, Sled Push, Sled Pull, Burpee Broad Jumps, Rudern, Farmers Carry, Sandbag Lunges und Wall Balls. Vorgesehen sind 2 Sleds mit einer 2 m breiten und 16 m langen Sled-Bahn aus Kunstrasen (Stücklistenobjekt 200 × 1.600 cm), 2 SkiErg, 2 Rudergeräte, 2 Wall-Ball-Ziele mit Wandmontage (Zielhöhe 2,70 m bzw. 3,00 m) und Wall-Ball-Regal, ein Sandbag-Regal mit Sandbags von 10 bis 30 kg, Farmers-Carry-Griffe, ein Kettlebell-Regal, ein Plyo-Box-Set, ein Medizinball-Regal und 2 Intervall-Timer (Rechercheprotokoll (Anhang I).hyrox). Das Angebot richtet sich an drei Gruppen: Mitglieder, die für ein HYROX-Rennen trainieren, Mitglieder, die das Format als intensives Zirkeltraining nutzen, und Kurse in Kleingruppen unter Anleitung. Die Zone wird im Premiumtarif abgedeckt; in den betreuten Kernzeiten werden HYROX-Kurse angeboten [Kursplan vom Gründer zu ergänzen]. Eine Partnerschaft als offizielles HYROX-Trainingsstudio ist anzustreben [Konditionen und Bewerbung zu klären]; regionaler Vergleich: Fitness Bunker Konstanz ist offizieller HYROX Training Club, urban health club Ludwigsburg arbeitet mit sechs Coaches (Quellen: Anhang I).</w:t>
      </w:r>
    </w:p>
    <w:p>
      <w:pPr>
        <w:pStyle w:val="Heading2"/>
        <w:keepNext w:val="true"/>
        <w:spacing w:before="280" w:after="120"/>
        <w:rPr/>
      </w:pPr>
      <w:bookmarkStart w:id="25" w:name="__RefHeading___Toc21151_3809407278"/>
      <w:bookmarkEnd w:id="25"/>
      <w:r>
        <w:rPr/>
        <w:t>3.3.5 Kursraum und Functional-Bereich</w:t>
      </w:r>
    </w:p>
    <w:p>
      <w:pPr>
        <w:pStyle w:val="Normal"/>
        <w:spacing w:lineRule="exact" w:line="276" w:before="0" w:after="120"/>
        <w:jc w:val="both"/>
        <w:rPr/>
      </w:pPr>
      <w:r>
        <w:rPr>
          <w:rFonts w:eastAsia="Arial" w:cs="Arial"/>
          <w:sz w:val="22"/>
          <w:szCs w:val="22"/>
        </w:rPr>
        <w:t>Der Kursraum mit 149,01 m² ist mit 12 Kursmatten und 3 Mattenregalen, 8 Indoor-Cycling-Rädern (Studio-Klasse, 1.850 € netto je Rad), einer Musikanlage mit Funkmikrofon, einem Trainerpodest, einem Step-Wagen für 20 Steps, einem Kurshantel-Regal für Pump-Sets und einem Gymnastikball-Regal ausgestattet; die Investition beträgt 20.610 € netto (Quellen: Anhang I). Der Raum ermöglicht Gruppenkurse (Indoor Cycling, Mobility, Rücken, Functional, HYROX-Vorbereitung) und wird außerhalb der Kurszeiten als offene Stretching-Fläche genutzt. Kursleitung übernehmen zwei Teilzeit-Kursleiter sowie die Vollzeittrainer (Stellenplan Kapitel 2). Musik in Kursen auf bereits lizenzierter, beschallter Studiofläche löst nach der Vereinbarung zwischen GEMA und DSSV keine zusätzliche Gebühr aus; für Kurse in einem gesondert abgeschlossenen Kursraum wie bei No.1 gilt dagegen der Tarif WR-KS-F mit 0,56 bis 2,52 € je Kursstunde (fitness MANAGEMENT 2018; GEMA-Tarife 2026, Rechercheprotokoll (Anhang I); Kapitel 8). Im Plan sind 350 € je Monat für GEMA und GVL angesetzt. Der Functional- und Stretching-Bereich „Core &amp; Dehnen“ mit 88,11 m² ergänzt das Angebot mit 9 Boden- und Trainingsmatten, Kettlebell- und Medizinball-Regal sowie einem Plyo-Box-Set.</w:t>
      </w:r>
    </w:p>
    <w:p>
      <w:pPr>
        <w:pStyle w:val="Heading2"/>
        <w:keepNext w:val="true"/>
        <w:spacing w:before="280" w:after="120"/>
        <w:rPr/>
      </w:pPr>
      <w:bookmarkStart w:id="26" w:name="__RefHeading___Toc21153_3809407278"/>
      <w:bookmarkEnd w:id="26"/>
      <w:r>
        <w:rPr/>
        <w:t>3.3.6 Wellness und Regeneration</w:t>
      </w:r>
    </w:p>
    <w:p>
      <w:pPr>
        <w:pStyle w:val="Normal"/>
        <w:spacing w:lineRule="exact" w:line="276" w:before="0" w:after="120"/>
        <w:jc w:val="both"/>
        <w:rPr/>
      </w:pPr>
      <w:r>
        <w:rPr>
          <w:rFonts w:eastAsia="Arial" w:cs="Arial"/>
          <w:sz w:val="22"/>
          <w:szCs w:val="22"/>
        </w:rPr>
        <w:t>Der Wellnessbereich mit 45,99 m² und der angrenzende Ruheraum mit 12,36 m² umfassen eine finnische Sauna mit 400 × 300 cm für 12 Personen (22.000 € netto), ein Dampfbad für 6 Personen (20.000 €), einen Cold Plunge mit gewerblichem Kühlaggregat (5.500 €), eine Erlebnisdusche mit Regen-, Nebel- und Lichtfunktion (5.000 €), 3 Ruheliegen und eine Teestation; die Investition beträgt 55.850 € netto (Quellen: Anhang I). Der Bereich ist Teil des Premiumtarifs und dient zugleich als Instrument der Mitgliederbindung: Premiumclubs erzielen mit Wellness- und Beauty-Anwendungen bis zu 10 % Zusatzumsatz (fitness MANAGEMENT 2020), ein dokumentiertes Beispiel eines Hamburger Clubs erreichte mit einem Wellness-Upgrade von 30 € je Monat 900 Verträge in 24 Monaten (BODYMEDIA 2020). Der Betrieb von Sauna und Dampfbad erhöht den Energiebedarf; der DSSV nennt Stromkosten ab 2,50 € je m² und Monat in Abhängigkeit von Saunen (DSSV Kostenrichtwerte). Der Plan setzt für Energie und Wasser 4,00 € je m² an; die Sensitivität „Energie/Wasser 5,50 €/m²“ ist in Kapitel 9 dargestellt. Die Regularienprüfung weist auf die Pflicht zur Legionellenprüfung hin; ein Hygieneplan ist vor Eröffnung zu erstellen.</w:t>
      </w:r>
    </w:p>
    <w:p>
      <w:pPr>
        <w:pStyle w:val="Heading2"/>
        <w:keepNext w:val="true"/>
        <w:spacing w:before="280" w:after="120"/>
        <w:rPr/>
      </w:pPr>
      <w:bookmarkStart w:id="27" w:name="__RefHeading___Toc21155_3809407278"/>
      <w:bookmarkEnd w:id="27"/>
      <w:r>
        <w:rPr/>
        <w:t>3.3.7 Umkleiden, Sanitär und Empfang</w:t>
      </w:r>
    </w:p>
    <w:p>
      <w:pPr>
        <w:pStyle w:val="Normal"/>
        <w:spacing w:lineRule="exact" w:line="276" w:before="0" w:after="120"/>
        <w:jc w:val="both"/>
        <w:rPr/>
      </w:pPr>
      <w:r>
        <w:rPr>
          <w:rFonts w:eastAsia="Arial" w:cs="Arial"/>
          <w:sz w:val="22"/>
          <w:szCs w:val="22"/>
        </w:rPr>
        <w:t>Die Umkleiden für Damen (44,92 m²) und Herren (44,18 m²) verfügen über 8 zweistöckige Spindreihen und 2 Wertfächer-Einheiten mit insgesamt 178 Fächern, 2 Einzelkabinen, 10 Umkleidebänke, 2 Föhnplätze und Wäschesammler; die Duschbereiche (25,14 und 24,73 m²) enthalten 4 Reihenduschen mit je 4 Plätzen und 2 barrierefreie Duschen, die Sanitärräume 7 WCs (davon 1 barrierefrei), 4 Urinale und 8 Waschtische (Quellen: Anhang I). Die Spindschlösser sind Teil des elektronischen Zutritts- und Schließsystems (Abschnitt 3.7). Der Empfang mit Lounge (78,28 m²) umfasst Theke und Shakebar, Getränkeautomat und Kühlschrank, 2 Drehkreuze, einen Info-Bildschirm sowie Sitzgelegenheiten (2 Sofas, 12 Stühle, 5 Barhocker); im gesamten Studio sind 10 Wasserspender, 9 Desinfektionsstationen, 5 TV-Bildschirme und 5 Kameras vorgesehen (Quellen: Anhang I).</w:t>
      </w:r>
    </w:p>
    <w:p>
      <w:pPr>
        <w:pStyle w:val="Heading2"/>
        <w:keepNext w:val="true"/>
        <w:spacing w:before="280" w:after="120"/>
        <w:rPr/>
      </w:pPr>
      <w:bookmarkStart w:id="28" w:name="__RefHeading___Toc21157_3809407278"/>
      <w:bookmarkEnd w:id="28"/>
      <w:r>
        <w:rPr/>
        <w:t>3.4 Öffnungszeiten und Betreuungsmodell</w:t>
      </w:r>
    </w:p>
    <w:p>
      <w:pPr>
        <w:pStyle w:val="Normal"/>
        <w:spacing w:lineRule="exact" w:line="276" w:before="0" w:after="120"/>
        <w:jc w:val="both"/>
        <w:rPr/>
      </w:pPr>
      <w:r>
        <w:rPr>
          <w:rFonts w:eastAsia="Arial" w:cs="Arial"/>
          <w:sz w:val="22"/>
          <w:szCs w:val="22"/>
        </w:rPr>
        <w:t>Im Wettbewerbsumfeld haben sich drei Modelle etabliert: das betreute Premiummodell mit Öffnungszeiten von 6 bis 22 Uhr werktags und 9 bis 19 Uhr am Wochenende (Happy Fit Premium Konstanz), das unbesetzte 24/7-Modell mit Zutrittschip (8Black Friedrichshafen/Ravensburg) und das Hybridmodell mit besetzten Kernzeiten und Zutrittssystem in den Randzeiten (GymAccess 2025). No.1 wählt das Hybridmodell, weil es die Betreuungsqualität des Premiumsegments mit der Flexibilität langer Öffnungszeiten verbindet: Nach GymAccess finden 15 bis 25 % der Trainingseinheiten außerhalb klassischer Zeiten statt, und ein erweitertes Zeitfenster erschließt 10 bis 20 % zusätzliches Mitgliederpotenzial (Quellen: Anhang I).</w:t>
      </w:r>
    </w:p>
    <w:p>
      <w:pPr>
        <w:pStyle w:val="Normal"/>
        <w:keepNext w:val="true"/>
        <w:spacing w:before="160" w:after="80"/>
        <w:jc w:val="left"/>
        <w:rPr/>
      </w:pPr>
      <w:r>
        <w:rPr>
          <w:rFonts w:eastAsia="Arial" w:cs="Arial"/>
          <w:b/>
          <w:bCs/>
          <w:sz w:val="20"/>
          <w:szCs w:val="20"/>
        </w:rPr>
        <w:t>Tabelle 3.5: Geplantes Öffnungszeiten- und Betreuungsmodell</w:t>
      </w:r>
    </w:p>
    <w:tbl>
      <w:tblPr>
        <w:tblW w:w="9638" w:type="dxa"/>
        <w:jc w:val="left"/>
        <w:tblInd w:w="0" w:type="dxa"/>
        <w:tblLayout w:type="fixed"/>
        <w:tblCellMar>
          <w:top w:w="40" w:type="dxa"/>
          <w:left w:w="70" w:type="dxa"/>
          <w:bottom w:w="40" w:type="dxa"/>
          <w:right w:w="70" w:type="dxa"/>
        </w:tblCellMar>
      </w:tblPr>
      <w:tblGrid>
        <w:gridCol w:w="2120"/>
        <w:gridCol w:w="2120"/>
        <w:gridCol w:w="2892"/>
        <w:gridCol w:w="2505"/>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Zeitraum</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Öffnungszeit</w:t>
            </w:r>
          </w:p>
        </w:tc>
        <w:tc>
          <w:tcPr>
            <w:tcW w:w="289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Besetzte Kernzeit (Empfang und Trainer)</w:t>
            </w:r>
          </w:p>
        </w:tc>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Randzeit (Zutrittssystem)</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Montag bis Freitag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6:00 bis 23:00 Uhr</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8:00 bis 21:00 Uhr</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6:00 bis 8:00 und 21:00 bis 23:00 Uhr</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Samstag, Sonntag, Feiertage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8:00 bis 21:00 Uhr</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9:00 bis 18:00 Uhr</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8:00 bis 9:00 und 18:00 bis 21:00 Uhr</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Wochenstunden gesamt</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111 Stunden</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83 Stunden</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28 Stunden</w:t>
            </w:r>
          </w:p>
        </w:tc>
      </w:tr>
    </w:tbl>
    <w:p>
      <w:pPr>
        <w:pStyle w:val="Normal"/>
        <w:spacing w:before="60" w:after="200"/>
        <w:jc w:val="left"/>
        <w:rPr/>
      </w:pPr>
      <w:r>
        <w:rPr>
          <w:rFonts w:eastAsia="Arial" w:cs="Arial"/>
          <w:i/>
          <w:iCs/>
          <w:color w:val="5A5A5A"/>
          <w:sz w:val="18"/>
          <w:szCs w:val="18"/>
        </w:rPr>
        <w:t>Quelle: Planungsvorschlag auf Basis der Modelle in Rechercheprotokoll (Anhang I; Happy Fit Premium, 8Black, GymAccess); Kernzeiten mit dem Personalplan abzustimmen.</w:t>
      </w:r>
    </w:p>
    <w:p>
      <w:pPr>
        <w:pStyle w:val="Normal"/>
        <w:spacing w:lineRule="exact" w:line="276" w:before="0" w:after="120"/>
        <w:jc w:val="both"/>
        <w:rPr/>
      </w:pPr>
      <w:r>
        <w:rPr>
          <w:rFonts w:eastAsia="Arial" w:cs="Arial"/>
          <w:sz w:val="22"/>
          <w:szCs w:val="22"/>
        </w:rPr>
        <w:t>In den Kernzeiten sind mindestens ein Trainer auf der Fläche und eine Empfangskraft anwesend; in den Stoßzeiten am Abend zwei Trainer. Die Besetzung wird über die zwei Teilzeitkräfte und vier Minijobs am Empfang, die zwei Vollzeittrainer (ab Jahr 2 drei), die zwei Teilzeit-Kursleiter sowie den Gründer und die stellvertretende Studioleitung abgedeckt (Kapitel 2, Tabelle 2.4). In den Randzeiten erfolgt der Zutritt über RFID-Armband oder App an den zwei Drehkreuzen; 5 Kameras, eine Notrufeinrichtung und die Videoaufzeichnung sichern den unbesetzten Betrieb. Wellnessbereich und HYROX-Kurse stehen nur in den besetzten Zeiten zur Verfügung. Das Zutrittssystem einschließlich Spindschlössern ist im Investitionsplan mit 32.000 € (Position Zutrittssystem, Studiosoftware-Einrichtung, Kleinmaterial, Brandschutzkonzept) enthalten; GymAccess nennt für Drehkreuz mit Leser, 500 RFID-Armbänder und 100 Spindschlösser ein Budget von 32.500 € (Quellen: Anhang I).</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Betreutes Training bedeutet konkret: Einführungstermin mit Trainingsplan für jedes Neumitglied, Planaktualisierung alle 8 bis 12 Wochen, Trainerpräsenz auf der Fläche in den Kernzeiten, Kursprogramm mit festen Zeiten. Die genauen Betreuungsstandards und der Kursplan sind vom Gründer vor Eröffnung festzulegen und im Anhang zu dokumentieren [zu ergänzen].</w:t>
      </w:r>
    </w:p>
    <w:p>
      <w:pPr>
        <w:pStyle w:val="Heading2"/>
        <w:keepNext w:val="true"/>
        <w:spacing w:before="280" w:after="120"/>
        <w:rPr/>
      </w:pPr>
      <w:bookmarkStart w:id="29" w:name="__RefHeading___Toc21159_3809407278"/>
      <w:bookmarkEnd w:id="29"/>
      <w:r>
        <w:rPr/>
        <w:t>3.5 Tarife und Preispositionierung</w:t>
      </w:r>
    </w:p>
    <w:p>
      <w:pPr>
        <w:pStyle w:val="Normal"/>
        <w:spacing w:lineRule="exact" w:line="276" w:before="0" w:after="120"/>
        <w:jc w:val="both"/>
        <w:rPr/>
      </w:pPr>
      <w:r>
        <w:rPr>
          <w:rFonts w:eastAsia="Arial" w:cs="Arial"/>
          <w:sz w:val="22"/>
          <w:szCs w:val="22"/>
        </w:rPr>
        <w:t>Das Tarifsystem ist bewusst einfach gehalten und besteht aus drei Mitgliedschaften mit einer halbjährlichen Servicepauschale und einer einmaligen Aufnahmegebühr. Alle Beträge sind Bruttobeträge einschließlich 19 % Umsatzsteuer; Mitgliedsbeiträge, Kurse, Sauna und Personal Training unterliegen dem Regelsteuersatz (§ 12 UStG).</w:t>
      </w:r>
    </w:p>
    <w:p>
      <w:pPr>
        <w:pStyle w:val="Normal"/>
        <w:keepNext w:val="true"/>
        <w:spacing w:before="160" w:after="80"/>
        <w:jc w:val="left"/>
        <w:rPr/>
      </w:pPr>
      <w:r>
        <w:rPr>
          <w:rFonts w:eastAsia="Arial" w:cs="Arial"/>
          <w:b/>
          <w:bCs/>
          <w:sz w:val="20"/>
          <w:szCs w:val="20"/>
        </w:rPr>
        <w:t>Tabelle 3.6: Mitgliedschaften und Gebühren (brutto inkl. 19 % USt)</w:t>
      </w:r>
    </w:p>
    <w:tbl>
      <w:tblPr>
        <w:tblW w:w="9638" w:type="dxa"/>
        <w:jc w:val="left"/>
        <w:tblInd w:w="0" w:type="dxa"/>
        <w:tblLayout w:type="fixed"/>
        <w:tblCellMar>
          <w:top w:w="40" w:type="dxa"/>
          <w:left w:w="70" w:type="dxa"/>
          <w:bottom w:w="40" w:type="dxa"/>
          <w:right w:w="70" w:type="dxa"/>
        </w:tblCellMar>
      </w:tblPr>
      <w:tblGrid>
        <w:gridCol w:w="1542"/>
        <w:gridCol w:w="3469"/>
        <w:gridCol w:w="1350"/>
        <w:gridCol w:w="1156"/>
        <w:gridCol w:w="2121"/>
      </w:tblGrid>
      <w:tr>
        <w:trPr>
          <w:tblHeader w:val="true"/>
        </w:trPr>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Tarif</w:t>
            </w:r>
          </w:p>
        </w:tc>
        <w:tc>
          <w:tcPr>
            <w:tcW w:w="346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Leistungen</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Beitrag/Monat</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Planmix</w:t>
            </w:r>
          </w:p>
        </w:tc>
        <w:tc>
          <w:tcPr>
            <w:tcW w:w="212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Effektiv inkl. Servicepauschale</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Basic</w:t>
            </w:r>
          </w:p>
        </w:tc>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Kraft, Cardio, Freihantel, Kurse, betreutes Training</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44,90 €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40 %</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49,05 €</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Premium</w:t>
            </w:r>
          </w:p>
        </w:tc>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Basic plus Wellness (Sauna, Dampfbad, Cold Plunge), HYROX-Zone und -Kurse, Getränke-Flat</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59,90 €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45 %</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64,05 €</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Student / Azubi / Senior</w:t>
            </w:r>
          </w:p>
        </w:tc>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Basic-Leistungen mit Nachweis</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34,90 €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15 %</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39,05 €</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Servicepauschale</w:t>
            </w:r>
          </w:p>
        </w:tc>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halbjährlich, alle Tarife</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24,90 €/Halbjahr</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4,15 €/Monat</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Aufnahmegebühr</w:t>
            </w:r>
          </w:p>
        </w:tc>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einmalig; bei Aktionen erlassen (Planansatz: 70 % zahlend)</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49,00 €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Durchschnitt (Planmix)</w:t>
            </w:r>
          </w:p>
        </w:tc>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50,15 €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100 %</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54,30 €</w:t>
            </w:r>
          </w:p>
        </w:tc>
      </w:tr>
    </w:tbl>
    <w:p>
      <w:pPr>
        <w:pStyle w:val="Normal"/>
        <w:spacing w:before="60" w:after="200"/>
        <w:jc w:val="left"/>
        <w:rPr/>
      </w:pPr>
      <w:r>
        <w:rPr>
          <w:rFonts w:eastAsia="Arial" w:cs="Arial"/>
          <w:i/>
          <w:iCs/>
          <w:color w:val="5A5A5A"/>
          <w:sz w:val="18"/>
          <w:szCs w:val="18"/>
        </w:rPr>
        <w:t>Quelle: Excel-Planrechnung; Beitragsanpassung 2,0 % p. a. ab Jahr 3 eingeplant; Durchschnitt und Effektivwerte rechnerisch.</w:t>
      </w:r>
    </w:p>
    <w:p>
      <w:pPr>
        <w:pStyle w:val="Normal"/>
        <w:spacing w:lineRule="exact" w:line="276" w:before="0" w:after="120"/>
        <w:jc w:val="both"/>
        <w:rPr/>
      </w:pPr>
      <w:r>
        <w:rPr>
          <w:rFonts w:eastAsia="Arial" w:cs="Arial"/>
          <w:sz w:val="22"/>
          <w:szCs w:val="22"/>
        </w:rPr>
        <w:t>Die Preise liegen im Zielsegment. Der Bruttodurchschnittsbeitrag der deutschen Fitnessbranche beträgt 48,55 € je Monat, für Einzelanlagen 59,24 €, für Ketten 40,54 € und für Special-Interest-Anlagen 80,02 € (DSSV Eckdaten 2026). Der Premiumtarif von 59,90 € entspricht damit fast genau dem Durchschnitt inhabergeführter Einzelanlagen, der Basictarif von 44,90 € liegt unter dem Branchendurchschnitt und deutlich über den Discount-Effektivpreisen (FitX 31,42 €, McFIT 35,65 €, clever fit Ø 39,23 €; fair-for-fitness 2026). Der rechnerische Planbeitrag von 50,15 € je Mitglied (Tarifmix) liegt nahe am Branchenschnitt und ist damit konservativ für ein Studio mit Wellness und HYROX. Aufnahmegebühr und Servicepauschale sind branchenüblich: Wettbewerber verlangen 39,90 bis 129 € Aufnahmegebühr und 10 bis 29,90 € je Quartal bzw. Halbjahr (Happy Fit Premium, 8Black, GYM-24, clever fit).</w:t>
      </w:r>
    </w:p>
    <w:p>
      <w:pPr>
        <w:pStyle w:val="Normal"/>
        <w:keepNext w:val="true"/>
        <w:spacing w:before="160" w:after="80"/>
        <w:jc w:val="left"/>
        <w:rPr/>
      </w:pPr>
      <w:r>
        <w:rPr>
          <w:rFonts w:eastAsia="Arial" w:cs="Arial"/>
          <w:b/>
          <w:bCs/>
          <w:sz w:val="20"/>
          <w:szCs w:val="20"/>
        </w:rPr>
        <w:t>Tabelle 3.7: Preisvergleich mit regionalen Wettbewerbern (brutto je Monat)</w:t>
      </w:r>
    </w:p>
    <w:tbl>
      <w:tblPr>
        <w:tblW w:w="9638" w:type="dxa"/>
        <w:jc w:val="left"/>
        <w:tblInd w:w="0" w:type="dxa"/>
        <w:tblLayout w:type="fixed"/>
        <w:tblCellMar>
          <w:top w:w="40" w:type="dxa"/>
          <w:left w:w="70" w:type="dxa"/>
          <w:bottom w:w="40" w:type="dxa"/>
          <w:right w:w="70" w:type="dxa"/>
        </w:tblCellMar>
      </w:tblPr>
      <w:tblGrid>
        <w:gridCol w:w="3084"/>
        <w:gridCol w:w="1734"/>
        <w:gridCol w:w="2505"/>
        <w:gridCol w:w="1158"/>
        <w:gridCol w:w="1157"/>
      </w:tblGrid>
      <w:tr>
        <w:trPr>
          <w:tblHeader w:val="true"/>
        </w:trPr>
        <w:tc>
          <w:tcPr>
            <w:tcW w:w="308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Anbieter</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Segment</w:t>
            </w:r>
          </w:p>
        </w:tc>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Beitrag je Monat</w:t>
            </w:r>
          </w:p>
        </w:tc>
        <w:tc>
          <w:tcPr>
            <w:tcW w:w="115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Sauna</w:t>
            </w:r>
          </w:p>
        </w:tc>
        <w:tc>
          <w:tcPr>
            <w:tcW w:w="115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HYROX</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No.1 (Plan)</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Premium-Mittelklasse</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34,90 / 44,90 / 59,90 €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 (Premium)</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DSSV-Durchschnitt Einzelanlagen 2025</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Referenz</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59,24 €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DSSV-Durchschnitt Branche 2025</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Referenz</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48,55 €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Happy Fit Premium Konstanz (2.500 m²)</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Premium</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80 (24 Mon.) / 90 (12 Mon.) / 109 € flex</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nein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Happy Fit Konstanz / Singen / Radolfzell</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Regionale Kette</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55 bis 70 €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nein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GYM-24 Premium Böblingen</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Regionale Kette</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49,90 (24 Mon.) / 64,90 €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nein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Sportwelt Leonberg</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Vereinsstudio</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55 (24 Mon.) / 65 €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nein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all inclusive Fitness Friedrichshafen</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Kette</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34,95 / 39,95 / 49,95 €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MC Shape Überlingen / Markdorf</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Kette</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39,90 / 49,90 €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nein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8Black Friedrichshafen / Ravensburg</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24/7-Kette</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34,99 / 39,99 / 49,99 €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 A.</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nein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clever fit (bundesweit, effektiv)</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Discount</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Ø 39,23 €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teilweise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nein</w:t>
            </w:r>
          </w:p>
        </w:tc>
      </w:tr>
    </w:tbl>
    <w:p>
      <w:pPr>
        <w:pStyle w:val="Normal"/>
        <w:spacing w:before="60" w:after="200"/>
        <w:jc w:val="left"/>
        <w:rPr/>
      </w:pPr>
      <w:r>
        <w:rPr>
          <w:rFonts w:eastAsia="Arial" w:cs="Arial"/>
          <w:i/>
          <w:iCs/>
          <w:color w:val="5A5A5A"/>
          <w:sz w:val="18"/>
          <w:szCs w:val="18"/>
        </w:rPr>
        <w:t>Quelle: Rechercheprotokoll (Anhang I; Happy Fit Premium, 8Black; Anbieterwebseiten, Stand 27.09.2026); DSSV Eckdaten 2026; fair-for-fitness 2026 (Rechercheprotokoll (Anhang I)); Excel-Planrechnung.</w:t>
      </w:r>
    </w:p>
    <w:p>
      <w:pPr>
        <w:pStyle w:val="Heading2"/>
        <w:keepNext w:val="true"/>
        <w:spacing w:before="280" w:after="120"/>
        <w:rPr/>
      </w:pPr>
      <w:bookmarkStart w:id="30" w:name="__RefHeading___Toc21161_3809407278"/>
      <w:bookmarkEnd w:id="30"/>
      <w:r>
        <w:rPr/>
        <w:t>3.6 Zusatzleistungen</w:t>
      </w:r>
    </w:p>
    <w:p>
      <w:pPr>
        <w:pStyle w:val="Normal"/>
        <w:spacing w:lineRule="exact" w:line="276" w:before="0" w:after="120"/>
        <w:jc w:val="both"/>
        <w:rPr/>
      </w:pPr>
      <w:r>
        <w:rPr>
          <w:rFonts w:eastAsia="Arial" w:cs="Arial"/>
          <w:sz w:val="22"/>
          <w:szCs w:val="22"/>
        </w:rPr>
        <w:t>Neben den Mitgliedsbeiträgen sind vier Nebenumsatzquellen eingeplant, die zusammen 6,20 € brutto je Mitglied und Monat ergeben. Getränke und Shakes an der Shakebar sind mit 3,00 € je Mitglied und Monat bei einem Wareneinsatz von 40 % angesetzt; der DSSV nennt 30 bis 40 % Wareneinsatz als Richtwert (Quellen: Anhang I). Wellness-Zusatzleistungen (z. B. Tagesnutzung des Wellnessbereichs für Basic-Mitglieder, Handtuchservice) sind mit 1,20 €, Personal Training und kostenpflichtige Spezialkurse mit 1,50 € und Merchandise sowie Sonstiges mit 0,50 € je Mitglied und Monat angesetzt. Personal Training wird zu Marktpreisen angeboten; der Bundesverband Personal Training empfiehlt mindestens 95 € je Stunde, üblich sind 60 bis 120 € (Quellen: Anhang I) [Preisliste vom Gründer festzulegen]. Der Ansatz ist konservativ: Im Branchendurchschnitt lag der Nebenumsatzanteil 2018 bei 9,2 % des Umsatzes (fitness MANAGEMENT 2019); im Plan entspricht der Nebenumsatz im dritten Jahr 135.868 € von 1.368.522 € Nettoumsatz, also 9,9 %.</w:t>
      </w:r>
    </w:p>
    <w:p>
      <w:pPr>
        <w:pStyle w:val="Normal"/>
        <w:spacing w:lineRule="exact" w:line="276" w:before="0" w:after="120"/>
        <w:jc w:val="both"/>
        <w:rPr/>
      </w:pPr>
      <w:r>
        <w:rPr>
          <w:rFonts w:eastAsia="Arial" w:cs="Arial"/>
          <w:sz w:val="22"/>
          <w:szCs w:val="22"/>
        </w:rPr>
        <w:t>Weitere Erlösquellen sind nicht in der Planung enthalten und stellen Aufwärtspotenzial dar: Tageskarten und 10er-Karten für Gäste (Wettbewerber verlangen 8 bis 20 € je Tag), Firmenfitness und betriebliches Gesundheitsmanagement für die großen Arbeitgeber im Einzugsgebiet (Kapitel 4), die Anbindung an Aggregatoren wie Wellpass oder Urban Sports Club, an die 2025 bereits 76,1 % der Anlagen angeschlossen waren (DSSV Eckdaten 2026), sowie HYROX-Vorbereitungsprogramme mit Startgebühr.</w:t>
      </w:r>
    </w:p>
    <w:p>
      <w:pPr>
        <w:pStyle w:val="Heading2"/>
        <w:keepNext w:val="true"/>
        <w:spacing w:before="280" w:after="120"/>
        <w:rPr/>
      </w:pPr>
      <w:bookmarkStart w:id="31" w:name="__RefHeading___Toc21163_3809407278"/>
      <w:bookmarkEnd w:id="31"/>
      <w:r>
        <w:rPr/>
        <w:t>3.7 Digitalisierung: Studiosoftware, App und Zutritt</w:t>
      </w:r>
    </w:p>
    <w:p>
      <w:pPr>
        <w:pStyle w:val="Normal"/>
        <w:spacing w:lineRule="exact" w:line="276" w:before="0" w:after="120"/>
        <w:jc w:val="both"/>
        <w:rPr/>
      </w:pPr>
      <w:r>
        <w:rPr>
          <w:rFonts w:eastAsia="Arial" w:cs="Arial"/>
          <w:sz w:val="22"/>
          <w:szCs w:val="22"/>
        </w:rPr>
        <w:t>Der Betrieb wird von Beginn an digital organisiert. Eine Studiosoftware (z. B. Magicline, aidoo oder Fitogram; Anbieterauswahl nach Angebot) übernimmt Mitgliederverwaltung, SEPA-Lastschrift, Kursbuchung, Check-in und Auswertung; eine Mitglieder-App ermöglicht Online-Vertragsabschluss, Kursbuchung, Trainingspläne und den Zutritt. Der Anteil der Online-Vertragsabschlüsse in der Branche stieg von 14,0 % im Jahr 2023 auf 24,0 % im Jahr 2024 (DSSV Eckdaten 2025). Der Plan setzt 450 € je Monat für Studiosoftware und Zutrittssystem an; zum Vergleich kostet bei Magicline die Mitgliederplattform MySports ab 149 € je Monat und eine Branded App 349 € je Monat (magicline.com), Marktspannen für Software und Verwaltung liegen bei 100 bis 500 € je Monat (Virtuagym 2026) bzw. 200 bis 800 € je Monat (GymAccess 2026) (Quellen: Anhang I). Für Zahlungsverkehr sind 0,8 % des Bruttobeitragsumsatzes eingeplant; SEPA-Lastschriften kosten je nach Anbieter 0,08 bis 0,35 € je Buchung (WHK Controlling 2026). Das Zutrittssystem mit RFID-Armbändern, zwei Drehkreuzen und elektronischen Spindschlössern ist mit 32.000 € in der Investition enthalten (Abschnitt 3.4). Videoüberwachung, Zutrittsprotokolle und Mitgliederdaten werden datenschutzkonform betrieben [Datenschutzkonzept, Auftragsverarbeitungsverträge: vor Eröffnung zu erstellen]. Für Digitalisierungsinvestitionen steht optional die L-Bank-Digitalisierungsfinanzierung mit 5 % Tilgungszuschuss zur Verfügung (Quellen: Anhang I).</w:t>
      </w:r>
    </w:p>
    <w:p>
      <w:pPr>
        <w:pStyle w:val="Heading2"/>
        <w:keepNext w:val="true"/>
        <w:spacing w:before="280" w:after="120"/>
        <w:rPr/>
      </w:pPr>
      <w:bookmarkStart w:id="32" w:name="__RefHeading___Toc21165_3809407278"/>
      <w:bookmarkEnd w:id="32"/>
      <w:r>
        <w:rPr/>
        <w:t>3.8 Qualität und Herkunft der Ausstattung</w:t>
      </w:r>
    </w:p>
    <w:p>
      <w:pPr>
        <w:pStyle w:val="Normal"/>
        <w:spacing w:lineRule="exact" w:line="276" w:before="0" w:after="120"/>
        <w:jc w:val="both"/>
        <w:rPr/>
      </w:pPr>
      <w:r>
        <w:rPr>
          <w:rFonts w:eastAsia="Arial" w:cs="Arial"/>
          <w:sz w:val="22"/>
          <w:szCs w:val="22"/>
        </w:rPr>
        <w:t>Die Geräteausstattung ist in einer Stückliste mit 147 Positionen und 369 Objekten hinterlegt; der Gesamtwert beträgt 590.968 € netto bei 23.484 kg Gesamtgewicht, kein Objekt ist ohne Preis (Quellen: Anhang I). Die Kraftgeräte stammen von Atlantis Strength (Kanada; Serien Precision, Power, Pro, Athletic, Bench sowie Rack-Module) und Prime Fitness (USA; Serien Hybrid, Evolution, Specialty, Benches). Beide Hersteller gelten als Premiummarken im Bereich plattenbeladener und selektorisierter Kraftgeräte und werden in leistungsorientierten Studios eingesetzt. Da beide Hersteller aus Nordamerika liefern, sind 12 % Import-Nebenkosten (Fracht, Zoll, Einfuhrumsatzsteuer) auf den Importanteil von 268.570 € eingeplant, also 32.228 €. Die Preise wurden je Position recherchiert und mit einer Konfidenzstufe versehen:</w:t>
      </w:r>
    </w:p>
    <w:p>
      <w:pPr>
        <w:pStyle w:val="Normal"/>
        <w:keepNext w:val="true"/>
        <w:spacing w:before="160" w:after="80"/>
        <w:jc w:val="left"/>
        <w:rPr/>
      </w:pPr>
      <w:r>
        <w:rPr>
          <w:rFonts w:eastAsia="Arial" w:cs="Arial"/>
          <w:b/>
          <w:bCs/>
          <w:sz w:val="20"/>
          <w:szCs w:val="20"/>
        </w:rPr>
        <w:t>Tabelle 3.8: Preisbasis der Stückliste nach Konfidenzstufe</w:t>
      </w:r>
    </w:p>
    <w:tbl>
      <w:tblPr>
        <w:tblW w:w="9638" w:type="dxa"/>
        <w:jc w:val="left"/>
        <w:tblInd w:w="0" w:type="dxa"/>
        <w:tblLayout w:type="fixed"/>
        <w:tblCellMar>
          <w:top w:w="40" w:type="dxa"/>
          <w:left w:w="70" w:type="dxa"/>
          <w:bottom w:w="40" w:type="dxa"/>
          <w:right w:w="70" w:type="dxa"/>
        </w:tblCellMar>
      </w:tblPr>
      <w:tblGrid>
        <w:gridCol w:w="1542"/>
        <w:gridCol w:w="1349"/>
        <w:gridCol w:w="1156"/>
        <w:gridCol w:w="1543"/>
        <w:gridCol w:w="4048"/>
      </w:tblGrid>
      <w:tr>
        <w:trPr>
          <w:tblHeader w:val="true"/>
        </w:trPr>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Konfidenz</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Positionen</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Objekte</w:t>
            </w:r>
          </w:p>
        </w:tc>
        <w:tc>
          <w:tcPr>
            <w:tcW w:w="154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Wert netto</w:t>
            </w:r>
          </w:p>
        </w:tc>
        <w:tc>
          <w:tcPr>
            <w:tcW w:w="404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Erläuterung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Listenpreis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22.580 €</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Online-Listenpreise (Prime Fitness USA, Concept2)</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Händlerpreis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128</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372.319 €</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Händlerangebote (Show Me Weights, True Iron, professionell-fitness-shop.de u. a., Stand 09/2026)</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Schätzung</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82</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230</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196.069 €</w:t>
            </w:r>
          </w:p>
        </w:tc>
        <w:tc>
          <w:tcPr>
            <w:tcW w:w="40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Marktspannen für Kleingeräte, Möbel, Sauna/Dampfbad, Ausstattung</w:t>
            </w:r>
          </w:p>
        </w:tc>
      </w:tr>
      <w:tr>
        <w:trPr/>
        <w:tc>
          <w:tcPr>
            <w:tcW w:w="154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147</w:t>
            </w:r>
          </w:p>
        </w:tc>
        <w:tc>
          <w:tcPr>
            <w:tcW w:w="115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369</w:t>
            </w:r>
          </w:p>
        </w:tc>
        <w:tc>
          <w:tcPr>
            <w:tcW w:w="154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590.968 €</w:t>
            </w:r>
          </w:p>
        </w:tc>
        <w:tc>
          <w:tcPr>
            <w:tcW w:w="404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r>
    </w:tbl>
    <w:p>
      <w:pPr>
        <w:pStyle w:val="Normal"/>
        <w:spacing w:before="60" w:after="200"/>
        <w:jc w:val="left"/>
        <w:rPr/>
      </w:pPr>
      <w:r>
        <w:rPr>
          <w:rFonts w:eastAsia="Arial" w:cs="Arial"/>
          <w:i/>
          <w:iCs/>
          <w:color w:val="5A5A5A"/>
          <w:sz w:val="18"/>
          <w:szCs w:val="18"/>
        </w:rPr>
        <w:t>Quelle: Rechercheprotokoll (Anhang I).</w:t>
      </w:r>
    </w:p>
    <w:p>
      <w:pPr>
        <w:pStyle w:val="Normal"/>
        <w:keepNext w:val="true"/>
        <w:spacing w:before="160" w:after="80"/>
        <w:jc w:val="left"/>
        <w:rPr/>
      </w:pPr>
      <w:r>
        <w:rPr>
          <w:rFonts w:eastAsia="Arial" w:cs="Arial"/>
          <w:b/>
          <w:bCs/>
          <w:sz w:val="20"/>
          <w:szCs w:val="20"/>
        </w:rPr>
        <w:t>Tabelle 3.9: Geräteinvestition je Bereich (netto)</w:t>
      </w:r>
    </w:p>
    <w:tbl>
      <w:tblPr>
        <w:tblW w:w="9638" w:type="dxa"/>
        <w:jc w:val="left"/>
        <w:tblInd w:w="0" w:type="dxa"/>
        <w:tblLayout w:type="fixed"/>
        <w:tblCellMar>
          <w:top w:w="40" w:type="dxa"/>
          <w:left w:w="70" w:type="dxa"/>
          <w:bottom w:w="40" w:type="dxa"/>
          <w:right w:w="70" w:type="dxa"/>
        </w:tblCellMar>
      </w:tblPr>
      <w:tblGrid>
        <w:gridCol w:w="4433"/>
        <w:gridCol w:w="1348"/>
        <w:gridCol w:w="1929"/>
        <w:gridCol w:w="1927"/>
      </w:tblGrid>
      <w:tr>
        <w:trPr>
          <w:tblHeader w:val="true"/>
        </w:trPr>
        <w:tc>
          <w:tcPr>
            <w:tcW w:w="443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Bereich</w:t>
            </w:r>
          </w:p>
        </w:tc>
        <w:tc>
          <w:tcPr>
            <w:tcW w:w="134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Objekte</w:t>
            </w:r>
          </w:p>
        </w:tc>
        <w:tc>
          <w:tcPr>
            <w:tcW w:w="192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Wert netto</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Anteil</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Kraftgeräte (Atlantis, Prime)</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52</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268.570 €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45,4 %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Cardio</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104.760 €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17,7 %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Wellness</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55.850 €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9,5 %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Umkleide</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39</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32.310 €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Ausstattung (Wasserspender, Kameras, TV, Sicherheit)</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111</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32.035 €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5,4 %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Sanitär</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26.250 €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4,4 %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Empfang &amp; Lounge</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25.274 €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4,3 %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Kursraum</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20.610 €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Lager &amp; Technik</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8.850 €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Functional / HYROX-Kleingeräte</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6.709 €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Büro &amp; Personal</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5.450 €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0,9 %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Freihantel-Zubehör</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4.300 €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0,7 %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Bauelemente (ohne Preis)</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0,0 %</w:t>
            </w:r>
          </w:p>
        </w:tc>
      </w:tr>
      <w:tr>
        <w:trPr/>
        <w:tc>
          <w:tcPr>
            <w:tcW w:w="443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 Stückliste</w:t>
            </w:r>
          </w:p>
        </w:tc>
        <w:tc>
          <w:tcPr>
            <w:tcW w:w="134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369</w:t>
            </w:r>
          </w:p>
        </w:tc>
        <w:tc>
          <w:tcPr>
            <w:tcW w:w="192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590.968 €</w:t>
            </w:r>
          </w:p>
        </w:tc>
        <w:tc>
          <w:tcPr>
            <w:tcW w:w="192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100 %</w:t>
            </w:r>
          </w:p>
        </w:tc>
      </w:tr>
    </w:tbl>
    <w:p>
      <w:pPr>
        <w:pStyle w:val="Normal"/>
        <w:spacing w:before="60" w:after="200"/>
        <w:jc w:val="left"/>
        <w:rPr/>
      </w:pPr>
      <w:r>
        <w:rPr>
          <w:rFonts w:eastAsia="Arial" w:cs="Arial"/>
          <w:i/>
          <w:iCs/>
          <w:color w:val="5A5A5A"/>
          <w:sz w:val="18"/>
          <w:szCs w:val="18"/>
        </w:rPr>
        <w:t>Quelle: Rechercheprotokoll (Anhang I); Anteile rechnerisch. Vollständige Geräteliste mit Modell, Stückpreis und Preisquelle in Anhang A.</w:t>
      </w:r>
    </w:p>
    <w:p>
      <w:pPr>
        <w:pStyle w:val="Normal"/>
        <w:spacing w:lineRule="exact" w:line="276" w:before="0" w:after="120"/>
        <w:jc w:val="both"/>
        <w:rPr/>
      </w:pPr>
      <w:r>
        <w:rPr>
          <w:rFonts w:eastAsia="Arial" w:cs="Arial"/>
          <w:sz w:val="22"/>
          <w:szCs w:val="22"/>
        </w:rPr>
        <w:t>Die Ausstattung wird im Basisfall gekauft und über 8 Jahre abgeschrieben; alternativ kann ein Teil der Geräte über 36 bis 60 Monate geleast werden, wofür Händler Faktoren von etwa 1,9 bis 3,0 % des Anschaffungswerts je Monat nennen (Quellen: Anhang I). Für Wartung und Instandhaltung sind 5 % des Gerätewerts je Jahr eingeplant (31.160 € im dritten Jahr); Wartungsverträge mit Sichtprüfung nach DGUV 202-044 kosten ab 53 bzw. 62 € je Gerät (KERKMANN/one-bear). Vor der Bestellung sind für alle Atlantis- und Prime-Geräte verbindliche Angebote des europäischen Vertriebs einzuholen, da die recherchierten Händlerpreise US-Nettopreise ohne Fracht sind [Angebote vom Gründer einzuholen; der Bank als Anlage zum Investitionsplan vorzulegen].</w:t>
      </w:r>
    </w:p>
    <w:p>
      <w:pPr>
        <w:pStyle w:val="Heading2"/>
        <w:keepNext w:val="true"/>
        <w:spacing w:before="280" w:after="120"/>
        <w:rPr/>
      </w:pPr>
      <w:bookmarkStart w:id="33" w:name="__RefHeading___Toc21167_3809407278"/>
      <w:bookmarkEnd w:id="33"/>
      <w:r>
        <w:rPr/>
        <w:t>3.9 Kapazität und Ziel-Mitgliederbestand</w:t>
      </w:r>
    </w:p>
    <w:p>
      <w:pPr>
        <w:pStyle w:val="Normal"/>
        <w:spacing w:lineRule="exact" w:line="276" w:before="0" w:after="120"/>
        <w:jc w:val="both"/>
        <w:rPr/>
      </w:pPr>
      <w:r>
        <w:rPr>
          <w:rFonts w:eastAsia="Arial" w:cs="Arial"/>
          <w:sz w:val="22"/>
          <w:szCs w:val="22"/>
        </w:rPr>
        <w:t>Der Ziel-Mitgliederbestand beträgt 2.200 Mitglieder und wird im Basisszenario im 29. Betriebsmonat erreicht; nach 12 Monaten sind 1.429, nach 24 Monaten 2.053 Mitglieder geplant. Der Zielwert entspricht 1,1 Mitgliedern je m² Bruttofläche. Zum Vergleich: Die durchschnittliche Anlage in Deutschland hatte 2018 bei 1.166 m² Fläche 1.187 Mitglieder, also etwa 1,0 Mitglied je m² (fitness MANAGEMENT 2019); Einzelanlagen betreuen 2025 im Schnitt 1.023 Mitglieder, Kettenanlagen 2.528 (DSSV Eckdaten 2026). Die Kapazitätsprüfung bestätigt, dass 2.200 Mitglieder mit der Fläche vereinbar sind: Bei einem Spitzenlastanteil von 5,5 % gleichzeitig anwesender Mitglieder sind zur Hauptzeit 121 Personen im Studio, die Kapazität nach der 9 m²-Regel liegt bei 126 Trainierenden (Quellen: Anhang I). Die Sanitäranlagen sind auf 178 Spindfächer und 18 Duschen ausgelegt und damit ebenfalls ausreichend dimensioniert. Der Break-even liegt bei 2.018 Mitgliedern einschließlich vollem Kapitaldienst bzw. 1.572 Mitgliedern ohne Kapitaldienst; die Herleitung erfolgt im Finanzplan (Kapitel 10), die Szenarien und Sensitivitäten in Kapitel 9.</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Vor dem Bankgespräch zu ergänzen: verbindliche Geräteangebote (Atlantis/Prime-Vertrieb Europa, Cardio-Hersteller, Sauna-/Dampfbadbauer), Kursplan und Betreuungsstandards, Preisliste Personal Training und Zusatzleistungen, Angebot der Studiosoftware, Datenschutz- und Hygienekonzept (Legionellenprüfung), Entscheidung über eine offizielle HYROX-Partnerschaft.</w:t>
      </w:r>
      <w:r>
        <w:br w:type="page"/>
      </w:r>
    </w:p>
    <w:p>
      <w:pPr>
        <w:pStyle w:val="Heading1"/>
        <w:spacing w:before="360" w:after="200"/>
        <w:rPr/>
      </w:pPr>
      <w:bookmarkStart w:id="34" w:name="__RefHeading___Toc21169_3809407278"/>
      <w:bookmarkEnd w:id="34"/>
      <w:r>
        <w:rPr/>
        <w:t>4 Markt und Wettbewerb</w:t>
      </w:r>
    </w:p>
    <w:p>
      <w:pPr>
        <w:pStyle w:val="Heading2"/>
        <w:keepNext w:val="true"/>
        <w:spacing w:before="280" w:after="120"/>
        <w:rPr/>
      </w:pPr>
      <w:bookmarkStart w:id="35" w:name="__RefHeading___Toc21171_3809407278"/>
      <w:bookmarkEnd w:id="35"/>
      <w:r>
        <w:rPr/>
        <w:t>4.1 Fitnessmarkt Deutschland</w:t>
      </w:r>
    </w:p>
    <w:p>
      <w:pPr>
        <w:pStyle w:val="Normal"/>
        <w:spacing w:lineRule="exact" w:line="276" w:before="0" w:after="120"/>
        <w:jc w:val="both"/>
        <w:rPr/>
      </w:pPr>
      <w:r>
        <w:rPr>
          <w:rFonts w:eastAsia="Arial" w:cs="Arial"/>
          <w:sz w:val="22"/>
          <w:szCs w:val="22"/>
        </w:rPr>
        <w:t>Die deutsche Fitnesswirtschaft hat 2025 den höchsten Stand ihrer Geschichte erreicht. Zum Stichtag 31.12.2025 trainierten 12,36 Mio. Menschen als Mitglied in 9.647 Anlagen; der Nettoumsatz der Branche stieg um 7,4 % auf 6,25 Mrd. € (DSSV Eckdaten 2026). Die Penetrationsrate liegt bei 14,8 % der Gesamtbevölkerung und bei 21,9 % der 15- bis 65-Jährigen; unter Einrechnung von Firmenfitness-Aggregatoren (1,47 Mio. Mitgliederäquivalente, insgesamt 13,83 Mio. Trainierende) erreicht die Branche 16,5 % der Bevölkerung (DSSV Pressemitteilung Eckdaten 2026, PDF). Der durchschnittliche Monatsbeitrag beträgt 48,55 € brutto; die Spanne reicht von 40,54 € in Kettenanlagen über 59,24 € in Einzelanlagen bis 80,02 € in Special-Interest-Studios (DSSV Eckdaten 2026). Damit ist Fitness gemessen an der Mitgliederzahl die größte Sportart in Deutschland, mit 167.100 Beschäftigten und einem Investitionsvolumen von 798 Mio. € netto im Jahr 2025 (DSSV Eckdaten 2026).</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Mitglieder 2025</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12,36 Mio. (+5,6 %)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Anlagen 2025</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9.647</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Nettoumsatz 2025</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6,25 Mrd. € (+7,4 %)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Penetration gesamt / 15–65 J.</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14,8 % / 21,9 %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Ø Monatsbeitrag brutto</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48,55 €</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Ø Mitglieder je Anlage (berechnet)</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1.281</w:t>
            </w:r>
          </w:p>
        </w:tc>
      </w:tr>
    </w:tbl>
    <w:p>
      <w:pPr>
        <w:pStyle w:val="Normal"/>
        <w:spacing w:lineRule="exact" w:line="276" w:before="0" w:after="80"/>
        <w:jc w:val="both"/>
        <w:rPr/>
      </w:pPr>
      <w:r>
        <w:rPr/>
      </w:r>
    </w:p>
    <w:p>
      <w:pPr>
        <w:pStyle w:val="Normal"/>
        <w:spacing w:lineRule="exact" w:line="276" w:before="0" w:after="120"/>
        <w:jc w:val="both"/>
        <w:rPr/>
      </w:pPr>
      <w:r>
        <w:rPr>
          <w:rFonts w:eastAsia="Arial" w:cs="Arial"/>
          <w:sz w:val="22"/>
          <w:szCs w:val="22"/>
        </w:rPr>
        <w:t>Die Entwicklung seit 2018 zeigt ein strukturell wachsendes Geschäft mit einem einmaligen Einbruch durch die Corona-Schließungen 2020/2021. Erst 2024 lag die Mitgliederzahl mit 11,71 Mio. wieder über dem Vorkrisenniveau von 2019 (11,66 Mio.), 2025 wurde der Umsatz von 2019 um 13,4 % übertroffen (DSSV Eckdaten 2026, eigene Berechnung). Die Zahl der Anlagen ist seit 2019 praktisch unverändert (9.669 gegenüber 9.647, −0,2 %), das Wachstum findet also innerhalb bestehender Kapazitäten und über größere Anlagen statt. Für das Vorhaben bedeutet dies: Die Nachfrage wächst schneller als das Angebot an Anlagen, und die Beitragsentwicklung (43,35 € im Jahr 2018, 46,95 € im Jahr 2024, 48,55 € im Jahr 2025) belegt die Bereitschaft, für Qualität mehr zu zahlen (DSSV Eckdaten 2019/2025/2026).</w:t>
      </w:r>
    </w:p>
    <w:p>
      <w:pPr>
        <w:pStyle w:val="Normal"/>
        <w:keepNext w:val="true"/>
        <w:spacing w:before="160" w:after="80"/>
        <w:jc w:val="left"/>
        <w:rPr/>
      </w:pPr>
      <w:r>
        <w:rPr>
          <w:rFonts w:eastAsia="Arial" w:cs="Arial"/>
          <w:b/>
          <w:bCs/>
          <w:sz w:val="20"/>
          <w:szCs w:val="20"/>
        </w:rPr>
        <w:t>Tabelle 4.1: Entwicklung der deutschen Fitnesswirtschaft 2018–2025 (Stichtag jeweils 31.12.)</w:t>
      </w:r>
    </w:p>
    <w:tbl>
      <w:tblPr>
        <w:tblW w:w="9638" w:type="dxa"/>
        <w:jc w:val="left"/>
        <w:tblInd w:w="0" w:type="dxa"/>
        <w:tblLayout w:type="fixed"/>
        <w:tblCellMar>
          <w:top w:w="40" w:type="dxa"/>
          <w:left w:w="70" w:type="dxa"/>
          <w:bottom w:w="40" w:type="dxa"/>
          <w:right w:w="70" w:type="dxa"/>
        </w:tblCellMar>
      </w:tblPr>
      <w:tblGrid>
        <w:gridCol w:w="963"/>
        <w:gridCol w:w="1639"/>
        <w:gridCol w:w="1445"/>
        <w:gridCol w:w="1928"/>
        <w:gridCol w:w="1831"/>
        <w:gridCol w:w="1831"/>
      </w:tblGrid>
      <w:tr>
        <w:trPr>
          <w:tblHeader w:val="true"/>
        </w:trPr>
        <w:tc>
          <w:tcPr>
            <w:tcW w:w="96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Jahr</w:t>
            </w:r>
          </w:p>
        </w:tc>
        <w:tc>
          <w:tcPr>
            <w:tcW w:w="163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Mitglieder (Mio.)</w:t>
            </w:r>
          </w:p>
        </w:tc>
        <w:tc>
          <w:tcPr>
            <w:tcW w:w="144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Anlagen</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Nettoumsatz (Mrd. €)</w:t>
            </w:r>
          </w:p>
        </w:tc>
        <w:tc>
          <w:tcPr>
            <w:tcW w:w="183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Penetration gesamt</w:t>
            </w:r>
          </w:p>
        </w:tc>
        <w:tc>
          <w:tcPr>
            <w:tcW w:w="183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Ø Beitrag brutto</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2018</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11,09</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9.343</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5,33</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13,4 %</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43,35 €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2019</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11,66</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9.669</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5,51</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14,0 %</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2020</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10,31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9.538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4,16 *</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12,4 %</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2021</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9,26</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9.492</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11,1 %</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2022</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10,30</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9.149</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4,90</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12,4 %</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2023</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11,30</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9.111</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5,44</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2024</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11,71</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9.127</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5,82</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13,8 %</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46,95 €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2025</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12,36</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9.647</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6,25</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14,8 %</w:t>
            </w:r>
          </w:p>
        </w:tc>
        <w:tc>
          <w:tcPr>
            <w:tcW w:w="183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48,55 €</w:t>
            </w:r>
          </w:p>
        </w:tc>
      </w:tr>
    </w:tbl>
    <w:p>
      <w:pPr>
        <w:pStyle w:val="Normal"/>
        <w:spacing w:before="60" w:after="200"/>
        <w:jc w:val="left"/>
        <w:rPr/>
      </w:pPr>
      <w:r>
        <w:rPr>
          <w:rFonts w:eastAsia="Arial" w:cs="Arial"/>
          <w:i/>
          <w:iCs/>
          <w:color w:val="5A5A5A"/>
          <w:sz w:val="18"/>
          <w:szCs w:val="18"/>
        </w:rPr>
        <w:t>Quelle: DSSV/Deloitte/DHfPG Eckdaten 2019–2026 (Pressemitteilungen, dssv.de; 2021/2022 via BODYMEDIA und fitness MANAGEMENT); * Werte 2020 nur aus Sekundärnennung, nicht verifiziert.</w:t>
      </w:r>
    </w:p>
    <w:p>
      <w:pPr>
        <w:pStyle w:val="Normal"/>
        <w:spacing w:lineRule="exact" w:line="276" w:before="0" w:after="120"/>
        <w:jc w:val="both"/>
        <w:rPr/>
      </w:pPr>
      <w:r>
        <w:rPr>
          <w:rFonts w:eastAsia="Arial" w:cs="Arial"/>
          <w:sz w:val="22"/>
          <w:szCs w:val="22"/>
        </w:rPr>
        <w:t>Der Markt gliedert sich in drei Betriebstypen. Ketten stellen mit 3.002 Anlagen 61,4 % aller Mitglieder und 50,7 % des Umsatzes; ihre Anlagenzahl wuchs 2025 um 12,6 % (DSSV Eckdaten 2026). Einzelanlagen bilden mit 4.202 Standorten weiterhin das zahlenmäßig größte Segment, erwirtschaften mit durchschnittlich 59,24 € einen um 46 % höheren Beitrag als Ketten und erzielen mit 616 € Nettoumsatz je Mitglied und Jahr deutlich mehr als Kettenanlagen mit 418 € (DSSV Eckdaten 2026, eigene Berechnung). No.1 ist als Einzelanlage mit Kettengröße konzipiert: Mit einer Zielgröße von 2.200 Mitgliedern liegt das Studio zwischen dem Durchschnitt einer Einzelanlage (1.023 Mitglieder) und dem einer Kettenanlage (2.528 Mitglieder), preislich mit einem Durchschnittsbeitrag von 50,15 € brutto zwischen Ketten- und Einzelanlagenniveau.</w:t>
      </w:r>
    </w:p>
    <w:p>
      <w:pPr>
        <w:pStyle w:val="Normal"/>
        <w:keepNext w:val="true"/>
        <w:spacing w:before="160" w:after="80"/>
        <w:jc w:val="left"/>
        <w:rPr/>
      </w:pPr>
      <w:r>
        <w:rPr>
          <w:rFonts w:eastAsia="Arial" w:cs="Arial"/>
          <w:b/>
          <w:bCs/>
          <w:sz w:val="20"/>
          <w:szCs w:val="20"/>
        </w:rPr>
        <w:t>Tabelle 4.2: Betriebstypen 2025 im Vergleich (Stichtag 31.12.2025)</w:t>
      </w:r>
    </w:p>
    <w:tbl>
      <w:tblPr>
        <w:tblW w:w="9638" w:type="dxa"/>
        <w:jc w:val="left"/>
        <w:tblInd w:w="0" w:type="dxa"/>
        <w:tblLayout w:type="fixed"/>
        <w:tblCellMar>
          <w:top w:w="40" w:type="dxa"/>
          <w:left w:w="70" w:type="dxa"/>
          <w:bottom w:w="40" w:type="dxa"/>
          <w:right w:w="70" w:type="dxa"/>
        </w:tblCellMar>
      </w:tblPr>
      <w:tblGrid>
        <w:gridCol w:w="2505"/>
        <w:gridCol w:w="1542"/>
        <w:gridCol w:w="1157"/>
        <w:gridCol w:w="1736"/>
        <w:gridCol w:w="1348"/>
        <w:gridCol w:w="1349"/>
      </w:tblGrid>
      <w:tr>
        <w:trPr>
          <w:tblHeader w:val="true"/>
        </w:trPr>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Betriebstyp</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Mitglieder (Mio.)</w:t>
            </w:r>
          </w:p>
        </w:tc>
        <w:tc>
          <w:tcPr>
            <w:tcW w:w="115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Anlagen</w:t>
            </w:r>
          </w:p>
        </w:tc>
        <w:tc>
          <w:tcPr>
            <w:tcW w:w="173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Umsatz netto (Mrd. €)</w:t>
            </w:r>
          </w:p>
        </w:tc>
        <w:tc>
          <w:tcPr>
            <w:tcW w:w="134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Ø Beitrag brutto</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Ø Mitglieder je Anlage</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Kettenanlagen</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7,59 (61,4 %)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3.002</w:t>
            </w:r>
          </w:p>
        </w:tc>
        <w:tc>
          <w:tcPr>
            <w:tcW w:w="173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3,17 (50,7 %)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40,54 €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2.528</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Einzelanlagen</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4,30 (34,8 %)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4.202</w:t>
            </w:r>
          </w:p>
        </w:tc>
        <w:tc>
          <w:tcPr>
            <w:tcW w:w="173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2,65 (42,4 %)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59,24 €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1.023</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Special Interest (EMS, Mikro, Boutique)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0,47 (3,8 %)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2.443</w:t>
            </w:r>
          </w:p>
        </w:tc>
        <w:tc>
          <w:tcPr>
            <w:tcW w:w="173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0,43 (6,9 %)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80,02 €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192</w:t>
            </w:r>
          </w:p>
        </w:tc>
      </w:tr>
      <w:tr>
        <w:trPr/>
        <w:tc>
          <w:tcPr>
            <w:tcW w:w="250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Gesamt</w:t>
            </w:r>
          </w:p>
        </w:tc>
        <w:tc>
          <w:tcPr>
            <w:tcW w:w="154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12,36</w:t>
            </w:r>
          </w:p>
        </w:tc>
        <w:tc>
          <w:tcPr>
            <w:tcW w:w="115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9.647</w:t>
            </w:r>
          </w:p>
        </w:tc>
        <w:tc>
          <w:tcPr>
            <w:tcW w:w="173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6,25</w:t>
            </w:r>
          </w:p>
        </w:tc>
        <w:tc>
          <w:tcPr>
            <w:tcW w:w="134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48,55 €</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1.281</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No.1 (Plan, Jahr 3)</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2.200 Mitglieder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73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1,37 Mio.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50,15 €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r>
    </w:tbl>
    <w:p>
      <w:pPr>
        <w:pStyle w:val="Normal"/>
        <w:spacing w:before="60" w:after="200"/>
        <w:jc w:val="left"/>
        <w:rPr/>
      </w:pPr>
      <w:r>
        <w:rPr>
          <w:rFonts w:eastAsia="Arial" w:cs="Arial"/>
          <w:i/>
          <w:iCs/>
          <w:color w:val="5A5A5A"/>
          <w:sz w:val="18"/>
          <w:szCs w:val="18"/>
        </w:rPr>
        <w:t>Quelle: DSSV Eckdaten 2026 (dssv.de/eckdaten-2026); Mitglieder je Anlage eigene Berechnung; No.1: Excel-Planrechnung Basisszenario.</w:t>
      </w:r>
    </w:p>
    <w:p>
      <w:pPr>
        <w:pStyle w:val="Heading2"/>
        <w:keepNext w:val="true"/>
        <w:spacing w:before="280" w:after="120"/>
        <w:rPr/>
      </w:pPr>
      <w:bookmarkStart w:id="36" w:name="__RefHeading___Toc21173_3809407278"/>
      <w:bookmarkEnd w:id="36"/>
      <w:r>
        <w:rPr/>
        <w:t>4.2 Trends</w:t>
      </w:r>
    </w:p>
    <w:p>
      <w:pPr>
        <w:pStyle w:val="Normal"/>
        <w:spacing w:lineRule="exact" w:line="276" w:before="0" w:after="120"/>
        <w:jc w:val="both"/>
        <w:rPr/>
      </w:pPr>
      <w:r>
        <w:rPr>
          <w:rFonts w:eastAsia="Arial" w:cs="Arial"/>
          <w:sz w:val="22"/>
          <w:szCs w:val="22"/>
        </w:rPr>
        <w:t>Die Angebotskonzeption von No.1 folgt den fünf Entwicklungen, die Branchenverbände und Trendstudien für 2026 übereinstimmend als prägend beschreiben. Krafttraining mit freien Gewichten steht in der deutschen Auswertung der ACSM-Fitnesstrends 2026 auf Platz 1, gefolgt von datengestützter Trainingstechnologie, Vereins- und Freizeitangeboten und Functional Training (BODYMEDIA, ACSM-Trends 2026). Die Betreiberbefragung des DSSV nennt Programme für Ältere, Krafttraining mit freien Gewichten, qualifizierte Fachkräfte, Functional Fitness und betriebliches Gesundheitsmanagement als Top 5 (DSSV Fitnesstrends 2024).</w:t>
      </w:r>
    </w:p>
    <w:p>
      <w:pPr>
        <w:pStyle w:val="Normal"/>
        <w:keepNext w:val="true"/>
        <w:spacing w:before="160" w:after="80"/>
        <w:jc w:val="left"/>
        <w:rPr/>
      </w:pPr>
      <w:r>
        <w:rPr>
          <w:rFonts w:eastAsia="Arial" w:cs="Arial"/>
          <w:b/>
          <w:bCs/>
          <w:sz w:val="20"/>
          <w:szCs w:val="20"/>
        </w:rPr>
        <w:t>Tabelle 4.3: Trend-Rankings 2026 und Umsetzung im Konzept No.1</w:t>
      </w:r>
    </w:p>
    <w:tbl>
      <w:tblPr>
        <w:tblW w:w="9638" w:type="dxa"/>
        <w:jc w:val="left"/>
        <w:tblInd w:w="0" w:type="dxa"/>
        <w:tblLayout w:type="fixed"/>
        <w:tblCellMar>
          <w:top w:w="40" w:type="dxa"/>
          <w:left w:w="70" w:type="dxa"/>
          <w:bottom w:w="40" w:type="dxa"/>
          <w:right w:w="70" w:type="dxa"/>
        </w:tblCellMar>
      </w:tblPr>
      <w:tblGrid>
        <w:gridCol w:w="771"/>
        <w:gridCol w:w="2120"/>
        <w:gridCol w:w="2313"/>
        <w:gridCol w:w="2120"/>
        <w:gridCol w:w="2314"/>
      </w:tblGrid>
      <w:tr>
        <w:trPr>
          <w:tblHeader w:val="true"/>
        </w:trPr>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Rang</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ACSM 2026 weltweit</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ACSM 2026 Deutschland</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DSSV-Betreiber 2024</w:t>
            </w:r>
          </w:p>
        </w:tc>
        <w:tc>
          <w:tcPr>
            <w:tcW w:w="231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Umsetzung No.1</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Wearables</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Klassisches Krafttraining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Programme für Ältere</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Kraftbereich 476 m² Maschinen + 184 m² Freihantel</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Programme für Ältere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Datengestützte Trainingstechnologie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Krafttraining freie Gewichte</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 Racks, 52 Kraftmaschinen (Quellen: Anhang I)</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Gewichtsreduktion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Freizeit-/Vereinsangebote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Qualifizierte Fachkräfte</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Trainer mit Lizenz, Kursraum 149 m²</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Trainings-Apps</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Functional Training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Functional Fitness</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HYROX-Zone 170 m² + Functional 88 m²</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Balance/Flow/Core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BGM/BGF</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Firmenfitness, Aggregator-Anbindung</w:t>
            </w:r>
          </w:p>
        </w:tc>
      </w:tr>
    </w:tbl>
    <w:p>
      <w:pPr>
        <w:pStyle w:val="Normal"/>
        <w:spacing w:before="60" w:after="200"/>
        <w:jc w:val="left"/>
        <w:rPr/>
      </w:pPr>
      <w:r>
        <w:rPr>
          <w:rFonts w:eastAsia="Arial" w:cs="Arial"/>
          <w:i/>
          <w:iCs/>
          <w:color w:val="5A5A5A"/>
          <w:sz w:val="18"/>
          <w:szCs w:val="18"/>
        </w:rPr>
        <w:t>Quelle: DHfPG (ACSM-Trends 2026 weltweit, 27.10.2025); BODYMEDIA (ACSM Deutschland-Ranking, 01.02.2026); DSSV Fitnesstrends 2024; Flächen aus Rechercheprotokoll (Anhang I).</w:t>
      </w:r>
    </w:p>
    <w:p>
      <w:pPr>
        <w:pStyle w:val="Normal"/>
        <w:spacing w:lineRule="exact" w:line="276" w:before="0" w:after="120"/>
        <w:jc w:val="both"/>
        <w:rPr/>
      </w:pPr>
      <w:r>
        <w:rPr>
          <w:rFonts w:eastAsia="Arial" w:cs="Arial"/>
          <w:sz w:val="22"/>
          <w:szCs w:val="22"/>
        </w:rPr>
        <w:t>HYROX und Functional Training: Das 2017 in Hamburg gegründete Wettkampfformat HYROX zählte 2025 rund 900.000 Athleten (2024: über 650.000) bei etwa 100 Rennen und über 400 Eventtagen weltweit; rund 15.000 Partnerstudios, davon etwa 1.300 im deutschsprachigen Raum, nutzen das Format zur Erschließung neuer Zielgruppen und zur Mitgliederbindung (BODYMEDIA 29.05.2026, fitness MANAGEMENT 01/2026). In der Saison 2025/26 wurden über 1,5 Mio. Teilnahmen gezählt, für 2026/27 strebt der Veranstalter mehr als 2 Mio. an (endurance.biz 20.07.2026). Eine belastbare Zahl der Starter in Deutschland liegt nicht vor. Im Einzugsgebiet Bodensee bewirbt bislang nur ai fitness Friedrichshafen ein HYROX-Setup, in Konstanz ist der Fitness Bunker offizieller HYROX Training Club; in der Region Stuttgart bieten urban health club Ludwigsburg und die 2026 eröffnete JONNY M. Arena Böblingen HYROX-Training an (Quellen: Anhang I). Eine dedizierte HYROX-Zone von 169,88 m² in einem Vollsortiment-Studio ist in beiden Regionen ein Alleinstellungsmerkmal.</w:t>
      </w:r>
    </w:p>
    <w:p>
      <w:pPr>
        <w:pStyle w:val="Normal"/>
        <w:spacing w:lineRule="exact" w:line="276" w:before="0" w:after="120"/>
        <w:jc w:val="both"/>
        <w:rPr/>
      </w:pPr>
      <w:r>
        <w:rPr>
          <w:rFonts w:eastAsia="Arial" w:cs="Arial"/>
          <w:sz w:val="22"/>
          <w:szCs w:val="22"/>
        </w:rPr>
        <w:t>Wellness: Ein belastbarer Branchenanteil von Anlagen mit Sauna ist öffentlich nicht verfügbar (nur DSSV-Vollstudie). Die Wettbewerbserhebung zeigt jedoch, dass rund zwei Drittel der erfassten Studios in beiden Regionen eine Sauna anbieten und die Premiumstufe regionaler Anbieter (Happy Fit, GYM-24, INJOY Komfort) regelmäßig über Wellness definiert wird (INJOY Mitgliedschaft). Premium-Clubs erzielen mit Wellness- und Beauty-Anwendungen bis zu 10 % ihres Gesamtumsatzes; ein Wellness-Upgrade von 30 €/Monat brachte im Beispiel Elixia Hamburg 900 Verträge in 24 Monaten (fitness MANAGEMENT 05/2020, BODYMEDIA 2020). No.1 nutzt Sauna, Dampfbad und Cold Plunge als Kern des Premium-Tarifs (59,90 €).</w:t>
      </w:r>
    </w:p>
    <w:p>
      <w:pPr>
        <w:pStyle w:val="Normal"/>
        <w:spacing w:lineRule="exact" w:line="276" w:before="0" w:after="120"/>
        <w:jc w:val="both"/>
        <w:rPr/>
      </w:pPr>
      <w:r>
        <w:rPr>
          <w:rFonts w:eastAsia="Arial" w:cs="Arial"/>
          <w:sz w:val="22"/>
          <w:szCs w:val="22"/>
        </w:rPr>
        <w:t>Digitalisierung und Aggregatoren: 24,0 % aller Vertragsabschlüsse erfolgten 2024 online, nach 14,0 % im Vorjahr (DSSV Eckdaten 2025). Firmenfitness-Aggregatoren wie Wellpass oder Urban Sports Club vermittelten 2025 1,47 Mio. Mitgliederäquivalente (+21,5 %) an 52.300 Partnerstandorte; 76,1 % aller Anlagen sind angebunden (DSSV Eckdaten 2026, Deloitte 2026). Eine Studiosoftware mit Online-Abschluss, App und Zutrittssystem sowie die Anbindung an mindestens einen Aggregator sind daher Standard und im Investitions- und Kostenplan berücksichtigt.</w:t>
      </w:r>
    </w:p>
    <w:p>
      <w:pPr>
        <w:pStyle w:val="Normal"/>
        <w:spacing w:lineRule="exact" w:line="276" w:before="0" w:after="120"/>
        <w:jc w:val="both"/>
        <w:rPr/>
      </w:pPr>
      <w:r>
        <w:rPr>
          <w:rFonts w:eastAsia="Arial" w:cs="Arial"/>
          <w:sz w:val="22"/>
          <w:szCs w:val="22"/>
        </w:rPr>
        <w:t>Gesundheit und Demografie: 41,1 % der Anlagen positionieren sich als Gesundheitsanbieter, 43,3 % bieten betriebliches Gesundheitsmanagement an (DSSV Eckdaten 2025). Nur 8,4 % der über 60-Jährigen sind Mitglied, gegenüber über 22 % bei den 40- bis 50-Jährigen (DSSV Fitnesstrends 2024); bereits 2019 waren 1,43 Mio. Mitglieder älter als 60 Jahre, mit steigender Tendenz (DHfPG 2020). Das Durchschnittsalter der Mitglieder liegt bei 40,5 Jahren, der Frauenanteil bei 53,3 % (DSSV Eckdaten 2022). Im Bodenseekreis liegt das Durchschnittsalter der Bevölkerung mit 45,7 Jahren über dem Bundesschnitt (WFB Bodenseekreis) – ein Argument für gerätegestütztes Krafttraining, Kurse und Wellness statt eines reinen Discount-Konzepts.</w:t>
      </w:r>
    </w:p>
    <w:p>
      <w:pPr>
        <w:pStyle w:val="Heading2"/>
        <w:keepNext w:val="true"/>
        <w:spacing w:before="280" w:after="120"/>
        <w:rPr/>
      </w:pPr>
      <w:bookmarkStart w:id="37" w:name="__RefHeading___Toc21175_3809407278"/>
      <w:bookmarkEnd w:id="37"/>
      <w:r>
        <w:rPr/>
        <w:t>4.3 Zielgruppen</w:t>
      </w:r>
    </w:p>
    <w:p>
      <w:pPr>
        <w:pStyle w:val="Normal"/>
        <w:spacing w:lineRule="exact" w:line="276" w:before="0" w:after="120"/>
        <w:jc w:val="both"/>
        <w:rPr/>
      </w:pPr>
      <w:r>
        <w:rPr>
          <w:rFonts w:eastAsia="Arial" w:cs="Arial"/>
          <w:sz w:val="22"/>
          <w:szCs w:val="22"/>
        </w:rPr>
        <w:t>No.1 spricht mit drei Tarifen vier Kernzielgruppen an. Der Tarifmix des Finanzmodells (40 % Basic 44,90 €, 45 % Premium 59,90 €, 15 % Student/Azubi/Senior 34,90 €, jeweils brutto) ergibt einen Durchschnittsbeitrag von 50,15 € brutto je Mitglied und Monat. Die Sportbeteiligung ist hoch: 88 % der Erwachsenen interagieren aktiv oder passiv mit Sport (EY Sports Engagement Index 2025); EU-weit treiben 38 % mehrmals pro Woche Sport, der Anteil der Nicht-Sportler sank von 45 % (2022) auf 39 % (Eurobarometer 2026). Als wichtigste Hemmnisse nennen die Befragten Zeitmangel (37 %), fehlende Motivation (26 %) und Kosten (12 %) (Eurobarometer 2026) – lange Öffnungszeiten, betreutes Training und ein Studententarif adressieren genau diese Punkte.</w:t>
      </w:r>
    </w:p>
    <w:p>
      <w:pPr>
        <w:pStyle w:val="Normal"/>
        <w:keepNext w:val="true"/>
        <w:spacing w:before="160" w:after="80"/>
        <w:jc w:val="left"/>
        <w:rPr/>
      </w:pPr>
      <w:r>
        <w:rPr>
          <w:rFonts w:eastAsia="Arial" w:cs="Arial"/>
          <w:b/>
          <w:bCs/>
          <w:sz w:val="20"/>
          <w:szCs w:val="20"/>
        </w:rPr>
        <w:t>Tabelle 4.4: Zielgruppen, Belege und Tarifzuordnung</w:t>
      </w:r>
    </w:p>
    <w:tbl>
      <w:tblPr>
        <w:tblW w:w="9638" w:type="dxa"/>
        <w:jc w:val="left"/>
        <w:tblInd w:w="0" w:type="dxa"/>
        <w:tblLayout w:type="fixed"/>
        <w:tblCellMar>
          <w:top w:w="40" w:type="dxa"/>
          <w:left w:w="70" w:type="dxa"/>
          <w:bottom w:w="40" w:type="dxa"/>
          <w:right w:w="70" w:type="dxa"/>
        </w:tblCellMar>
      </w:tblPr>
      <w:tblGrid>
        <w:gridCol w:w="1927"/>
        <w:gridCol w:w="3277"/>
        <w:gridCol w:w="1928"/>
        <w:gridCol w:w="2505"/>
      </w:tblGrid>
      <w:tr>
        <w:trPr>
          <w:tblHeader w:val="true"/>
        </w:trPr>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Zielgruppe</w:t>
            </w:r>
          </w:p>
        </w:tc>
        <w:tc>
          <w:tcPr>
            <w:tcW w:w="327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Kennzahl / Beleg</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Bedürfnis</w:t>
            </w:r>
          </w:p>
        </w:tc>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Angebot / Tarif No.1</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Berufstätige 30–49 J.</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Ø Alter Mitglieder 40,5 J.; 40–49 J. 23,6 %, 30–39 J. 21,7 % der Mitglieder (DSSV 2022 / CoGAP 2014)</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Effizientes Training, Wellness, Randzeiten</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Premium 59,90 € (Wellness, HYROX); Öffnung früh/spät</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Pendler / Beschäftigte großer Arbeitgeber</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FN 23.056 Einpendler, Tagbevölkerung 74.376; Böblingen 36.582 und Sindelfingen 45.595 Einpendler (Pendleratlas 2025)</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 am Arbeitsort, Firmenfitness</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Firmenfitness-Kooperationen, Aggregator-Anbindung (76,1 % der Anlagen)</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Junge Erwachsene / Studierende 18–29 J.</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Bodenseekreis 22.334, LK Böblingen 41.835 Personen 20–29 J. (Zensus 2022); ca. 1.300 HYROX-Partnerstudios im deutschsprachigen Raum (BODYMEDIA 2026)</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Kraft, Freihantel, HYROX, Preis</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Student/Azubi 34,90 €; Basic 44,90 €</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Generation 50+ / Gesundheit</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Nur 8,4 % der 60+ Mitglied vs. &gt;22 % bei 40–50 J. (DSSV 2024); Ø Alter Bodenseekreis 45,7 J.</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Betreuung, Gerätetraining, Kurse, Sauna</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Senior 34,90 €; Premium mit Wellness; Kurse</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Frauen</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Frauenanteil Mitglieder 53,3 % (DSSV 2022)</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Kurse, Cardio, Wellness, Sicherheit</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Kursraum 149 m², Cardio, Damen-Umkleide 44,9 m²</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Firmenkunden (BGM)</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43,3 % der Anlagen mit BGM-Angebot (DSSV 2025); ZF ca. 10.000, RRPS 6.300, Airbus ca. 2.150 Beschäftigte in FN/Immenstaad; Mercedes &gt;31.500 (Snippet), HP 4.000 in SIFI/BB</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Gesundheitsangebote für Belegschaften</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Firmenverträge, Präventionskurse, Wellpass/Hansefit</w:t>
            </w:r>
          </w:p>
        </w:tc>
      </w:tr>
    </w:tbl>
    <w:p>
      <w:pPr>
        <w:pStyle w:val="Normal"/>
        <w:spacing w:before="60" w:after="200"/>
        <w:jc w:val="left"/>
        <w:rPr/>
      </w:pPr>
      <w:r>
        <w:rPr>
          <w:rFonts w:eastAsia="Arial" w:cs="Arial"/>
          <w:i/>
          <w:iCs/>
          <w:color w:val="5A5A5A"/>
          <w:sz w:val="18"/>
          <w:szCs w:val="18"/>
        </w:rPr>
        <w:t>Quelle: Rechercheprotokoll (Anhang I; DSSV, CoGAP, Zensus 2022 via City Population, Pendleratlas 2025, WFB Bodenseekreis, DDW Standortprofil Böblingen); Tarife aus Excel-Planrechnung.</w:t>
      </w:r>
    </w:p>
    <w:p>
      <w:pPr>
        <w:pStyle w:val="Normal"/>
        <w:keepNext w:val="true"/>
        <w:spacing w:before="160" w:after="80"/>
        <w:jc w:val="left"/>
        <w:rPr/>
      </w:pPr>
      <w:r>
        <w:rPr>
          <w:rFonts w:eastAsia="Arial" w:cs="Arial"/>
          <w:b/>
          <w:bCs/>
          <w:sz w:val="20"/>
          <w:szCs w:val="20"/>
        </w:rPr>
        <w:t>Tabelle 4.5: Altersstruktur der Kernzielgruppen in den Vergleichskreisen (Zensus 2022, Personen)</w:t>
      </w:r>
    </w:p>
    <w:tbl>
      <w:tblPr>
        <w:tblW w:w="9638" w:type="dxa"/>
        <w:jc w:val="left"/>
        <w:tblInd w:w="0" w:type="dxa"/>
        <w:tblLayout w:type="fixed"/>
        <w:tblCellMar>
          <w:top w:w="40" w:type="dxa"/>
          <w:left w:w="70" w:type="dxa"/>
          <w:bottom w:w="40" w:type="dxa"/>
          <w:right w:w="70" w:type="dxa"/>
        </w:tblCellMar>
      </w:tblPr>
      <w:tblGrid>
        <w:gridCol w:w="2120"/>
        <w:gridCol w:w="1446"/>
        <w:gridCol w:w="1445"/>
        <w:gridCol w:w="1542"/>
        <w:gridCol w:w="1542"/>
        <w:gridCol w:w="1542"/>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Altersgruppe</w:t>
            </w:r>
          </w:p>
        </w:tc>
        <w:tc>
          <w:tcPr>
            <w:tcW w:w="144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Bodenseekreis</w:t>
            </w:r>
          </w:p>
        </w:tc>
        <w:tc>
          <w:tcPr>
            <w:tcW w:w="144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LK Konstanz</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LK Ravensburg</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LK Böblingen</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Stadt Stuttgart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20–29 Jahre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22.334</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38.332</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34.015</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41.835</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93.184</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30–39 Jahre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27.165</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36.114</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36.487</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53.238</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100.162</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40–49 Jahre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26.057</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32.533</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34.093</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50.190</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80.077</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50–59 Jahre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34.353</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44.175</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44.650</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59.894</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82.529</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Anteil 18–64 J. (2025)</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58,2 %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60,7 %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60,1 %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60,3 %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65,7 %</w:t>
            </w:r>
          </w:p>
        </w:tc>
      </w:tr>
    </w:tbl>
    <w:p>
      <w:pPr>
        <w:pStyle w:val="Normal"/>
        <w:spacing w:before="60" w:after="200"/>
        <w:jc w:val="left"/>
        <w:rPr/>
      </w:pPr>
      <w:r>
        <w:rPr>
          <w:rFonts w:eastAsia="Arial" w:cs="Arial"/>
          <w:i/>
          <w:iCs/>
          <w:color w:val="5A5A5A"/>
          <w:sz w:val="18"/>
          <w:szCs w:val="18"/>
        </w:rPr>
        <w:t>Quelle: Zensus 2022 und Fortschreibung 31.12.2025, Statistische Landesämter via citypopulation.de (Rechercheprotokoll (Anhang I)).</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Vom Gründer zu ergänzen: [Studierendenzahlen der Hochschulen im Einzugsgebiet], [Liste angesprochener Firmenkunden mit Beschäftigtenzahl und Gesprächsstand], [Ergebnisse einer eigenen Interessentenbefragung oder Vorverkaufs-Warteliste]. Diese Angaben sind in den Rechercheunterlagen nicht enthalten und stärken den Nachfragenachweis gegenüber der Bank erheblich.</w:t>
      </w:r>
    </w:p>
    <w:p>
      <w:pPr>
        <w:pStyle w:val="Heading2"/>
        <w:keepNext w:val="true"/>
        <w:spacing w:before="280" w:after="120"/>
        <w:rPr/>
      </w:pPr>
      <w:bookmarkStart w:id="38" w:name="__RefHeading___Toc21177_3809407278"/>
      <w:bookmarkEnd w:id="38"/>
      <w:r>
        <w:rPr/>
        <w:t>4.4 Nachfrage im Einzugsgebiet</w:t>
      </w:r>
    </w:p>
    <w:p>
      <w:pPr>
        <w:pStyle w:val="Normal"/>
        <w:spacing w:lineRule="exact" w:line="276" w:before="0" w:after="120"/>
        <w:jc w:val="both"/>
        <w:rPr/>
      </w:pPr>
      <w:r>
        <w:rPr>
          <w:rFonts w:eastAsia="Arial" w:cs="Arial"/>
          <w:sz w:val="22"/>
          <w:szCs w:val="22"/>
        </w:rPr>
        <w:t>Das relevante Einzugsgebiet eines Fitnessstudios dieser Größe wird mit 15 Fahrminuten angesetzt. Für den bevorzugten Standortraum Friedrichshafen umfasst es elf Gemeinden mit 149.548 Einwohnern (Friedrichshafen 62.781, Tettnang 20.522, Markdorf 14.305, Meckenbeuren 13.717, Kressbronn 8.769, Langenargen 7.708, Immenstaad 6.434, Oberteuringen 5.056, Eriskirch 4.752, Bermatingen 4.116, Hagnau 1.388; Fortschreibung 31.12.2025, StaLa via City Population). Bei der bundesweiten Penetrationsrate von 14,8 % entspricht dies 22.133 Fitnessmitgliedern; auf Basis der 15- bis 65-Jährigen (21,9 % von rund 60 % der Bevölkerung) ergeben sich 19.651 Mitglieder (Quellen: Anhang I). Nicht enthalten sind Ravensburg und Weingarten (rund 60.000 Einwohner, 20–25 Fahrminuten) sowie die Tagbevölkerung von 74.376 Personen in Friedrichshafen, die das Potenzial über Firmenfitness erhöht (Pendleratlas 2025).</w:t>
      </w:r>
    </w:p>
    <w:p>
      <w:pPr>
        <w:pStyle w:val="Normal"/>
        <w:spacing w:lineRule="exact" w:line="276" w:before="0" w:after="120"/>
        <w:jc w:val="both"/>
        <w:rPr/>
      </w:pPr>
      <w:r>
        <w:rPr>
          <w:rFonts w:eastAsia="Arial" w:cs="Arial"/>
          <w:sz w:val="22"/>
          <w:szCs w:val="22"/>
        </w:rPr>
        <w:t>Für den Alternativraum Böblingen/Sindelfingen umfasst das Einzugsgebiet 14 Gemeinden mit 215.039 Einwohnern und damit 31.826 Fitnessmitglieder bei 14,8 % Penetration (28.256 auf Basis der 15- bis 65-Jährigen). Die Stuttgarter Stadtbezirke Vaihingen und Möhringen sowie Leonberg und Herrenberg sind bewusst nicht mitgezählt, obwohl sie real in 15 Minuten erreichbar sind; die Abgrenzung ist damit konservativ (Quellen: Anhang I). Beide Räume liegen bei der Kaufkraft deutlich über dem Bundesdurchschnitt: Der Bodenseekreis erreicht 2026 eine Kaufkraft von 36.069 € je Einwohner gegenüber 33.643 € in Baden-Württemberg und 32.009 € bundesweit (MB Research via IHK Bodensee-Oberschwaben); das verfügbare Einkommen je Einwohner lag 2022 im Bodenseekreis bei 29.440 € (Landesindex 107,3), in Stuttgart bei 29.202 € und im Landkreis Böblingen bei 28.319 € (StaLa BW 2025). Die einzelhandelsrelevante Kaufkraft im Landkreis Böblingen beträgt 2026 8.811 € je Einwohner (Index 107,6) (IHK Region Stuttgart 2026).</w:t>
      </w:r>
    </w:p>
    <w:p>
      <w:pPr>
        <w:pStyle w:val="Normal"/>
        <w:keepNext w:val="true"/>
        <w:spacing w:before="160" w:after="80"/>
        <w:jc w:val="left"/>
        <w:rPr/>
      </w:pPr>
      <w:r>
        <w:rPr>
          <w:rFonts w:eastAsia="Arial" w:cs="Arial"/>
          <w:b/>
          <w:bCs/>
          <w:sz w:val="20"/>
          <w:szCs w:val="20"/>
        </w:rPr>
        <w:t>Tabelle 4.6: Nachfragepotenzial im 15-Minuten-Einzugsgebiet</w:t>
      </w:r>
    </w:p>
    <w:tbl>
      <w:tblPr>
        <w:tblW w:w="9638" w:type="dxa"/>
        <w:jc w:val="left"/>
        <w:tblInd w:w="0" w:type="dxa"/>
        <w:tblLayout w:type="fixed"/>
        <w:tblCellMar>
          <w:top w:w="40" w:type="dxa"/>
          <w:left w:w="70" w:type="dxa"/>
          <w:bottom w:w="40" w:type="dxa"/>
          <w:right w:w="70" w:type="dxa"/>
        </w:tblCellMar>
      </w:tblPr>
      <w:tblGrid>
        <w:gridCol w:w="3084"/>
        <w:gridCol w:w="2119"/>
        <w:gridCol w:w="2507"/>
        <w:gridCol w:w="1927"/>
      </w:tblGrid>
      <w:tr>
        <w:trPr>
          <w:tblHeader w:val="true"/>
        </w:trPr>
        <w:tc>
          <w:tcPr>
            <w:tcW w:w="308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Kennzahl</w:t>
            </w:r>
          </w:p>
        </w:tc>
        <w:tc>
          <w:tcPr>
            <w:tcW w:w="211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Raum Friedrichshafen</w:t>
            </w:r>
          </w:p>
        </w:tc>
        <w:tc>
          <w:tcPr>
            <w:tcW w:w="250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Raum Böblingen/Sindelfingen</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Quelle</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Einwohner Einzugsgebiet (31.12.2025)</w:t>
            </w:r>
          </w:p>
        </w:tc>
        <w:tc>
          <w:tcPr>
            <w:tcW w:w="21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149.548</w:t>
            </w:r>
          </w:p>
        </w:tc>
        <w:tc>
          <w:tcPr>
            <w:tcW w:w="25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215.039</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StaLa via City Population</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Fitnessmitglieder bei 14,8 % Penetration</w:t>
            </w:r>
          </w:p>
        </w:tc>
        <w:tc>
          <w:tcPr>
            <w:tcW w:w="21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22.133</w:t>
            </w:r>
          </w:p>
        </w:tc>
        <w:tc>
          <w:tcPr>
            <w:tcW w:w="25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31.826</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2026, eigene Berechnung</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Fitnessmitglieder bei 21,9 % der 15–65-J.</w:t>
            </w:r>
          </w:p>
        </w:tc>
        <w:tc>
          <w:tcPr>
            <w:tcW w:w="21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19.651</w:t>
            </w:r>
          </w:p>
        </w:tc>
        <w:tc>
          <w:tcPr>
            <w:tcW w:w="25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28.256</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2026, eigene Berechnung</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Einpendler Kernstadt (2025)</w:t>
            </w:r>
          </w:p>
        </w:tc>
        <w:tc>
          <w:tcPr>
            <w:tcW w:w="21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23.056 (FN)</w:t>
            </w:r>
          </w:p>
        </w:tc>
        <w:tc>
          <w:tcPr>
            <w:tcW w:w="25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36.582 (BB) + 45.595 (SIFI)</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Pendleratlas 2025</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Tagbevölkerung Kernstadt</w:t>
            </w:r>
          </w:p>
        </w:tc>
        <w:tc>
          <w:tcPr>
            <w:tcW w:w="21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74.376 (FN)</w:t>
            </w:r>
          </w:p>
        </w:tc>
        <w:tc>
          <w:tcPr>
            <w:tcW w:w="25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71.199 (BB) + 92.891 (SIFI)</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Pendleratlas 2025</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Kaufkraft je Einwohner</w:t>
            </w:r>
          </w:p>
        </w:tc>
        <w:tc>
          <w:tcPr>
            <w:tcW w:w="21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36.069 € (Bodenseekreis 2026)</w:t>
            </w:r>
          </w:p>
        </w:tc>
        <w:tc>
          <w:tcPr>
            <w:tcW w:w="25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EH-relevant 8.811 € (LK BB 2026, Index 107,6)</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MB Research / IHK</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Verfügbares Einkommen je Ew. 2022</w:t>
            </w:r>
          </w:p>
        </w:tc>
        <w:tc>
          <w:tcPr>
            <w:tcW w:w="21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29.440 € (Index 107,3)</w:t>
            </w:r>
          </w:p>
        </w:tc>
        <w:tc>
          <w:tcPr>
            <w:tcW w:w="25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28.319 € (Index 103,2)</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StaLa BW</w:t>
            </w:r>
          </w:p>
        </w:tc>
      </w:tr>
      <w:tr>
        <w:trPr/>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Erfasste Wettbewerber im Umkreis</w:t>
            </w:r>
          </w:p>
        </w:tc>
        <w:tc>
          <w:tcPr>
            <w:tcW w:w="21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 (Bodenseeregion)</w:t>
            </w:r>
          </w:p>
        </w:tc>
        <w:tc>
          <w:tcPr>
            <w:tcW w:w="250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 (Region Stuttgart)</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Rechercheprotokoll (Anhang I)</w:t>
            </w:r>
          </w:p>
        </w:tc>
      </w:tr>
    </w:tbl>
    <w:p>
      <w:pPr>
        <w:pStyle w:val="Normal"/>
        <w:spacing w:before="60" w:after="200"/>
        <w:jc w:val="left"/>
        <w:rPr/>
      </w:pPr>
      <w:r>
        <w:rPr>
          <w:rFonts w:eastAsia="Arial" w:cs="Arial"/>
          <w:i/>
          <w:iCs/>
          <w:color w:val="5A5A5A"/>
          <w:sz w:val="18"/>
          <w:szCs w:val="18"/>
        </w:rPr>
        <w:t>Quelle: Rechercheprotokoll (Anhang I); DSSV Eckdaten 2026; IHK Bodensee-Oberschwaben (MB Research 2026); IHK Region Stuttgart 2026; StaLa BW Statistischer Bericht 416322001.</w:t>
      </w:r>
    </w:p>
    <w:p>
      <w:pPr>
        <w:pStyle w:val="Normal"/>
        <w:spacing w:lineRule="exact" w:line="276" w:before="0" w:after="120"/>
        <w:jc w:val="both"/>
        <w:rPr/>
      </w:pPr>
      <w:r>
        <w:rPr>
          <w:rFonts w:eastAsia="Arial" w:cs="Arial"/>
          <w:sz w:val="22"/>
          <w:szCs w:val="22"/>
        </w:rPr>
        <w:t>Marktanteilsrechnung: Die Zielgröße von 2.200 Mitgliedern (Kapazitätsgrenze laut Excel-Planrechnung, erreicht im Basisszenario in Monat 29) entspricht im Raum Friedrichshafen 9,9 % der rechnerisch vorhandenen Fitnessmitglieder (2.200 / 22.133) beziehungsweise 1,5 % der Einwohner des Einzugsgebiets (2.200 / 149.548). Im Raum Böblingen/Sindelfingen sind es 6,9 % der Fitnessmitglieder (2.200 / 31.826) beziehungsweise 1,0 % der Einwohner. Zum Vergleich: Eine durchschnittliche deutsche Anlage hat 1.281 Mitglieder, eine Kettenanlage 2.528 (DSSV 2026, berechnet). Mit 2.200 Mitgliedern auf 1.975 m² Bruttofläche erreicht No.1 1,11 Mitglieder je m² und liegt damit zwischen dem Wert einer typischen Einzelanlage (0,82) und dem einer Kettenanlage (1,59; beides Näherungen aus DSSV/CoGAP) und nahe dem Branchendurchschnitt von rund 1,0 Mitglied je m² (fitness MANAGEMENT 02/2019). Auch die Mitgliederzahl zum Ende des ersten Jahres (1.429, entspricht 6,5 %) und zum Ende des zweiten Jahres (2.053, entspricht 9,3 %) bleibt unter 10 % des Marktpotenzials im kleineren Einzugsgebiet.</w:t>
      </w:r>
    </w:p>
    <w:p>
      <w:pPr>
        <w:pStyle w:val="Normal"/>
        <w:keepNext w:val="true"/>
        <w:spacing w:before="160" w:after="80"/>
        <w:jc w:val="left"/>
        <w:rPr/>
      </w:pPr>
      <w:r>
        <w:rPr>
          <w:rFonts w:eastAsia="Arial" w:cs="Arial"/>
          <w:b/>
          <w:bCs/>
          <w:sz w:val="20"/>
          <w:szCs w:val="20"/>
        </w:rPr>
        <w:t>Tabelle 4.7: Marktanteil von No.1 bei Zielgröße 2.200 Mitgliedern</w:t>
      </w:r>
    </w:p>
    <w:tbl>
      <w:tblPr>
        <w:tblW w:w="9638" w:type="dxa"/>
        <w:jc w:val="left"/>
        <w:tblInd w:w="0" w:type="dxa"/>
        <w:tblLayout w:type="fixed"/>
        <w:tblCellMar>
          <w:top w:w="40" w:type="dxa"/>
          <w:left w:w="70" w:type="dxa"/>
          <w:bottom w:w="40" w:type="dxa"/>
          <w:right w:w="70" w:type="dxa"/>
        </w:tblCellMar>
      </w:tblPr>
      <w:tblGrid>
        <w:gridCol w:w="4240"/>
        <w:gridCol w:w="2699"/>
        <w:gridCol w:w="2699"/>
      </w:tblGrid>
      <w:tr>
        <w:trPr>
          <w:tblHeader w:val="true"/>
        </w:trPr>
        <w:tc>
          <w:tcPr>
            <w:tcW w:w="424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Bezugsgröße</w:t>
            </w:r>
          </w:p>
        </w:tc>
        <w:tc>
          <w:tcPr>
            <w:tcW w:w="269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Raum Friedrichshafen</w:t>
            </w:r>
          </w:p>
        </w:tc>
        <w:tc>
          <w:tcPr>
            <w:tcW w:w="269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Raum Böblingen/Sindelfingen</w:t>
            </w:r>
          </w:p>
        </w:tc>
      </w:tr>
      <w:tr>
        <w:trPr/>
        <w:tc>
          <w:tcPr>
            <w:tcW w:w="42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Fitnessmitglieder im Einzugsgebiet (14,8 %)</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22.133</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31.826</w:t>
            </w:r>
          </w:p>
        </w:tc>
      </w:tr>
      <w:tr>
        <w:trPr/>
        <w:tc>
          <w:tcPr>
            <w:tcW w:w="42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No.1 bei 2.200 Mitgliedern</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9,9 %</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6,9 %</w:t>
            </w:r>
          </w:p>
        </w:tc>
      </w:tr>
      <w:tr>
        <w:trPr/>
        <w:tc>
          <w:tcPr>
            <w:tcW w:w="42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an Einwohnern des Einzugsgebiets</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1,5 %</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1,0 %</w:t>
            </w:r>
          </w:p>
        </w:tc>
      </w:tr>
      <w:tr>
        <w:trPr/>
        <w:tc>
          <w:tcPr>
            <w:tcW w:w="42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bei 1.429 Mitgliedern (Ende Jahr 1, Basis)</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6,5 %</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4,5 %</w:t>
            </w:r>
          </w:p>
        </w:tc>
      </w:tr>
      <w:tr>
        <w:trPr/>
        <w:tc>
          <w:tcPr>
            <w:tcW w:w="42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bei 2.053 Mitgliedern (Ende Jahr 2, Basis)</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9,3 %</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6,5 %</w:t>
            </w:r>
          </w:p>
        </w:tc>
      </w:tr>
      <w:tr>
        <w:trPr/>
        <w:tc>
          <w:tcPr>
            <w:tcW w:w="424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bei 1.332 Mitgliedern (Ende Jahr 2, pessimistisch)</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6,0 %</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4,2 %</w:t>
            </w:r>
          </w:p>
        </w:tc>
      </w:tr>
    </w:tbl>
    <w:p>
      <w:pPr>
        <w:pStyle w:val="Normal"/>
        <w:spacing w:before="60" w:after="200"/>
        <w:jc w:val="left"/>
        <w:rPr/>
      </w:pPr>
      <w:r>
        <w:rPr>
          <w:rFonts w:eastAsia="Arial" w:cs="Arial"/>
          <w:i/>
          <w:iCs/>
          <w:color w:val="5A5A5A"/>
          <w:sz w:val="18"/>
          <w:szCs w:val="18"/>
        </w:rPr>
        <w:t>Quelle: eigene Berechnung aus Rechercheprotokoll (Anhang I; Einwohner, DSSV-Penetration 14,8 %) und Excel-Planrechnung (Mitgliederverlauf Szenarien).</w:t>
      </w:r>
    </w:p>
    <w:p>
      <w:pPr>
        <w:pStyle w:val="Heading2"/>
        <w:keepNext w:val="true"/>
        <w:spacing w:before="280" w:after="120"/>
        <w:rPr/>
      </w:pPr>
      <w:bookmarkStart w:id="39" w:name="__RefHeading___Toc21179_3809407278"/>
      <w:bookmarkEnd w:id="39"/>
      <w:r>
        <w:rPr/>
        <w:t>4.5 Wettbewerb</w:t>
      </w:r>
    </w:p>
    <w:p>
      <w:pPr>
        <w:pStyle w:val="Normal"/>
        <w:spacing w:lineRule="exact" w:line="276" w:before="0" w:after="120"/>
        <w:jc w:val="both"/>
        <w:rPr/>
      </w:pPr>
      <w:r>
        <w:rPr>
          <w:rFonts w:eastAsia="Arial" w:cs="Arial"/>
          <w:sz w:val="22"/>
          <w:szCs w:val="22"/>
        </w:rPr>
        <w:t>In der Bodenseeregion wurden 20 Studios in Friedrichshafen, Überlingen, Markdorf, Konstanz, Singen, Radolfzell, Ravensburg und Lindau erfasst, in der Region Stuttgart zehn Studios in Böblingen, Sindelfingen, Leonberg und Ludwigsburg (Stand 09/2026); Tabelle 4.8 ergänzt am Bodensee 8Black Fitness und Happy Fit Premium Konstanz aus der Preisrecherche (Quellen: Anhang I), sodass dort 22 Anbieter aufgeführt sind. Das Angebot ist dreigeteilt: Discount- und Kettenstudios (ai fitness, clever fit, MC Shape, XTRAFIT) mit 34,95 bis 49,95 €, regionale Standardstudios mit Sauna zwischen 39,90 und 49,95 € sowie regionale Premiumanbieter (Happy Fit, GYM-24, Sportwelt Leonberg) mit 49,90 bis 70 € (Quellen: Anhang I). Rund zwei Drittel der Studios bieten eine Sauna; ein ausgewiesenes HYROX-Angebot haben am Bodensee nur ai fitness Friedrichshafen und Fitness Bunker Konstanz, in der Region Stuttgart urban health club Ludwigsburg und JONNY M. Arena Böblingen (eröffnet 06/2026). Kein erfasstes Studio kombiniert HYROX-Zone, Vollsortiment-Kraftbereich und Wellness mit Dampfbad und Cold Plunge.</w:t>
      </w:r>
    </w:p>
    <w:p>
      <w:pPr>
        <w:pStyle w:val="Normal"/>
        <w:keepNext w:val="true"/>
        <w:spacing w:before="160" w:after="80"/>
        <w:jc w:val="left"/>
        <w:rPr/>
      </w:pPr>
      <w:r>
        <w:rPr>
          <w:rFonts w:eastAsia="Arial" w:cs="Arial"/>
          <w:b/>
          <w:bCs/>
          <w:sz w:val="20"/>
          <w:szCs w:val="20"/>
        </w:rPr>
        <w:t>Tabelle 4.8: Wettbewerber Bodenseeregion (Stand 09/2026)</w:t>
      </w:r>
    </w:p>
    <w:tbl>
      <w:tblPr>
        <w:tblW w:w="9638" w:type="dxa"/>
        <w:jc w:val="left"/>
        <w:tblInd w:w="0" w:type="dxa"/>
        <w:tblLayout w:type="fixed"/>
        <w:tblCellMar>
          <w:top w:w="40" w:type="dxa"/>
          <w:left w:w="70" w:type="dxa"/>
          <w:bottom w:w="40" w:type="dxa"/>
          <w:right w:w="70" w:type="dxa"/>
        </w:tblCellMar>
      </w:tblPr>
      <w:tblGrid>
        <w:gridCol w:w="2120"/>
        <w:gridCol w:w="1542"/>
        <w:gridCol w:w="1735"/>
        <w:gridCol w:w="2506"/>
        <w:gridCol w:w="771"/>
        <w:gridCol w:w="963"/>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Studio</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Ort</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Kette / Einzel</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Monatsbeitrag brutto</w:t>
            </w:r>
          </w:p>
        </w:tc>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Sauna</w:t>
            </w:r>
          </w:p>
        </w:tc>
        <w:tc>
          <w:tcPr>
            <w:tcW w:w="96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HYROX</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all inclusive Fitness Flughafen</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Friedrichshafen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(ai fitness)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34,95 (23 Mon.) / 39,95 / 49,95 flex</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all inclusive Fitness Bodenseecenter</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Friedrichshafen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(ai fitness)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34,95–49,95</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Fitness Tempel</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Friedrichshafen (+ Markdorf, Immenstaad)</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 3 Standorte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39,90 / 49,90 (24 Mon.) *</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8Black Fitness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Friedrichshafen / Ravensburg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 24/7</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34,99 / 39,99 / 49,99 + 50 € Aufnahme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clever fit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Überlingen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(clever fit)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Kettentarif Ø 39,23 effektiv</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MC Shape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Überlingen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(MC Shape)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39,90 / 49,90 (24 Mon.)</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ProSana Gesundheitszentrum</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Überlingen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 (Fitness + Physio)</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fitness4you</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Überlingen-Nussdorf</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 1.800 m²</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ab 49 (12 Mon., Stand 2020)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MC Shape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Markdorf</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(MC Shape)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39,90 / 49,90 (24 Mon.)</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BALANCE Fitness Club</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Markdorf</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Happy Fit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Konstanz</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55 (12 Mon.) / 60 flex; Studenten 40/45</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Happy Fit Premium</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Konstanz</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 2.500 m²</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80 (24 Mon.) / 90 / 109 flex</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Fitness Bunker</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Konstanz</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 (Functional)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Happy Fit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Singen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55 / 60 / 70 flex</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Happy Fit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Radolfzell</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55 / 60 / 70 flex</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Fitness First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Ravensburg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(Fitness First)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nicht ausgewiesen (Ø Kette 70,04 effektiv)</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radius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Ravensburg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 600 m²</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INJOY Gym &amp; Swim</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Ravensburg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Franchise (INJOY)</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39,90 (24 Mon.) *</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all inclusive Fitness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Ravensburg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(ai fitness)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34,95–49,95</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 &amp; Fun Factory</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Ravensburg / Weingarten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 1.000 m²</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Aktivsportpark</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Lindau</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 1.800 m²</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 in Lindau-Bodolz</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Lindau</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bl>
    <w:p>
      <w:pPr>
        <w:pStyle w:val="Normal"/>
        <w:spacing w:before="60" w:after="200"/>
        <w:jc w:val="left"/>
        <w:rPr/>
      </w:pPr>
      <w:r>
        <w:rPr>
          <w:rFonts w:eastAsia="Arial" w:cs="Arial"/>
          <w:i/>
          <w:iCs/>
          <w:color w:val="5A5A5A"/>
          <w:sz w:val="18"/>
          <w:szCs w:val="18"/>
        </w:rPr>
        <w:t>Quelle: Betreiber-Websites Stand 09/2026 (Rechercheprotokoll (Anhang I): 8Black, Happy Fit Premium); * nur Suchsnippet; Beiträge in € brutto je Monat.</w:t>
      </w:r>
    </w:p>
    <w:p>
      <w:pPr>
        <w:pStyle w:val="Normal"/>
        <w:keepNext w:val="true"/>
        <w:spacing w:before="160" w:after="80"/>
        <w:jc w:val="left"/>
        <w:rPr/>
      </w:pPr>
      <w:r>
        <w:rPr>
          <w:rFonts w:eastAsia="Arial" w:cs="Arial"/>
          <w:b/>
          <w:bCs/>
          <w:sz w:val="20"/>
          <w:szCs w:val="20"/>
        </w:rPr>
        <w:t>Tabelle 4.9: Wettbewerber Region Stuttgart (Stand 09/2026)</w:t>
      </w:r>
    </w:p>
    <w:tbl>
      <w:tblPr>
        <w:tblW w:w="9638" w:type="dxa"/>
        <w:jc w:val="left"/>
        <w:tblInd w:w="0" w:type="dxa"/>
        <w:tblLayout w:type="fixed"/>
        <w:tblCellMar>
          <w:top w:w="40" w:type="dxa"/>
          <w:left w:w="70" w:type="dxa"/>
          <w:bottom w:w="40" w:type="dxa"/>
          <w:right w:w="70" w:type="dxa"/>
        </w:tblCellMar>
      </w:tblPr>
      <w:tblGrid>
        <w:gridCol w:w="2120"/>
        <w:gridCol w:w="1542"/>
        <w:gridCol w:w="1928"/>
        <w:gridCol w:w="2505"/>
        <w:gridCol w:w="771"/>
        <w:gridCol w:w="771"/>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Studio</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Ort</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Kette / Einzel</w:t>
            </w:r>
          </w:p>
        </w:tc>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Monatsbeitrag brutto</w:t>
            </w:r>
          </w:p>
        </w:tc>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Sauna</w:t>
            </w:r>
          </w:p>
        </w:tc>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HYROX</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Fitness Express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Böblingen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 (6 Clubs), 2.500 m²</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Fitness Express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Sindelfingen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 2.000 m²</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XTRAFIT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Sindelfingen-Goldbach</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(XTRAFIT)</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nicht ausgewiesen (2019: 29 €)</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GYM-24 Premium</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Böblingen-Hulb</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 (14 Clubs)</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49,90 (24 Mon.) / 64,90 (1 Mon.) + 39,90 Aufnahme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JONNY M. Arena (Padel &amp; Fitness)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Böblingen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 eröffnet 06/2026</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clever fit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Leonberg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(clever fit)</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Kettentarif Ø 39,23 effektiv</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SPORTWELT Leonberg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Leonberg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Vereinsstudio, 1.600 m²</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55 (24 Mon.) / 65 (12 Mon.); ermäßigt 35/45</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Studio Fitness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Leonberg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Regionale Kette (3 Standorte)</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ab 9,99 €/Woche (ca. 43 €/Monat)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urban health club</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Ludwigsburg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Einzel (Premium/Boutique)</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Flex-Pay, nicht ausgewiesen</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Fitness First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Ludwigsburg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Kette (Fitness First)</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ab 47,23 effektiv (24 Mon.)</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nein</w:t>
            </w:r>
          </w:p>
        </w:tc>
      </w:tr>
    </w:tbl>
    <w:p>
      <w:pPr>
        <w:pStyle w:val="Normal"/>
        <w:spacing w:before="60" w:after="200"/>
        <w:jc w:val="left"/>
        <w:rPr/>
      </w:pPr>
      <w:r>
        <w:rPr>
          <w:rFonts w:eastAsia="Arial" w:cs="Arial"/>
          <w:i/>
          <w:iCs/>
          <w:color w:val="5A5A5A"/>
          <w:sz w:val="18"/>
          <w:szCs w:val="18"/>
        </w:rPr>
        <w:t>Quelle: Betreiber-Websites Stand 09/2026, fair-for-fitness.de, FitRadar (Rechercheprotokoll (Anhang I)); Beiträge in € brutto je Monat.</w:t>
      </w:r>
    </w:p>
    <w:p>
      <w:pPr>
        <w:pStyle w:val="Normal"/>
        <w:spacing w:lineRule="exact" w:line="276" w:before="0" w:after="120"/>
        <w:jc w:val="both"/>
        <w:rPr/>
      </w:pPr>
      <w:r>
        <w:rPr>
          <w:rFonts w:eastAsia="Arial" w:cs="Arial"/>
          <w:sz w:val="22"/>
          <w:szCs w:val="22"/>
        </w:rPr>
        <w:t>Die Wettbewerbsdichte ist im Raum Überlingen/Markdorf mit sechs Studios auf rund 37.000 Einwohner hoch, in Friedrichshafen selbst (62.781 Einwohner, Tagbevölkerung 74.376) mit vier Anbietern dagegen vergleichsweise gering; ein Vollsortiment-Studio mit Premium-Wellness und über 1.900 m² Fläche fehlt dort (Quellen: Anhang I). Im Raum Böblingen/Sindelfingen treffen zwei große Regionalstudios (Fitness Express mit 2.000 bis 2.500 m²), ein Premium-Regionalanbieter (GYM-24) und ein neuer Padel-HYROX-Anbieter (JONNY M.) auf 215.039 Einwohner im Einzugsgebiet; die Nachfrage ist größer, der Wettbewerb um Premiumkunden jedoch ebenfalls. Auf Bundesebene ist mit einem weiteren Ausbau der Discountketten zu rechnen (Kettenanlagen +12,6 % im Jahr 2025, die zehn größten Ketten halten rund drei Viertel der Kettenmitglieder; DSSV 2026, Deloitte 2026). Das Konzept von No.1 vermeidet den direkten Preiswettbewerb mit diesen Anbietern.</w:t>
      </w:r>
    </w:p>
    <w:p>
      <w:pPr>
        <w:pStyle w:val="Heading2"/>
        <w:keepNext w:val="true"/>
        <w:spacing w:before="280" w:after="120"/>
        <w:rPr/>
      </w:pPr>
      <w:bookmarkStart w:id="40" w:name="__RefHeading___Toc21181_3809407278"/>
      <w:bookmarkEnd w:id="40"/>
      <w:r>
        <w:rPr/>
        <w:t>4.6 Positionierung</w:t>
      </w:r>
    </w:p>
    <w:p>
      <w:pPr>
        <w:pStyle w:val="Normal"/>
        <w:spacing w:lineRule="exact" w:line="276" w:before="0" w:after="120"/>
        <w:jc w:val="both"/>
        <w:rPr/>
      </w:pPr>
      <w:r>
        <w:rPr>
          <w:rFonts w:eastAsia="Arial" w:cs="Arial"/>
          <w:sz w:val="22"/>
          <w:szCs w:val="22"/>
        </w:rPr>
        <w:t>No.1 positioniert sich als Premium-Vollsortiment-Studio im mittleren Preissegment: oberhalb der Discount- und Kettenanbieter (effektiv 31,42 € bei FitX, 35,65 € bei McFIT, 34,77 € bei EasyFitness, 39,23 € bei clever fit; fair-for-fitness 09/2026) und unterhalb der Premium- und Resortanbieter (Fitness First Ø 70,04 € effektiv, Kieser 69–89 € UVP, Happy Fit Premium Konstanz 80–109 €, Pfitzenmeier ca. 82–130 €, EMS-Studios Ø 107,41 €; fair-for-fitness, kieser.com, ems-training.de). Der Basic-Tarif (44,90 €) liegt auf dem Niveau der regionalen Standardstudios mit Sauna (39,90–49,95 €), der Premium-Tarif (59,90 €) entspricht dem Durchschnittsbeitrag deutscher Einzelanlagen (59,24 €) und liegt unter den regionalen Premiumanbietern Happy Fit (55–70 €) und GYM-24 (49,90–64,90 €) – bei deutlich größerem Leistungsumfang (DSSV 2026).</w:t>
      </w:r>
    </w:p>
    <w:p>
      <w:pPr>
        <w:pStyle w:val="Normal"/>
        <w:keepNext w:val="true"/>
        <w:spacing w:before="160" w:after="80"/>
        <w:jc w:val="left"/>
        <w:rPr/>
      </w:pPr>
      <w:r>
        <w:rPr>
          <w:rFonts w:eastAsia="Arial" w:cs="Arial"/>
          <w:b/>
          <w:bCs/>
          <w:sz w:val="20"/>
          <w:szCs w:val="20"/>
        </w:rPr>
        <w:t>Tabelle 4.10: Preissegmente und Einordnung der Tarife von No.1 (€ brutto je Monat)</w:t>
      </w:r>
    </w:p>
    <w:tbl>
      <w:tblPr>
        <w:tblW w:w="9638" w:type="dxa"/>
        <w:jc w:val="left"/>
        <w:tblInd w:w="0" w:type="dxa"/>
        <w:tblLayout w:type="fixed"/>
        <w:tblCellMar>
          <w:top w:w="40" w:type="dxa"/>
          <w:left w:w="70" w:type="dxa"/>
          <w:bottom w:w="40" w:type="dxa"/>
          <w:right w:w="70" w:type="dxa"/>
        </w:tblCellMar>
      </w:tblPr>
      <w:tblGrid>
        <w:gridCol w:w="2120"/>
        <w:gridCol w:w="4241"/>
        <w:gridCol w:w="1349"/>
        <w:gridCol w:w="1927"/>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Segment</w:t>
            </w:r>
          </w:p>
        </w:tc>
        <w:tc>
          <w:tcPr>
            <w:tcW w:w="424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Beispiele (effektiv bzw. Listenpreis)</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Spanne</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No.1</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Discount-Ketten</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FitX 31,42; EasyFitness 34,77; McFIT 35,65; clever fit 39,23; 8Black FN 34,99–49,99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31–40 €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Standard mit Sauna (regional)</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MC Shape 39,90–49,90; Fitness Tempel 39,90–49,90; ai fitness 34,95–49,95; Studio Fitness Leonberg ca. 43</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39,90–49,95 €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Student/Azubi/Senior 34,90 €; Basic 44,90 €</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Regionale Premiumstudios</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Happy Fit 55–70; GYM-24 49,90–64,90; Sportwelt Leonberg 55–65; Fitness First Ø 70,04; DSSV Einzelanlage Ø 59,24</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49,90–70 €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Premium 59,90 € (Wellness, HYROX, Getränke-Flat)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Premium-Resort / Special Interest</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Happy Fit Premium KN 80–109; Pfitzenmeier 82–130; Kieser 69–89; EMS Ø 107,41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69–130 €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Durchschnitt No.1 (Tarifmix)</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40 % Basic, 45 % Premium, 15 % ermäßigt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50,15 € (Branche 48,55 €)</w:t>
            </w:r>
          </w:p>
        </w:tc>
      </w:tr>
    </w:tbl>
    <w:p>
      <w:pPr>
        <w:pStyle w:val="Normal"/>
        <w:spacing w:before="60" w:after="200"/>
        <w:jc w:val="left"/>
        <w:rPr/>
      </w:pPr>
      <w:r>
        <w:rPr>
          <w:rFonts w:eastAsia="Arial" w:cs="Arial"/>
          <w:i/>
          <w:iCs/>
          <w:color w:val="5A5A5A"/>
          <w:sz w:val="18"/>
          <w:szCs w:val="18"/>
        </w:rPr>
        <w:t>Quelle: fair-for-fitness.de (27.09.2026), kieser.com, ems-training.de, Betreiber-Websites (Rechercheprotokoll (Anhang I)), DSSV Eckdaten 2026; Tarife No.1 aus Excel-Planrechnung.</w:t>
      </w:r>
    </w:p>
    <w:p>
      <w:pPr>
        <w:pStyle w:val="Normal"/>
        <w:spacing w:lineRule="exact" w:line="276" w:before="0" w:after="120"/>
        <w:jc w:val="both"/>
        <w:rPr/>
      </w:pPr>
      <w:r>
        <w:rPr>
          <w:rFonts w:eastAsia="Arial" w:cs="Arial"/>
          <w:sz w:val="22"/>
          <w:szCs w:val="22"/>
        </w:rPr>
        <w:t>Die Differenzierung gegenüber dem Wettbewerb beruht auf vier Leistungsmerkmalen, die in dieser Kombination in keiner der beiden Regionen angeboten werden: erstens eine Trainingsfläche von 1.138,58 m² mit 52 Kraftmaschinen in vier Muskelgruppen-Zonen, 184 m² Freihantelbereich mit fünf Racks und 20 Cardiogeräten; zweitens eine feste HYROX-Zone von 169,88 m² mit SkiErg, Rudergeräten und Curved-Laufband für Wettkampfvorbereitung und Functional-Kurse; drittens ein Wellnessbereich mit finnischer Sauna, Dampfbad, Cold Plunge und Ruheraum; viertens ein Kursraum von 149 m² mit acht Indoor-Cycling-Rädern (Quellen: Anhang I). Die Kapazität von 126 gleichzeitig Trainierenden bei 9 m² je Person (Quellen: Anhang I) entspricht bei 2.200 Mitgliedern und einem Spitzenlastanteil von 5,5 % (121 Personen) einer ausreichenden Reserve zur Hauptzeit. Zusätzliche Erlöse aus Getränken, Wellness-Zusatzleistungen, Personal Training und Merchandise sind mit 6,20 € brutto je Mitglied und Monat angesetzt, im Rahmen des Branchenwerts von 9,2 % Nebenumsatzanteil (fitness MANAGEMENT 02/2019).</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Preisliche Einordnung für das Bankgespräch: Der Planbeitrag von 50,15 € brutto liegt 3,3 % über dem Branchendurchschnitt (48,55 €), aber 15,3 % unter dem Durchschnitt der Einzelanlagen (59,24 €), obwohl No.1 den Leistungsumfang einer Premium-Einzelanlage bietet. Die Sensitivitätsrechnung in Kapitel 10 zeigt, dass auch ein um 10 % niedrigeres Beitragsniveau den Kapitaldienst ab Jahr 3 noch deckt (DSCR Jahr 3: 1,53; Jahr 4: 1,17), das Jahresergebnis in Jahr 3 dann aber mit −74.793 € negativ ausfällt und der Liquiditätstiefpunkt auf 6.971 € sinkt.</w:t>
      </w:r>
    </w:p>
    <w:p>
      <w:pPr>
        <w:pStyle w:val="Heading2"/>
        <w:keepNext w:val="true"/>
        <w:spacing w:before="280" w:after="120"/>
        <w:rPr/>
      </w:pPr>
      <w:bookmarkStart w:id="41" w:name="__RefHeading___Toc21183_3809407278"/>
      <w:bookmarkEnd w:id="41"/>
      <w:r>
        <w:rPr/>
        <w:t>4.7 Fluktuation (Churn) und Einordnung der Planannahme</w:t>
      </w:r>
    </w:p>
    <w:p>
      <w:pPr>
        <w:pStyle w:val="Normal"/>
        <w:spacing w:lineRule="exact" w:line="276" w:before="0" w:after="120"/>
        <w:jc w:val="both"/>
        <w:rPr/>
      </w:pPr>
      <w:r>
        <w:rPr>
          <w:rFonts w:eastAsia="Arial" w:cs="Arial"/>
          <w:sz w:val="22"/>
          <w:szCs w:val="22"/>
        </w:rPr>
        <w:t>Die durchschnittliche Fluktuationsrate der Branche liegt bei 25 % pro Jahr, mit einer Spanne von 13 % in kleinen inhabergeführten Studios bis 40 % in Ketten (DSSV 2019, zitiert in Dissertation Kruse 2021). Vor Corona lagen Einzelstudios bei 21–25 % und Ketten bei 25–28 %; die besten 10 % der Studios erreichten 14,2 % oder besser (Bechler/DSSV-Eckdaten 2021). Im Corona-Jahr 2021 stieg die Quote auf 28,6 % (DSSV Eckdaten 2022). Im Eröffnungsjahr ist die Fluktuation mit 5–10 % erfahrungsgemäß niedrig, weil Erstverträge mit 12- oder 24-monatiger Laufzeit noch nicht kündbar sind (IN-COME 2020). Langfristig kündigen 84 % der Neumitglieder innerhalb von zwei Jahren; zwei Trainerkontakte pro Monat halbieren die Kündigungswahrscheinlichkeit (BODYMEDIA 2021, Pixformance 2018, IHRSA 2017).</w:t>
      </w:r>
    </w:p>
    <w:p>
      <w:pPr>
        <w:pStyle w:val="Normal"/>
        <w:spacing w:lineRule="exact" w:line="276" w:before="0" w:after="120"/>
        <w:jc w:val="both"/>
        <w:rPr/>
      </w:pPr>
      <w:r>
        <w:rPr>
          <w:rFonts w:eastAsia="Arial" w:cs="Arial"/>
          <w:sz w:val="22"/>
          <w:szCs w:val="22"/>
        </w:rPr>
        <w:t>Das Finanzmodell rechnet im Basisszenario mit einer Kündigungsquote von 2,2 % des Bestands je Monat. Bei monatlicher Verzinsung entspricht dies einem Verlust von 23,4 % des Jahresanfangsbestands pro Jahr (1 − 0,978 hoch 12), in einfacher Addition 26,4 %. Die Annahme liegt damit nahe dem Branchendurchschnitt von 25 % und innerhalb der Spanne für Einzelstudios (21–25 %), obwohl No.1 mit Vertragslaufzeiten, betreutem Training, Wellness und HYROX-Community auf Bindung ausgelegt ist. Die Planannahme ist also konservativ. Im pessimistischen Szenario werden 2,8 % je Monat (28,9 % p. a., Niveau des Corona-Jahres 2021) unterstellt, im optimistischen 1,8 % (19,6 % p. a.); die Sensitivität mit 3,0 % je Monat (30,6 % p. a.) ergibt in Jahr 3 noch einen DSCR von 1,57, jedoch ein Jahresergebnis von −68.514 € und 1.856 statt 2.053 Mitglieder zum Ende des zweiten Jahres. Bei Vollauslastung mit 2.200 Mitgliedern verlassen rechnerisch 48 Mitglieder je Monat das Studio, denen ab Jahr 4 geplante 75 Neuzugänge je Monat gegenüberstehen.</w:t>
      </w:r>
    </w:p>
    <w:p>
      <w:pPr>
        <w:pStyle w:val="Normal"/>
        <w:keepNext w:val="true"/>
        <w:spacing w:before="160" w:after="80"/>
        <w:jc w:val="left"/>
        <w:rPr/>
      </w:pPr>
      <w:r>
        <w:rPr>
          <w:rFonts w:eastAsia="Arial" w:cs="Arial"/>
          <w:b/>
          <w:bCs/>
          <w:sz w:val="20"/>
          <w:szCs w:val="20"/>
        </w:rPr>
        <w:t>Tabelle 4.11: Churn-Benchmarks und Planannahmen</w:t>
      </w:r>
    </w:p>
    <w:tbl>
      <w:tblPr>
        <w:tblW w:w="9638" w:type="dxa"/>
        <w:jc w:val="left"/>
        <w:tblInd w:w="0" w:type="dxa"/>
        <w:tblLayout w:type="fixed"/>
        <w:tblCellMar>
          <w:top w:w="40" w:type="dxa"/>
          <w:left w:w="70" w:type="dxa"/>
          <w:bottom w:w="40" w:type="dxa"/>
          <w:right w:w="70" w:type="dxa"/>
        </w:tblCellMar>
      </w:tblPr>
      <w:tblGrid>
        <w:gridCol w:w="2891"/>
        <w:gridCol w:w="1928"/>
        <w:gridCol w:w="1927"/>
        <w:gridCol w:w="2891"/>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Bezug</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Fluktuation p. a.</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Entspricht je Monat</w:t>
            </w:r>
          </w:p>
        </w:tc>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Quelle / Einordnung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Branche Ø (DSSV 2019)</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2,4 %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Dissertation Kruse 2021 (DNB)</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Kleine Inhaberstudios bis Ketten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13 % bis 40 %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1,2 % bis 4,2 %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2019</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Einzelstudios vor Corona</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21–25 %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2,0–2,4 %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Bechler / DSSV-Eckdaten</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Ketten vor Corona</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25–28 %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2,4–2,7 %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Bechler / DSSV-Eckdaten</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Branche 2021 (Corona)</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28,6 %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Eckdaten 2022</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Eröffnungsjahr (Erfahrungswert)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5–10 %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0,4–0,9 %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IN-COME 2020</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No.1 Basis</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23,4 % (kumuliert)</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 – Branchenniveau, konservativ</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No.1 pessimistisch</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28,9 %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 – Corona-Niveau</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No.1 optimistisch</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19,6 %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Sensitivität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30,6 %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 – DSCR Jahr 3 1,57, Jahresergebnis −68.514 €</w:t>
            </w:r>
          </w:p>
        </w:tc>
      </w:tr>
    </w:tbl>
    <w:p>
      <w:pPr>
        <w:pStyle w:val="Normal"/>
        <w:spacing w:before="60" w:after="200"/>
        <w:jc w:val="left"/>
        <w:rPr/>
      </w:pPr>
      <w:r>
        <w:rPr>
          <w:rFonts w:eastAsia="Arial" w:cs="Arial"/>
          <w:i/>
          <w:iCs/>
          <w:color w:val="5A5A5A"/>
          <w:sz w:val="18"/>
          <w:szCs w:val="18"/>
        </w:rPr>
        <w:t>Quelle: Rechercheprotokoll (Anhang I; DSSV, DNB-Dissertation 2021, Bechler 2021, BODYMEDIA 2022, IN-COME 2020); Umrechnung Monat/Jahr eigene Berechnung (Zinseszinsformel).</w:t>
      </w:r>
    </w:p>
    <w:p>
      <w:pPr>
        <w:pStyle w:val="Normal"/>
        <w:spacing w:lineRule="exact" w:line="276" w:before="0" w:after="120"/>
        <w:jc w:val="both"/>
        <w:rPr/>
      </w:pPr>
      <w:r>
        <w:rPr>
          <w:rFonts w:eastAsia="Arial" w:cs="Arial"/>
          <w:sz w:val="22"/>
          <w:szCs w:val="22"/>
        </w:rPr>
        <w:t>Zusammenfassend ist der Markt für ein Studio der geplanten Größe in beiden Regionen vorhanden: Das Ziel von 2.200 Mitgliedern entspricht 9,9 % (Friedrichshafen) beziehungsweise 6,9 % (Böblingen/Sindelfingen) der rechnerisch vorhandenen Fitnessmitglieder im 15-Minuten-Einzugsgebiet, die Kaufkraft liegt in beiden Räumen über dem Bundes- und Landesdurchschnitt, und der Leistungsmix aus Vollsortiment, HYROX-Zone und Wellness wird von keinem erfassten Wettbewerber in dieser Form angeboten. Die Preis- und Fluktuationsannahmen des Finanzmodells sind am Branchendurchschnitt ausgerichtet und enthalten keine über den Markt hinausgehenden Erwartungen.</w:t>
      </w:r>
      <w:r>
        <w:br w:type="page"/>
      </w:r>
    </w:p>
    <w:p>
      <w:pPr>
        <w:pStyle w:val="Heading1"/>
        <w:spacing w:before="360" w:after="200"/>
        <w:rPr/>
      </w:pPr>
      <w:bookmarkStart w:id="42" w:name="__RefHeading___Toc21185_3809407278"/>
      <w:bookmarkEnd w:id="42"/>
      <w:r>
        <w:rPr/>
        <w:t>5 Standort</w:t>
      </w:r>
    </w:p>
    <w:p>
      <w:pPr>
        <w:pStyle w:val="Heading2"/>
        <w:keepNext w:val="true"/>
        <w:spacing w:before="280" w:after="120"/>
        <w:rPr/>
      </w:pPr>
      <w:bookmarkStart w:id="43" w:name="__RefHeading___Toc21187_3809407278"/>
      <w:bookmarkEnd w:id="43"/>
      <w:r>
        <w:rPr/>
        <w:t>5.1 Standortanforderungen aus der Planung</w:t>
      </w:r>
    </w:p>
    <w:p>
      <w:pPr>
        <w:pStyle w:val="Normal"/>
        <w:spacing w:lineRule="exact" w:line="276" w:before="0" w:after="120"/>
        <w:jc w:val="both"/>
        <w:rPr/>
      </w:pPr>
      <w:r>
        <w:rPr>
          <w:rFonts w:eastAsia="Arial" w:cs="Arial"/>
          <w:sz w:val="22"/>
          <w:szCs w:val="22"/>
        </w:rPr>
        <w:t>Die Standortsuche folgt dem mit der Planungssoftware GymPlanner erstellten Entwurf „No.1 (überarbeitet)“. Er sieht eine ebenerdige Halle von 59,50 × 33,20 m mit 1.975,40 m² Bruttofläche (1.931,13 m² netto) und 4,00 m Deckenhöhe vor, die in 26 Räume und Zonen gegliedert ist: 1.138,58 m² Trainingsfläche (59,0 %), 340,26 m² Verkehrsfläche, 207,01 m² Nebenfläche (Lager, Technik, Büro, Personal), 158,99 m² Umkleide und Sanitär sowie 58,35 m² Wellness (Quellen: Anhang I). Die Kapazität beträgt 126 gleichzeitig Trainierende (9 m² je Person), die Bemessung für Sicherheitsanforderungen 132 Personen einschließlich sechs Beschäftigter (Quellen: Anhang I). Da der Entwurf bereits regularienkonform geprüft ist (114 Prüfpunkte erfüllt, keiner nicht erfüllt, 6 Hinweise zu organisatorischen Pflichten, 1 Punkt nicht anwendbar), lassen sich die Anforderungen an ein Mietobjekt präzise ableiten. Gesucht wird eine Bestandshalle (Produktion, Lager, Fachmarkt) mit Umnutzung, keine Neubauentwicklung.</w:t>
      </w:r>
    </w:p>
    <w:p>
      <w:pPr>
        <w:pStyle w:val="Normal"/>
        <w:keepNext w:val="true"/>
        <w:spacing w:before="160" w:after="80"/>
        <w:jc w:val="left"/>
        <w:rPr/>
      </w:pPr>
      <w:r>
        <w:rPr>
          <w:rFonts w:eastAsia="Arial" w:cs="Arial"/>
          <w:b/>
          <w:bCs/>
          <w:sz w:val="20"/>
          <w:szCs w:val="20"/>
        </w:rPr>
        <w:t>Tabelle 5.1: Anforderungskatalog an das Mietobjekt</w:t>
      </w:r>
    </w:p>
    <w:tbl>
      <w:tblPr>
        <w:tblW w:w="9638" w:type="dxa"/>
        <w:jc w:val="left"/>
        <w:tblInd w:w="0" w:type="dxa"/>
        <w:tblLayout w:type="fixed"/>
        <w:tblCellMar>
          <w:top w:w="40" w:type="dxa"/>
          <w:left w:w="70" w:type="dxa"/>
          <w:bottom w:w="40" w:type="dxa"/>
          <w:right w:w="70" w:type="dxa"/>
        </w:tblCellMar>
      </w:tblPr>
      <w:tblGrid>
        <w:gridCol w:w="1734"/>
        <w:gridCol w:w="4627"/>
        <w:gridCol w:w="3277"/>
      </w:tblGrid>
      <w:tr>
        <w:trPr>
          <w:tblHeader w:val="true"/>
        </w:trPr>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Kriterium</w:t>
            </w:r>
          </w:p>
        </w:tc>
        <w:tc>
          <w:tcPr>
            <w:tcW w:w="46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Anforderung</w:t>
            </w:r>
          </w:p>
        </w:tc>
        <w:tc>
          <w:tcPr>
            <w:tcW w:w="327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Herleitung / Quelle</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Fläche</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1.900–2.100 m² auf einer Ebene (Plan: 1.975,40 m² BGF); Shortlist-Toleranz 1.600–3.000 m²</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Grundriss 59,50 × 33,20 m (Quellen: Anhang I); Suchkriterien Rechercheprotokoll (Anhang I)</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Gebäudeform</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Rechteckige, stützenarme Halle, Seitenverhältnis ca. 1,8:1; Umkleiden/Wellness an einer Längsseite</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Raumprogramm GymPlanner (Quellen: Anhang I)</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Lichte Höhe</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mindestens 4,00 m durchgehend; höher vorteilhaft für HYROX-Zone (Wandball, Sled) und Lüftungstrassen</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Deckenhöhe 400 cm im Plan (Quellen: Anhang I)</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Ebenerdigkeit / Anlieferung</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Ebenerdiger Zugang ohne Stufen, barrierefreies WC; Tor oder Rampe für Geräteanlieferung (23.484 kg Geräte, 369 Objekte)</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Rechercheprotokoll (Anhang I; Stückliste, barrierefreies WC)</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Notausgänge</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mindestens vier Notausgänge in verschiedenen Außenwänden möglich; Plan: sechs Notausgänge mit 690 cm Gesamtbreite (Soll ≥ 120 cm), Fluchtweg-Lauflängen 14,7–35,2 m (Soll ≤ 52,5 m), größte Luftlinie je Raum 21,8 m (Soll ≤ 35 m)</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Regularienprüfung Rechercheprotokoll (Anhang I)</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Technik</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Lüftungsanlage (RLT) für 1.931 m², Wärme- und Warmwasserbedarf für 18 Duschen, Sauna, Dampfbad; Technikraum 24 m²</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Rechercheprotokoll (Anhang I); GEG-Kennwerte Fitnessstudios (Quellen: Anhang I)</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Stellplätze</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52 Kfz- und 26 Fahrradstellplätze (konservativer Ansatz mit 1.300 m² Sportfläche), rechnerisch 46 Kfz und 23 Fahrrad aus der Trainingsfläche des Plans</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VwV Stellplätze BW Anhang 1 Nr. 5.3, AKBW-Merkblatt 593 (Quellen: Anhang I); Fahrrad ohne eigene Richtzahl, Anlehnung an Sporthallen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Bauplanungsrecht</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Gewerbegebiet (GE) bevorzugt, Mischgebiet möglich; Industriegebiet (GI) und Sondergebiet (SO) nur nach Einzelfallprüfung</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6, 8, 9, 11 BauNVO (Quellen: Anhang I)</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Sichtbarkeit / Anbindung</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Lage an Bundesstraße oder Hauptverkehrsachse (B31/B30 bzw. A81/B464), ÖPNV-Haltestelle, gute Erreichbarkeit aus dem 15-Minuten-Einzugsgebiet</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Einzugsgebietsanalyse Rechercheprotokoll (Anhang I)</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Vertrag</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 Jahre plus Verlängerungsoption, 3 mietfreie Ausbaumonate, Kaltmiete ≤ 8,50 €/m²</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r>
    </w:tbl>
    <w:p>
      <w:pPr>
        <w:pStyle w:val="Normal"/>
        <w:spacing w:before="60" w:after="200"/>
        <w:jc w:val="left"/>
        <w:rPr/>
      </w:pPr>
      <w:r>
        <w:rPr>
          <w:rFonts w:eastAsia="Arial" w:cs="Arial"/>
          <w:i/>
          <w:iCs/>
          <w:color w:val="5A5A5A"/>
          <w:sz w:val="18"/>
          <w:szCs w:val="18"/>
        </w:rPr>
        <w:t>Quelle: Rechercheprotokoll (Anhang I; GymPlanner-Export 26.09.2026), Excel-Planrechnung.</w:t>
      </w:r>
    </w:p>
    <w:p>
      <w:pPr>
        <w:pStyle w:val="Normal"/>
        <w:spacing w:lineRule="exact" w:line="276" w:before="0" w:after="120"/>
        <w:jc w:val="both"/>
        <w:rPr/>
      </w:pPr>
      <w:r>
        <w:rPr>
          <w:rFonts w:eastAsia="Arial" w:cs="Arial"/>
          <w:sz w:val="22"/>
          <w:szCs w:val="22"/>
        </w:rPr>
        <w:t>Stellplätze: Die Verwaltungsvorschrift Stellplätze Baden-Württemberg verlangt für Fitnesscenter einen Kfz-Stellplatz je 25 m² Sportfläche (Anhang 1 Nr. 5.3); Sozial- und Sanitärräume, Umkleiden, Geräte- und Technikräume sowie Verkehrsflächen zählen nicht zur Sportfläche (AKBW-Merkblatt 593, Stand 01.09.2022). Für Fahrradstellplätze enthält Anhang 2 der Verwaltungsvorschrift keine eigene Richtzahl für Fitnesscenter; der Bedarf ist im Einzelfall in Anlehnung an vergleichbare Anlagen zu ermitteln, hier an Sporthallen mit einem Stellplatz je 50 m² Sportfläche (Quellen: Anhang I). Bis zu einem Viertel der Kfz-Stellplätze kann durch je vier Fahrradstellplätze ersetzt werden (§ 37 Abs. 1 LBO), und bei guter ÖPNV-Anbindung ist eine Minderung nach dem Punktesystem der Verwaltungsvorschrift möglich; kommunale Stellplatzsatzungen (etwa in Stuttgart) können abweichen. Die Standortanalyse rechnet konservativ mit rund 1.300 m² anrechenbarer Sportfläche und damit 52 Kfz- und 26 Fahrradstellplätzen (Quellen: Anhang I). Nach dem Planungsexport beträgt die Trainingsfläche einschließlich HYROX-Zone und Kursraum 1.138,58 m² (Quellen: Anhang I), woraus sich rechnerisch 46 Kfz- und 23 Fahrradstellplätze ergeben. Für die Objektsuche wird der höhere Wert von 52 Kfz-Stellplätzen angesetzt, da die Baurechtsbehörde die Sportfläche im Einzelfall abweichend abgrenzen kann.</w:t>
      </w:r>
    </w:p>
    <w:p>
      <w:pPr>
        <w:pStyle w:val="Normal"/>
        <w:keepNext w:val="true"/>
        <w:spacing w:before="160" w:after="80"/>
        <w:jc w:val="left"/>
        <w:rPr/>
      </w:pPr>
      <w:r>
        <w:rPr>
          <w:rFonts w:eastAsia="Arial" w:cs="Arial"/>
          <w:b/>
          <w:bCs/>
          <w:sz w:val="20"/>
          <w:szCs w:val="20"/>
        </w:rPr>
        <w:t>Tabelle 5.2: Stellplatzbedarf nach VwV Stellplätze BW</w:t>
      </w:r>
    </w:p>
    <w:tbl>
      <w:tblPr>
        <w:tblW w:w="9638" w:type="dxa"/>
        <w:jc w:val="left"/>
        <w:tblInd w:w="0" w:type="dxa"/>
        <w:tblLayout w:type="fixed"/>
        <w:tblCellMar>
          <w:top w:w="40" w:type="dxa"/>
          <w:left w:w="70" w:type="dxa"/>
          <w:bottom w:w="40" w:type="dxa"/>
          <w:right w:w="70" w:type="dxa"/>
        </w:tblCellMar>
      </w:tblPr>
      <w:tblGrid>
        <w:gridCol w:w="2120"/>
        <w:gridCol w:w="3084"/>
        <w:gridCol w:w="1349"/>
        <w:gridCol w:w="1350"/>
        <w:gridCol w:w="1735"/>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Ansatz</w:t>
            </w:r>
          </w:p>
        </w:tc>
        <w:tc>
          <w:tcPr>
            <w:tcW w:w="308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Anrechenbare Sportfläche</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Kfz (1 je 25 m²)</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Fahrrad (1 je 50 m², Anlehnung Sporthallen)</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Bemerkung</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Konservativ (Standortanalyse)</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1.300 m²</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52</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Planungsannahme Sicherheitsaufschlag</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Nach Planungsexport</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1.138,58 m² (Maschinen 476,17; Freihantel 184,25; HYROX 169,88; Kursraum 149,01; Functional 88,11; Cardio 71,16)</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46</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Trainingsfläche Rechercheprotokoll (Anhang I); eigene Berechnung</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Minderung möglich</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je nach ÖPNV-Punktesystem</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Kfz = 4 Fahrrad (bis zu 1/4 der Kfz-Plätze)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VwV Stellplätze, § 37 LBO; kommunale Satzungen prüfen</w:t>
            </w:r>
          </w:p>
        </w:tc>
      </w:tr>
    </w:tbl>
    <w:p>
      <w:pPr>
        <w:pStyle w:val="Normal"/>
        <w:spacing w:before="60" w:after="200"/>
        <w:jc w:val="left"/>
        <w:rPr/>
      </w:pPr>
      <w:r>
        <w:rPr>
          <w:rFonts w:eastAsia="Arial" w:cs="Arial"/>
          <w:i/>
          <w:iCs/>
          <w:color w:val="5A5A5A"/>
          <w:sz w:val="18"/>
          <w:szCs w:val="18"/>
        </w:rPr>
        <w:t>Quelle: AKBW-Merkblatt 593 VwV Stellplätze (01.09.2022; Anhang 2 ohne Fitnesscenter-Richtzahl), Rechercheprotokoll (Anhang I); Flächen Rechercheprotokoll (Anhang I); Berechnung eigene.</w:t>
      </w:r>
    </w:p>
    <w:p>
      <w:pPr>
        <w:pStyle w:val="Normal"/>
        <w:spacing w:lineRule="exact" w:line="276" w:before="0" w:after="120"/>
        <w:jc w:val="both"/>
        <w:rPr/>
      </w:pPr>
      <w:r>
        <w:rPr>
          <w:rFonts w:eastAsia="Arial" w:cs="Arial"/>
          <w:sz w:val="22"/>
          <w:szCs w:val="22"/>
        </w:rPr>
        <w:t>Bauplanungsrecht und Genehmigung: Anlagen für sportliche Zwecke sind in Gewerbegebieten seit der BauNVO-Novelle 2013 allgemein zulässig (§ 8 Abs. 2 Nr. 4 BauNVO); ein Fitnessstudio ist dort regelmäßig genehmigungsfähig, sofern kein überwiegender Physio- oder Reha-Anteil eine Einstufung als Anlage für gesundheitliche Zwecke auslöst (§ 8 Abs. 3 BauNVO). In Mischgebieten (§ 6 BauNVO) ist die Nutzung ebenfalls allgemein zulässig, jedoch mit strengeren Lärm- und Öffnungszeitenauflagen; in Industriegebieten (§ 9 Abs. 3 Nr. 2 BauNVO) nur ausnahmsweise; in Sondergebieten (§ 11 BauNVO) nur, wenn die Zweckbestimmung des Bebauungsplans Sport oder Freizeit ausdrücklich umfasst, andernfalls ist eine Befreiung nach § 31 Abs. 2 BauGB oder eine Planänderung erforderlich (Quellen: Anhang I). Die Umnutzung einer Lager- oder Produktionshalle zum Fitnessstudio ist eine genehmigungspflichtige Nutzungsänderung nach §§ 49, 50 LBO BW. Erforderlich sind Bauvorlagen, Brandschutznachweis, Stellplatznachweis, Schallschutznachweis (Kursraum, Freihantelbereich) sowie ein Lüftungs- und Sanitärkonzept einschließlich Hygiene- und Brandschutzanforderungen an Sauna und Dampfbad (Planeco 2025). Die Bemessung von 132 Personen liegt unter der Schwelle von 200 Personen, ab der die Versammlungsstättenverordnung anzuwenden wäre (Regularienprüfung Rechercheprotokoll (Anhang I)); die Baurechtsbehörde kann bei mehr als 1.000 m² Sportfläche gleichwohl eine Einstufung als Sonderbau mit Brandschutzkonzept und zwei baulichen Rettungswegen vornehmen (Quellen: Anhang I), was der Entwurf mit sechs Notausgängen bereits erfüllt. Für die Planung wird von dieser Einstufung ausgegangen: Der Antrag läuft dann im regulären Verfahren; die mit der LBO-Reform 2025 eingeführte Genehmigungsfiktion nach drei Monaten gilt nur im vereinfachten Verfahren nach § 52 LBO und für Antennenanlagen und ist für das Vorhaben nicht anwendbar (ARGE Baurecht 29.07.2025).</w:t>
      </w:r>
    </w:p>
    <w:p>
      <w:pPr>
        <w:pStyle w:val="Normal"/>
        <w:keepNext w:val="true"/>
        <w:spacing w:before="160" w:after="80"/>
        <w:jc w:val="left"/>
        <w:rPr/>
      </w:pPr>
      <w:r>
        <w:rPr>
          <w:rFonts w:eastAsia="Arial" w:cs="Arial"/>
          <w:b/>
          <w:bCs/>
          <w:sz w:val="20"/>
          <w:szCs w:val="20"/>
        </w:rPr>
        <w:t>Tabelle 5.3: Genehmigungsverfahren und Fristen (LBO Baden-Württemberg)</w:t>
      </w:r>
    </w:p>
    <w:tbl>
      <w:tblPr>
        <w:tblW w:w="9638" w:type="dxa"/>
        <w:jc w:val="left"/>
        <w:tblInd w:w="0" w:type="dxa"/>
        <w:tblLayout w:type="fixed"/>
        <w:tblCellMar>
          <w:top w:w="40" w:type="dxa"/>
          <w:left w:w="70" w:type="dxa"/>
          <w:bottom w:w="40" w:type="dxa"/>
          <w:right w:w="70" w:type="dxa"/>
        </w:tblCellMar>
      </w:tblPr>
      <w:tblGrid>
        <w:gridCol w:w="3662"/>
        <w:gridCol w:w="2891"/>
        <w:gridCol w:w="3085"/>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Schritt</w:t>
            </w:r>
          </w:p>
        </w:tc>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Frist / Dauer</w:t>
            </w:r>
          </w:p>
        </w:tc>
        <w:tc>
          <w:tcPr>
            <w:tcW w:w="308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Rechtsgrundlage / Quelle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Vollständigkeitsprüfung der Bauvorlagen</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 Arbeitstage</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54 Abs. 1 LBO</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Anhörung Dritter und Fachbehörden</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max. 1 Monat</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54 Abs. 3 LBO</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Entscheidung ab Vollständigkeit</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 Monate (vereinfachtes Verfahren 1 Monat)</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54 Abs. 5 LBO</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Genehmigungsfiktion</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 Monate ab vollständigen Unterlagen, nur im vereinfachten Verfahren (§ 52 LBO); für No.1 als Sonderbau nicht anwendbar</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58 Abs. 1a LBO, LBO-Reform 2025 (in Kraft 28.03.2025), ARGE Baurecht</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Erstellung Antragsunterlagen (Architekt, Brandschutz)</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2–3 Wochen (Praxiswert)</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Planeco 2025</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Realistische Gesamtdauer inkl. Vorprüfung, Brandschutzkonzept</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3–6 Monate</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Planeco 2025, Rechercheprotokoll (Anhang I)</w:t>
            </w:r>
          </w:p>
        </w:tc>
      </w:tr>
    </w:tbl>
    <w:p>
      <w:pPr>
        <w:pStyle w:val="Normal"/>
        <w:spacing w:before="60" w:after="200"/>
        <w:jc w:val="left"/>
        <w:rPr/>
      </w:pPr>
      <w:r>
        <w:rPr>
          <w:rFonts w:eastAsia="Arial" w:cs="Arial"/>
          <w:i/>
          <w:iCs/>
          <w:color w:val="5A5A5A"/>
          <w:sz w:val="18"/>
          <w:szCs w:val="18"/>
        </w:rPr>
        <w:t>Quelle: § 54 LBO BW (Stand 16.03.2026), ARGE Baurecht (29.07.2025), Planeco Nutzungsänderung Fitnessstudio (21.10.2025), Rechercheprotokoll (Anhang I).</w:t>
      </w:r>
    </w:p>
    <w:p>
      <w:pPr>
        <w:pStyle w:val="Heading2"/>
        <w:keepNext w:val="true"/>
        <w:spacing w:before="280" w:after="120"/>
        <w:rPr/>
      </w:pPr>
      <w:bookmarkStart w:id="44" w:name="__RefHeading___Toc21189_3809407278"/>
      <w:bookmarkEnd w:id="44"/>
      <w:r>
        <w:rPr/>
        <w:t>5.2 Regionenvergleich Bodensee und Region Stuttgart</w:t>
      </w:r>
    </w:p>
    <w:p>
      <w:pPr>
        <w:pStyle w:val="Normal"/>
        <w:spacing w:lineRule="exact" w:line="276" w:before="0" w:after="120"/>
        <w:jc w:val="both"/>
        <w:rPr/>
      </w:pPr>
      <w:r>
        <w:rPr>
          <w:rFonts w:eastAsia="Arial" w:cs="Arial"/>
          <w:sz w:val="22"/>
          <w:szCs w:val="22"/>
        </w:rPr>
        <w:t>Beide Regionen erfüllen die Nachfragevoraussetzungen des Konzepts, unterscheiden sich aber in Marktgröße, Wettbewerb, Mietniveau und persönlicher Bindung des Gründers. Die Bodenseeregion (Bodenseekreis, Landkreise Konstanz und Ravensburg sowie der bayerische Landkreis Lindau) zählt rund 886.800 Einwohner, die Region Stuttgart (Stadt Stuttgart, Landkreise Böblingen, Esslingen, Ludwigsburg, Rems-Murr) rund 2,51 Mio. (Fortschreibung 31.12.2025, StaLa via City Population). Der Bodenseekreis weist mit 36.069 € je Einwohner die höchste Kaufkraft im Vergleich auf, rund 107 % des Landeswerts von 33.643 € (MB Research 2026 via IHK Bodensee-Oberschwaben; für die Stuttgarter Kreise liegt nur die einzelhandelsrelevante Kaufkraft vor) und mit 29.440 € das höchste verfügbare Einkommen je Einwohner (2022, Landesindex 107,3), knapp vor Stuttgart (29.202 €) und dem Landkreis Böblingen (28.319 €; StaLa BW). Die Arbeitslosenquote im Bodenseekreis beträgt 3,5 % bei 95.400 sozialversicherungspflichtig Beschäftigten (WFB Bodenseekreis, 30.06.2025). Große Arbeitgeber sind in Friedrichshafen ZF (ca. 10.000 Beschäftigte, Kurzarbeit und Transformationsrisiko), Rolls-Royce Power Systems (6.300 Beschäftigte, 500 Neueinstellungen 2026, drittes Montagewerk in Kluftern im Bau, Fertigstellungstermin in der Quelle nicht genannt) und Airbus in Immenstaad (rund 2.150 Beschäftigte zuzüglich etwa 100 Auszubildende; Schwäbische Zeitung 08.09.2026); in Böblingen/Sindelfingen HP (4.000), Mercedes-Benz Sindelfingen (über 31.500, Snippet) sowie Bosch Feuerbach (rund 14.000) (Quellen: Anhang I).</w:t>
      </w:r>
    </w:p>
    <w:p>
      <w:pPr>
        <w:pStyle w:val="Normal"/>
        <w:keepNext w:val="true"/>
        <w:spacing w:before="160" w:after="80"/>
        <w:jc w:val="left"/>
        <w:rPr/>
      </w:pPr>
      <w:r>
        <w:rPr>
          <w:rFonts w:eastAsia="Arial" w:cs="Arial"/>
          <w:b/>
          <w:bCs/>
          <w:sz w:val="20"/>
          <w:szCs w:val="20"/>
        </w:rPr>
        <w:t>Tabelle 5.4: Regionenvergleich für den Standort No.1</w:t>
      </w:r>
    </w:p>
    <w:tbl>
      <w:tblPr>
        <w:tblW w:w="9638" w:type="dxa"/>
        <w:jc w:val="left"/>
        <w:tblInd w:w="0" w:type="dxa"/>
        <w:tblLayout w:type="fixed"/>
        <w:tblCellMar>
          <w:top w:w="40" w:type="dxa"/>
          <w:left w:w="70" w:type="dxa"/>
          <w:bottom w:w="40" w:type="dxa"/>
          <w:right w:w="70" w:type="dxa"/>
        </w:tblCellMar>
      </w:tblPr>
      <w:tblGrid>
        <w:gridCol w:w="2505"/>
        <w:gridCol w:w="2603"/>
        <w:gridCol w:w="2602"/>
        <w:gridCol w:w="1927"/>
      </w:tblGrid>
      <w:tr>
        <w:trPr>
          <w:tblHeader w:val="true"/>
        </w:trPr>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Kriterium</w:t>
            </w:r>
          </w:p>
        </w:tc>
        <w:tc>
          <w:tcPr>
            <w:tcW w:w="260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Bodensee (Raum Friedrichshafen)</w:t>
            </w:r>
          </w:p>
        </w:tc>
        <w:tc>
          <w:tcPr>
            <w:tcW w:w="260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Region Stuttgart (Raum Böblingen/Sindelfingen)</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Quelle</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Einwohner Landkreis (31.12.2025)</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Bodenseekreis 220.895</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LK Böblingen 394.729</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StaLa via City Population</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Einwohner 15-Minuten-Einzugsgebiet</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149.548</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215.039</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Rechercheprotokoll (Anhang I)</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Fitnessmitglieder-Potenzial (14,8 %)</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22.133</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31.826</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2026, berechnet</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18–64 Jahre</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58,2 %</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60,3 %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City Population 2025</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Verfügbares Einkommen je Ew. 2022</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29.440 € (Index 107,3)</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28.319 € (Index 103,2)</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StaLa BW</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Kaufkraft</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36.069 € je Ew. (2026; BW 33.643 €)</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EH-relevant 8.811 € je Ew. (Index 107,6)</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MB Research / IHK</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Einpendler Kernstadt</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23.056 (FN), Saldo +11.444</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36.582 (BB) + 45.595 (SIFI), Saldo +47.635</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Pendleratlas 2025</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Großarbeitgeber</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ZF ca. 10.000, RRPS 6.300, Airbus ca. 2.150</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Mercedes &gt;31.500, HP 4.000, Bosch Feuerbach 14.000</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Rechercheprotokoll (Anhang I)</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Hallenmieten (Bestand)</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 Produktion 4,90–6,70 €/m² (FN); Angebote 4,33–9,68 €/m²</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Ø 7,00 €/m², Spitze 8,50 (Stadt) bis 9,90 (Umland)</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 BO 06/2025; Realogis, E&amp;G 2025</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Erfasste Wettbewerber / davon HYROX</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 / 2</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 / 2</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Rechercheprotokoll (Anhang I)</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Gewerbesteuer-Hebesatz</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Friedrichshafen 350 %</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Böblingen 380 %, Stuttgart 430 %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Rechercheprotokoll (Anhang I; IHK-Listen 2026)</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Persönliche Bindung des Gründers</w:t>
            </w:r>
          </w:p>
        </w:tc>
        <w:tc>
          <w:tcPr>
            <w:tcW w:w="260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[vom Gründer zu ergänzen: Wohnort, Netzwerk]</w:t>
            </w:r>
          </w:p>
        </w:tc>
        <w:tc>
          <w:tcPr>
            <w:tcW w:w="26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[vom Gründer zu ergänzen]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r>
    </w:tbl>
    <w:p>
      <w:pPr>
        <w:pStyle w:val="Normal"/>
        <w:spacing w:before="60" w:after="200"/>
        <w:jc w:val="left"/>
        <w:rPr/>
      </w:pPr>
      <w:r>
        <w:rPr>
          <w:rFonts w:eastAsia="Arial" w:cs="Arial"/>
          <w:i/>
          <w:iCs/>
          <w:color w:val="5A5A5A"/>
          <w:sz w:val="18"/>
          <w:szCs w:val="18"/>
        </w:rPr>
        <w:t>Quelle: Rechercheprotokoll (Anhang I); Einzelnachweise siehe Quellenliste.</w:t>
      </w:r>
    </w:p>
    <w:p>
      <w:pPr>
        <w:pStyle w:val="Normal"/>
        <w:spacing w:lineRule="exact" w:line="276" w:before="0" w:after="120"/>
        <w:jc w:val="both"/>
        <w:rPr/>
      </w:pPr>
      <w:r>
        <w:rPr>
          <w:rFonts w:eastAsia="Arial" w:cs="Arial"/>
          <w:sz w:val="22"/>
          <w:szCs w:val="22"/>
        </w:rPr>
        <w:t>Bewertung: Der Raum Friedrichshafen bietet die höhere Kaufkraft, das niedrigere Mietniveau, den niedrigeren Gewerbesteuerhebesatz und eine Angebotslücke im Premium-Vollsortiment; die Nachfragebasis ist mit 22.133 rechnerischen Fitnessmitgliedern ausreichend, da No.1 bei Zielgröße 9,9 % davon benötigt (Kapitel 4). Der Raum Böblingen/Sindelfingen bietet mit 31.826 potenziellen Mitgliedern die größere Nachfrage und ein hohes Firmenfitness-Potenzial, jedoch ein Mietniveau auf Höhe der Planannahme, stärkeren Wettbewerb um Premiumkunden und einen um 30 bis 80 Prozentpunkte höheren Gewerbesteuerhebesatz. Beide Regionen sind mit dem Finanzmodell darstellbar; die Bodenseeregion ist die bevorzugte Wahl, die Region Stuttgart die gleichwertig geprüfte Alternative für den Fall, dass am Bodensee kein geeignetes Objekt zu den Vertragszielen verfügbar ist.</w:t>
      </w:r>
    </w:p>
    <w:p>
      <w:pPr>
        <w:pStyle w:val="Normal"/>
        <w:spacing w:lineRule="exact" w:line="276" w:before="0" w:after="120"/>
        <w:jc w:val="both"/>
        <w:rPr/>
      </w:pPr>
      <w:r>
        <w:rPr>
          <w:rFonts w:eastAsia="Arial" w:cs="Arial"/>
          <w:sz w:val="22"/>
          <w:szCs w:val="22"/>
        </w:rPr>
        <w:t>Mietniveau und Einordnung der Planannahme: Die Kaltmiete von 8,50 €/m² ist im Finanzmodell für beide Regionen angesetzt. Am Bodensee liegt sie deutlich über den IHK-Mietpreisspannen für Produktionshallen in Friedrichshafen (4,90–6,70 €/m², Stand 06/2025) und im Mittleren Schussental (4,70–6,50 €/m²) sowie über den meisten aktuellen Angebotsmieten für Hallen von 1.300 bis 3.100 m² (4,33–9,68 €/m²; Mittelwert der sechs Objekte mit Preisangabe rund 6,00 €/m², eigene Berechnung); lediglich das passgenaue Objekt in Meersburg (8,58 €/m²) und eine Halle in Mühlhausen-Ehingen (8,50 €/m²) liegen auf Planniveau (IHK Bodensee-Oberschwaben). Zu beachten ist, dass die IHK-Spannen für Hallen von 500 bis 1.500 m² erhoben werden; für die hier gesuchte Größe von rund 2.000 m² liegen keine amtlichen Spannen vor (Quellen: Anhang I). In der Region Stuttgart entspricht 8,50 €/m² exakt der Spitzenmiete 2025 für Industrie- und Logistikflächen im Stadtgebiet (Realogis, E&amp;G) bei einem Durchschnitt von 7,00 €/m² und Umlandspitzen bis 9,90 €/m² (E&amp;G 2025). Für modernisierte Hallen mit mindestens 6 m Höhe in Böblingen oder auf den Fildern ist die Annahme realistisch, für einfache Bestandshallen liegt der Markt bei 6,00–7,50 €/m². Fitnessgeeignete Flächen mit Sanitär, Heizung und Stellplätzen werden mit Aufschlag gehandelt; ein bestehendes Studio in Bietigheim-Bissingen wird mit 9,23 €/m² angeboten (Quellen: Anhang I). Die Planannahme ist somit am Bodensee konservativ und in der Region Stuttgart marktgerecht; die Sensitivitätsrechnung mit 10,00 €/m² ergibt in Jahr 3 weiterhin einen DSCR von 1,92.</w:t>
      </w:r>
    </w:p>
    <w:p>
      <w:pPr>
        <w:pStyle w:val="Normal"/>
        <w:keepNext w:val="true"/>
        <w:spacing w:before="160" w:after="80"/>
        <w:jc w:val="left"/>
        <w:rPr/>
      </w:pPr>
      <w:r>
        <w:rPr>
          <w:rFonts w:eastAsia="Arial" w:cs="Arial"/>
          <w:b/>
          <w:bCs/>
          <w:sz w:val="20"/>
          <w:szCs w:val="20"/>
        </w:rPr>
        <w:t>Tabelle 5.5: Mietniveau Hallenflächen im Vergleich zur Planannahme 8,50 €/m²</w:t>
      </w:r>
    </w:p>
    <w:tbl>
      <w:tblPr>
        <w:tblW w:w="9638" w:type="dxa"/>
        <w:jc w:val="left"/>
        <w:tblInd w:w="0" w:type="dxa"/>
        <w:tblLayout w:type="fixed"/>
        <w:tblCellMar>
          <w:top w:w="40" w:type="dxa"/>
          <w:left w:w="70" w:type="dxa"/>
          <w:bottom w:w="40" w:type="dxa"/>
          <w:right w:w="70" w:type="dxa"/>
        </w:tblCellMar>
      </w:tblPr>
      <w:tblGrid>
        <w:gridCol w:w="3276"/>
        <w:gridCol w:w="3085"/>
        <w:gridCol w:w="1156"/>
        <w:gridCol w:w="2120"/>
      </w:tblGrid>
      <w:tr>
        <w:trPr>
          <w:tblHeader w:val="true"/>
        </w:trPr>
        <w:tc>
          <w:tcPr>
            <w:tcW w:w="327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Region / Segment</w:t>
            </w:r>
          </w:p>
        </w:tc>
        <w:tc>
          <w:tcPr>
            <w:tcW w:w="308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Kaltmiete €/m² und Monat</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Stand</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Quelle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Friedrichshafen – Produktionshallen / Lager (IHK-Spanne für 500–1.500 m²)</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4,90–6,70 / 3,80–4,90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06/2025</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 Bodensee-Oberschwaben</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Mittleres Schussental (RV/Weingarten) – Produktion / Lager</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4,70–6,50 / 3,60–4,80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06/2025</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 Bodensee-Oberschwaben</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Bodensee – Angebotsmieten Hallen 1.300–3.100 m²</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4,33–9,68 (Meersburg 8,58; Mühlhausen-Ehingen 8,50; Radolfzell 7,56)</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09/2026</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Immowelt/IS24 (Quellen: Anhang I)</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Bodensee – Einzelhandel 1a-Lage (Referenz)</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FN 13–20; Überlingen 12–18; Weingarten 8,50–13</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06/2025</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 Bodensee-Oberschwaben</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Region Stuttgart – Industrie/Logistik</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Ø 7,00; Spitze 8,50 (Stadt), 9,90 (Umland)</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2025</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Realogis, E&amp;G Marktbericht 2025</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Region Stuttgart – Angebotsmieten Hallen</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4,00–12,00 (Leonberg 6,50; Ludwigsburg-West 8,49; Bestandsstudio Bietigheim 9,23)</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09/2026</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Immowelt/IS24 (Quellen: Anhang I)</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Planannahme No.1</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8,50 (Sensitivität 10,00: DSCR Jahr 3 1,92)</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2027</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r>
    </w:tbl>
    <w:p>
      <w:pPr>
        <w:pStyle w:val="Normal"/>
        <w:spacing w:before="60" w:after="200"/>
        <w:jc w:val="left"/>
        <w:rPr/>
      </w:pPr>
      <w:r>
        <w:rPr>
          <w:rFonts w:eastAsia="Arial" w:cs="Arial"/>
          <w:i/>
          <w:iCs/>
          <w:color w:val="5A5A5A"/>
          <w:sz w:val="18"/>
          <w:szCs w:val="18"/>
        </w:rPr>
        <w:t>Quelle: Rechercheprotokoll (Anhang I; IHK BO Mietpreisspannen 06/2025; Realogis Gesamtjahr 2025; E&amp;G Industrie- und Logistikmarkt 2025; Portalrecherche 26.09.2026).</w:t>
      </w:r>
    </w:p>
    <w:p>
      <w:pPr>
        <w:pStyle w:val="Heading2"/>
        <w:keepNext w:val="true"/>
        <w:spacing w:before="280" w:after="120"/>
        <w:rPr/>
      </w:pPr>
      <w:bookmarkStart w:id="45" w:name="__RefHeading___Toc21191_3809407278"/>
      <w:bookmarkEnd w:id="45"/>
      <w:r>
        <w:rPr/>
        <w:t>5.3 Bevorzugte Mikrolagen</w:t>
      </w:r>
    </w:p>
    <w:p>
      <w:pPr>
        <w:pStyle w:val="Normal"/>
        <w:spacing w:lineRule="exact" w:line="276" w:before="0" w:after="120"/>
        <w:jc w:val="both"/>
        <w:rPr/>
      </w:pPr>
      <w:r>
        <w:rPr>
          <w:rFonts w:eastAsia="Arial" w:cs="Arial"/>
          <w:sz w:val="22"/>
          <w:szCs w:val="22"/>
        </w:rPr>
        <w:t>Bodensee: Bevorzugt wird die Achse Friedrichshafen – Immenstaad – Markdorf – Meersburg – Überlingen entlang der B31 mit Anschluss an die B30 (Ravensburg). Friedrichshafen selbst ist mit 62.781 Einwohnern, 23.056 Einpendlern und den Arbeitgebern ZF, Rolls-Royce Power Systems und Airbus der Schwerpunkt der Nachfrage; dort fehlt ein Premium-Vollsortiment-Studio über 1.900 m², und der Gewerbesteuerhebesatz ist mit 350 % der niedrigste im Vergleich (Quellen: Anhang I). Meersburg liegt rund 15 Fahrminuten von Friedrichshafen und Überlingen entfernt und erschließt beide Nachfragepole, Immenstaad liegt an der B31 zwischen Friedrichshafen und Markdorf in Nachbarschaft von Airbus; Markdorf (14.305 Einwohner) und Überlingen (22.799) sind mit MC Shape, clever fit, Fitness Tempel, ProSana, fitness4you und BALANCE bereits dicht besetzt und daher nur als Einzugsgebiet, nicht als Standort interessant. Konstanz (86.691 Einwohner) und Radolfzell (31.689) bilden einen zweiten Suchraum mit dem größten Einzelmarkt der Region, aber mit Happy Fit als etabliertem Premiumanbieter (Quellen: Anhang I).</w:t>
      </w:r>
    </w:p>
    <w:p>
      <w:pPr>
        <w:pStyle w:val="Normal"/>
        <w:spacing w:lineRule="exact" w:line="276" w:before="0" w:after="120"/>
        <w:jc w:val="both"/>
        <w:rPr/>
      </w:pPr>
      <w:r>
        <w:rPr>
          <w:rFonts w:eastAsia="Arial" w:cs="Arial"/>
          <w:sz w:val="22"/>
          <w:szCs w:val="22"/>
        </w:rPr>
        <w:t>Region Stuttgart: Bevorzugt wird der Kernraum Böblingen/Sindelfingen (Gewerbegebiete Hulb und Goldbach, Achse A81/B464) mit 215.039 Einwohnern im 15-Minuten-Einzugsgebiet, 82.177 Einpendlern in beide Städte und den Arbeitgebern Mercedes-Benz und HP. Ergänzend werden die Fildern (Neuhausen, Flughafen/Messe, A8) und Leonberg (S-Bahn, A8/A81) geprüft, weil dort modernisierte Hallen mit hoher Deckenhöhe beziehungsweise Mieten unter Planniveau angeboten werden (Quellen: Anhang I). Stuttgart-Feuerbach ist wegen des Bosch-Umfelds und einer verfügbaren 2.000-m²-Halle mit 9 m Deckenhöhe als Option gelistet, unterliegt jedoch dem höchsten Hebesatz (430 %) und dem Stuttgarter Stellplatzrecht.</w:t>
      </w:r>
    </w:p>
    <w:p>
      <w:pPr>
        <w:pStyle w:val="ListParagraph"/>
        <w:numPr>
          <w:ilvl w:val="0"/>
          <w:numId w:val="3"/>
        </w:numPr>
        <w:spacing w:lineRule="exact" w:line="276" w:before="0" w:after="60"/>
        <w:jc w:val="left"/>
        <w:rPr/>
      </w:pPr>
      <w:r>
        <w:rPr>
          <w:rFonts w:eastAsia="Arial" w:cs="Arial"/>
          <w:sz w:val="22"/>
          <w:szCs w:val="22"/>
        </w:rPr>
        <w:t>Lage an einer Hauptverkehrsachse mit Sichtbarkeit von der Straße und eigener Zufahrt</w:t>
      </w:r>
    </w:p>
    <w:p>
      <w:pPr>
        <w:pStyle w:val="ListParagraph"/>
        <w:numPr>
          <w:ilvl w:val="0"/>
          <w:numId w:val="1"/>
        </w:numPr>
        <w:spacing w:lineRule="exact" w:line="276" w:before="0" w:after="60"/>
        <w:jc w:val="left"/>
        <w:rPr/>
      </w:pPr>
      <w:r>
        <w:rPr>
          <w:rFonts w:eastAsia="Arial" w:cs="Arial"/>
          <w:sz w:val="22"/>
          <w:szCs w:val="22"/>
        </w:rPr>
        <w:t>Stellplätze auf dem Grundstück oder vertraglich gesicherte Nachbarflächen (Ziel 52 Kfz)</w:t>
      </w:r>
    </w:p>
    <w:p>
      <w:pPr>
        <w:pStyle w:val="ListParagraph"/>
        <w:numPr>
          <w:ilvl w:val="0"/>
          <w:numId w:val="1"/>
        </w:numPr>
        <w:spacing w:lineRule="exact" w:line="276" w:before="0" w:after="60"/>
        <w:jc w:val="left"/>
        <w:rPr/>
      </w:pPr>
      <w:r>
        <w:rPr>
          <w:rFonts w:eastAsia="Arial" w:cs="Arial"/>
          <w:sz w:val="22"/>
          <w:szCs w:val="22"/>
        </w:rPr>
        <w:t>ÖPNV-Haltestelle in Gehweite (Minderung Stellplatzpflicht, Zielgruppe Studierende/Pendler)</w:t>
      </w:r>
    </w:p>
    <w:p>
      <w:pPr>
        <w:pStyle w:val="ListParagraph"/>
        <w:numPr>
          <w:ilvl w:val="0"/>
          <w:numId w:val="1"/>
        </w:numPr>
        <w:spacing w:lineRule="exact" w:line="276" w:before="0" w:after="60"/>
        <w:jc w:val="left"/>
        <w:rPr/>
      </w:pPr>
      <w:r>
        <w:rPr>
          <w:rFonts w:eastAsia="Arial" w:cs="Arial"/>
          <w:sz w:val="22"/>
          <w:szCs w:val="22"/>
        </w:rPr>
        <w:t>Gewerbegebiet oder Mischgebiet nach Bebauungsplan; keine Lärmkonflikte mit Wohnnutzung bei Öffnungszeiten ab 6 Uhr</w:t>
      </w:r>
    </w:p>
    <w:p>
      <w:pPr>
        <w:pStyle w:val="ListParagraph"/>
        <w:numPr>
          <w:ilvl w:val="0"/>
          <w:numId w:val="1"/>
        </w:numPr>
        <w:spacing w:lineRule="exact" w:line="276" w:before="0" w:after="60"/>
        <w:jc w:val="left"/>
        <w:rPr/>
      </w:pPr>
      <w:r>
        <w:rPr>
          <w:rFonts w:eastAsia="Arial" w:cs="Arial"/>
          <w:sz w:val="22"/>
          <w:szCs w:val="22"/>
        </w:rPr>
        <w:t>Umfeld mit Tagesbevölkerung (Gewerbe, Bürostandorte) für Mittags- und Feierabendfrequenz</w:t>
      </w:r>
    </w:p>
    <w:p>
      <w:pPr>
        <w:pStyle w:val="ListParagraph"/>
        <w:numPr>
          <w:ilvl w:val="0"/>
          <w:numId w:val="1"/>
        </w:numPr>
        <w:spacing w:lineRule="exact" w:line="276" w:before="0" w:after="60"/>
        <w:jc w:val="left"/>
        <w:rPr/>
      </w:pPr>
      <w:r>
        <w:rPr>
          <w:rFonts w:eastAsia="Arial" w:cs="Arial"/>
          <w:sz w:val="22"/>
          <w:szCs w:val="22"/>
        </w:rPr>
        <w:t>Abstand von mindestens 3 km zu bestehenden Premium-Vollsortiment-Studios mit Sauna</w:t>
      </w:r>
    </w:p>
    <w:p>
      <w:pPr>
        <w:pStyle w:val="Normal"/>
        <w:spacing w:lineRule="exact" w:line="276" w:before="0" w:after="60"/>
        <w:jc w:val="both"/>
        <w:rPr/>
      </w:pPr>
      <w:r>
        <w:rPr/>
      </w:r>
    </w:p>
    <w:p>
      <w:pPr>
        <w:pStyle w:val="Heading2"/>
        <w:keepNext w:val="true"/>
        <w:spacing w:before="280" w:after="120"/>
        <w:rPr/>
      </w:pPr>
      <w:bookmarkStart w:id="46" w:name="__RefHeading___Toc21193_3809407278"/>
      <w:bookmarkEnd w:id="46"/>
      <w:r>
        <w:rPr/>
        <w:t>5.4 Immobilien-Shortlist</w:t>
      </w:r>
    </w:p>
    <w:p>
      <w:pPr>
        <w:pStyle w:val="Normal"/>
        <w:spacing w:lineRule="exact" w:line="276" w:before="0" w:after="120"/>
        <w:jc w:val="both"/>
        <w:rPr/>
      </w:pPr>
      <w:r>
        <w:rPr>
          <w:rFonts w:eastAsia="Arial" w:cs="Arial"/>
          <w:sz w:val="22"/>
          <w:szCs w:val="22"/>
        </w:rPr>
        <w:t>Aus den im September 2026 auf Immowelt und ImmobilienScout24 gelisteten Hallenflächen wurden je Region zwölf Objekte mit rund 1.600 bis 3.000 m² (zwei Objekte knapp darunter), Miete bis 10 €/m² (soweit angegeben) und bevorzugt mindestens 4 m Deckenhöhe ausgewählt (Quellen: Anhang I). Sämtliche Angaben stammen aus Suchseiten-Snippets, da die Exposés nicht abrufbar waren; Deckenhöhe, Stellplätze, Gebietstyp und Verfügbarkeit sind daher je Objekt vor Ort und beim Bauamt zu verifizieren. Am Bodensee stechen drei Objekte hervor: die Produktionshalle in Meersburg mit exakt passender Fläche (1.885 m²) und Planmiete (8,58 €/m²), das „Alte Schmelzwerk“ in Friedrichshafen, dessen Eigentümer ausdrücklich Betreiber aus Sport und Fitness sucht, sowie die Halle im Technologiepark Immenstaad mit über 900 Stellplätzen an der B31 (Industriegebiet, Nutzung nur ausnahmsweise). In der Region Stuttgart bieten Neuhausen (6 m lichte Höhe, modernisiert), Feuerbach (9 m) und Esslingen-Zell (7,5 m) die besten Höhen, Böblingen (2.765 m² teilbar) und Leonberg (6,50 €/m²) die beste Lage beziehungsweise Miete.</w:t>
      </w:r>
    </w:p>
    <w:p>
      <w:pPr>
        <w:pStyle w:val="Normal"/>
        <w:keepNext w:val="true"/>
        <w:spacing w:before="160" w:after="80"/>
        <w:jc w:val="left"/>
        <w:rPr/>
      </w:pPr>
      <w:r>
        <w:rPr>
          <w:rFonts w:eastAsia="Arial" w:cs="Arial"/>
          <w:b/>
          <w:bCs/>
          <w:sz w:val="20"/>
          <w:szCs w:val="20"/>
        </w:rPr>
        <w:t>Tabelle 5.6: Immobilien-Shortlist Bodenseeregion (Angebote 09/2026)</w:t>
      </w:r>
    </w:p>
    <w:tbl>
      <w:tblPr>
        <w:tblW w:w="9638" w:type="dxa"/>
        <w:jc w:val="left"/>
        <w:tblInd w:w="0" w:type="dxa"/>
        <w:tblLayout w:type="fixed"/>
        <w:tblCellMar>
          <w:top w:w="40" w:type="dxa"/>
          <w:left w:w="70" w:type="dxa"/>
          <w:bottom w:w="40" w:type="dxa"/>
          <w:right w:w="70" w:type="dxa"/>
        </w:tblCellMar>
      </w:tblPr>
      <w:tblGrid>
        <w:gridCol w:w="2120"/>
        <w:gridCol w:w="1542"/>
        <w:gridCol w:w="964"/>
        <w:gridCol w:w="964"/>
        <w:gridCol w:w="963"/>
        <w:gridCol w:w="3084"/>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Objekt</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Ort</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Fläche m²</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Miete €/m²</w:t>
            </w:r>
          </w:p>
        </w:tc>
        <w:tc>
          <w:tcPr>
            <w:tcW w:w="96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Deckenhöhe</w:t>
            </w:r>
          </w:p>
        </w:tc>
        <w:tc>
          <w:tcPr>
            <w:tcW w:w="308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Bemerkung (Portal)</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Produktionshalle, mehrere Bauabschnitte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Meersburg</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1.885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8,58</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Fläche passt exakt, Miete auf Planniveau, B31, 15 min zu FN und Überlingen; Umnutzung nötig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Produktionshalle Technologiepark TRIWO</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Immenstaad, Graf-von-Soden-Str.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1.900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Über 900 Stellplätze, direkt B31, Airbus-Nachbarschaft; Industriegebiet § 9 BauNVO prüfen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r>
              <w:rPr>
                <w:rFonts w:eastAsia="Arial" w:cs="Arial"/>
                <w:b w:val="false"/>
                <w:bCs w:val="false"/>
                <w:sz w:val="16"/>
                <w:szCs w:val="16"/>
              </w:rPr>
              <w:t>Altes Schmelzwerk“, Teilfläche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Friedrichshafen, Colsmanstr. 25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2.000 von 13.000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Vermieter sucht Sport-/Fitnessbetreiber; Stadtlage FN; Umbauzustand und Fertigstellung klären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Büro-/Lagerfläche ehem. Dr.-Kade-Areal</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Konstanz, Opelstr. 2</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2.227</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Industriegebiet, zwei Ebenen (Kompromiss), sofort verfügbar, provisionsfrei (ImmobilienScout24)</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Industriehalle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Radolfzell</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1.600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7,56</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Unter Planmiete, B33/B34; Deckenhöhe klären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drei Einheiten</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Radolfzell</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1.676</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Mehrere Zufahrten, teilbar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Gewerbeliegenschaft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Kressbronn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1.770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Miete oder Kauf, B31 zwischen FN und Lindau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 2 mit Sheddach</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Neukirch, Schulstr. 27</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2.400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4,50</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 (Sheddach)</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Sehr günstig, aber Randlage ca. 20 min zu FN, schwaches Einzugsgebiet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THE PLANT Campus, Spezialgewerbe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Konstanz, Byk-Gulden-Str. 2a</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3.000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Obergrenze Fläche, gesicherter Campus, Publikumsverkehr klären (ImmobilienScout24)</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Produktions-/Büroimmobilie Oberer Riedweg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Bad Waldsee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2.124</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6,21</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Hochwertig, auch Kauf; außerhalb Bodensee-Einzugsgebiet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Gewerbegebiet Trauben</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Weingarten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1.579</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4,62</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B30, Schussental (RV/Weingarten ca. 60.000 Ew.); knapp unter Zielgröße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Industriepark 200, Halle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Gottmadingen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1.566</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4,50</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6,00 (lt. Parallel-Exposé)</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Hegau/A81, Industriepark ohne Laufkundschaft; knapp unter Zielgröße (ImmobilienScout24)</w:t>
            </w:r>
          </w:p>
        </w:tc>
      </w:tr>
    </w:tbl>
    <w:p>
      <w:pPr>
        <w:pStyle w:val="Normal"/>
        <w:spacing w:before="60" w:after="200"/>
        <w:jc w:val="left"/>
        <w:rPr/>
      </w:pPr>
      <w:r>
        <w:rPr>
          <w:rFonts w:eastAsia="Arial" w:cs="Arial"/>
          <w:i/>
          <w:iCs/>
          <w:color w:val="5A5A5A"/>
          <w:sz w:val="18"/>
          <w:szCs w:val="18"/>
        </w:rPr>
        <w:t>Quelle: Rechercheprotokoll (Anhang I; Immowelt/ImmobilienScout24-Suchseiten, Stand 26.09.2026); alle Werte aus Snippets, vor Ort zu verifizieren.</w:t>
      </w:r>
    </w:p>
    <w:p>
      <w:pPr>
        <w:pStyle w:val="Normal"/>
        <w:keepNext w:val="true"/>
        <w:spacing w:before="160" w:after="80"/>
        <w:jc w:val="left"/>
        <w:rPr/>
      </w:pPr>
      <w:r>
        <w:rPr>
          <w:rFonts w:eastAsia="Arial" w:cs="Arial"/>
          <w:b/>
          <w:bCs/>
          <w:sz w:val="20"/>
          <w:szCs w:val="20"/>
        </w:rPr>
        <w:t>Tabelle 5.7: Immobilien-Shortlist Region Stuttgart (Angebote 09/2026)</w:t>
      </w:r>
    </w:p>
    <w:tbl>
      <w:tblPr>
        <w:tblW w:w="9638" w:type="dxa"/>
        <w:jc w:val="left"/>
        <w:tblInd w:w="0" w:type="dxa"/>
        <w:tblLayout w:type="fixed"/>
        <w:tblCellMar>
          <w:top w:w="40" w:type="dxa"/>
          <w:left w:w="70" w:type="dxa"/>
          <w:bottom w:w="40" w:type="dxa"/>
          <w:right w:w="70" w:type="dxa"/>
        </w:tblCellMar>
      </w:tblPr>
      <w:tblGrid>
        <w:gridCol w:w="2120"/>
        <w:gridCol w:w="1542"/>
        <w:gridCol w:w="964"/>
        <w:gridCol w:w="964"/>
        <w:gridCol w:w="963"/>
        <w:gridCol w:w="3084"/>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Objekt</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Ort</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Fläche m²</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Miete €/m²</w:t>
            </w:r>
          </w:p>
        </w:tc>
        <w:tc>
          <w:tcPr>
            <w:tcW w:w="96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Deckenhöhe</w:t>
            </w:r>
          </w:p>
        </w:tc>
        <w:tc>
          <w:tcPr>
            <w:tcW w:w="308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Bemerkung (Portal)</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Unternehmensimmobilie, Rampe + ebenerdiges Tor</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Neuhausen auf den Fildern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1.606</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6,00 m</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Modernisiert, sofort verfügbar, Nähe Flughafen/Messe/A8; Bewertung „sehr gut“; Parkplätze und Gebietstyp prüfen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Gewerbehalle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Stuttgart-Feuerbach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9,00 m</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HYROX-taugliche Höhe, provisionsfrei, Bosch-Umfeld; Hebesatz 430 %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 + Büro</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Esslingen-Zell</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1.992 (1.816 + 211)</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7,50 m</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Krananlagen, sofort verfügbar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Moderne Lagerhalle, teilbar ab 1.296 m²</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Böblingen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2.765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Kern-Einzugsgebiet BB/SIFI, Büro-/Sozialflächen vorhanden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 Maybachstraße 5/1, teilbar ab 860 m²</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Leonberg</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2.315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6,50</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Unter Planmiete, provisionsfrei, Bus/S-Bahn (ImmobilienScout24)</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Herrenberg-Gültstein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2.060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6,50</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Unter Planmiete; Höhe/Ebenerdigkeit unbekannt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Holzgerlingen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Schönbuch/Böblingen-Süd, keine Detailangaben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Renningen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1.923</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S-Bahn S6, A8/A81-Nähe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Renningen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2.520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Größe passt knapp, Details unbekannt (ImmobilienScout24)</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 provisionsfrei</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Herrenberg</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2.675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Etwas über Bedarf, Teilbarkeit prüfen; S-Bahn S1, A81 (ImmobilienScout24)</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Produktions-/Lagerhalle (Realogis)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Esslingen am Neckar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1.650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Funktional, vielseitig nutzbar (Immowelt)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Sachsenheim</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1.600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auf Anfrage</w:t>
            </w:r>
          </w:p>
        </w:tc>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 A.</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LK Ludwigsburg, Randlage (Immowelt)</w:t>
            </w:r>
          </w:p>
        </w:tc>
      </w:tr>
    </w:tbl>
    <w:p>
      <w:pPr>
        <w:pStyle w:val="Normal"/>
        <w:spacing w:before="60" w:after="200"/>
        <w:jc w:val="left"/>
        <w:rPr/>
      </w:pPr>
      <w:r>
        <w:rPr>
          <w:rFonts w:eastAsia="Arial" w:cs="Arial"/>
          <w:i/>
          <w:iCs/>
          <w:color w:val="5A5A5A"/>
          <w:sz w:val="18"/>
          <w:szCs w:val="18"/>
        </w:rPr>
        <w:t>Quelle: Rechercheprotokoll (Anhang I; Immowelt/ImmobilienScout24-Suchseiten, Stand 26.09.2026); Referenzen: Ludwigsburg-West 1.476 m² zu 8,49 €/m², Bietigheim-Bissingen Bestandsstudio 1.146 m² zu 9,23 €/m².</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Vor dem Bankgespräch ist für die zwei bis drei favorisierten Objekte je ein Exposé mit Grundriss, Deckenhöhe, Stellplatzzahl, Bebauungsplan-Auszug (Gebietstyp) und Mietangebot des Eigentümers einzuholen und dem Anhang beizufügen. Ein unterzeichneter Letter of Intent oder ein Mietvertragsentwurf mit aufschiebender Bedingung (Baugenehmigung, Finanzierungszusage) wird von Banken und Bürgschaftsbank regelmäßig als Voraussetzung für die Kreditentscheidung verlangt.</w:t>
      </w:r>
    </w:p>
    <w:p>
      <w:pPr>
        <w:pStyle w:val="Heading2"/>
        <w:keepNext w:val="true"/>
        <w:spacing w:before="280" w:after="120"/>
        <w:rPr/>
      </w:pPr>
      <w:bookmarkStart w:id="47" w:name="__RefHeading___Toc21195_3809407278"/>
      <w:bookmarkEnd w:id="47"/>
      <w:r>
        <w:rPr/>
        <w:t>5.5 Mietvertragsziele</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Kaltmiete</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8,50 €/m² = 16.791 €/Monat netto</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Betriebskosten + Energie/Wasser</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6,00 €/m² = 11.852 €/Monat netto</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Laufzeit</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10 Jahre + Verlängerungsoption</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Mietfreie Zeit</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3 Monate während des Ausbaus</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Indexierung</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2,0 % p. a.</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Kaution</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3 Monatsmieten = 85.930 €</w:t>
            </w:r>
          </w:p>
        </w:tc>
      </w:tr>
    </w:tbl>
    <w:p>
      <w:pPr>
        <w:pStyle w:val="Normal"/>
        <w:spacing w:lineRule="exact" w:line="276" w:before="0" w:after="80"/>
        <w:jc w:val="both"/>
        <w:rPr/>
      </w:pPr>
      <w:r>
        <w:rPr/>
      </w:r>
    </w:p>
    <w:p>
      <w:pPr>
        <w:pStyle w:val="Normal"/>
        <w:spacing w:lineRule="exact" w:line="276" w:before="0" w:after="120"/>
        <w:jc w:val="both"/>
        <w:rPr/>
      </w:pPr>
      <w:r>
        <w:rPr>
          <w:rFonts w:eastAsia="Arial" w:cs="Arial"/>
          <w:sz w:val="22"/>
          <w:szCs w:val="22"/>
        </w:rPr>
        <w:t>Das Finanzmodell unterstellt für 1.975,40 m² Bruttofläche eine Kaltmiete von 8,50 €/m² (16.791 € netto je Monat, 201.491 € im ersten Jahr) zuzüglich 2,00 €/m² Betriebskosten und 4,00 €/m² Energie und Wasser (zusammen 11.852 € je Monat), jeweils zuzüglich Umsatzsteuer bei Option des Vermieters. Die Kaution von drei Monatsmieten einschließlich Nebenkosten (85.930 €) ist im Investitionsplan enthalten und wird im Monat −5 (April 2027) fällig; die drei mietfreien Monate sind im Modell die Monate −5 bis −3 (April bis Juni 2027), Kaltmiete und Betriebskosten fallen ab Juli 2027 an, Energie und Wasser ab Eröffnung. Die Energieannahme von 4,00 €/m² liegt am oberen Rand der DSSV-Richtwerte (Betriebskosten 3,00–3,50 €/m², Strom ab 2,50 €/m² je Monat, abhängig von Saunen; dssv.de/kostenrichtwerte) und berücksichtigt Sauna, Dampfbad und 18 Duschen. Die Kaltmiete entspricht in Jahr 3 15,3 % des Planumsatzes von 1.368.522 € netto (Miete Jahr 3 indexiert 209.631 €); einschließlich Betriebskosten (47.410 €), Energie und Wasser (94.819 €) und Gebäudeinstandhaltung (7.902 €) betragen die Raumkosten in Jahr 3 359.761 € oder 26,3 % des Nettoumsatzes und liegen damit über dem DSSV-Richtwert von maximal 22 %, was auf den bewusst hohen Energieansatz und die großzügige Fläche je Mitglied zurückzuführen ist; die Einordnung in die gesamte Kostenstruktur erfolgt in Kapitel 10. Im ersten Planjahr betragen die Raumkosten 393.105 € und liegen damit über dem zweiten Jahr (355.651 €), weil das erste Planjahr die zwei Vorlaufmonate Juli und August 2027 mit Kaltmiete und Betriebskosten enthält, die nach den drei mietfreien Ausbaumonaten anfallen.</w:t>
      </w:r>
    </w:p>
    <w:p>
      <w:pPr>
        <w:pStyle w:val="Normal"/>
        <w:keepNext w:val="true"/>
        <w:spacing w:before="160" w:after="80"/>
        <w:jc w:val="left"/>
        <w:rPr/>
      </w:pPr>
      <w:r>
        <w:rPr>
          <w:rFonts w:eastAsia="Arial" w:cs="Arial"/>
          <w:b/>
          <w:bCs/>
          <w:sz w:val="20"/>
          <w:szCs w:val="20"/>
        </w:rPr>
        <w:t>Tabelle 5.8: Verhandlungsziele Mietvertrag</w:t>
      </w:r>
    </w:p>
    <w:tbl>
      <w:tblPr>
        <w:tblW w:w="9638" w:type="dxa"/>
        <w:jc w:val="left"/>
        <w:tblInd w:w="0" w:type="dxa"/>
        <w:tblLayout w:type="fixed"/>
        <w:tblCellMar>
          <w:top w:w="40" w:type="dxa"/>
          <w:left w:w="70" w:type="dxa"/>
          <w:bottom w:w="40" w:type="dxa"/>
          <w:right w:w="70" w:type="dxa"/>
        </w:tblCellMar>
      </w:tblPr>
      <w:tblGrid>
        <w:gridCol w:w="1734"/>
        <w:gridCol w:w="3277"/>
        <w:gridCol w:w="4627"/>
      </w:tblGrid>
      <w:tr>
        <w:trPr>
          <w:tblHeader w:val="true"/>
        </w:trPr>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Regelung</w:t>
            </w:r>
          </w:p>
        </w:tc>
        <w:tc>
          <w:tcPr>
            <w:tcW w:w="327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Ziel</w:t>
            </w:r>
          </w:p>
        </w:tc>
        <w:tc>
          <w:tcPr>
            <w:tcW w:w="46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Begründung / Wirkung im Finanzmodell</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Laufzeit</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 Jahre fest, Option 2 × 5 Jahre</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Ausbauinvestition 851.788 € netto wird über 10 Jahre abgeschrieben; Planungssicherheit für Bank</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Kaltmiete</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max. 8,50 €/m², Bodensee Ziel darunter</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Planannahme; jede 0,50 €/m² weniger spart 11.852 € je Jahr (berechnet 1.975,4 m² × 0,50 × 12)</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Mietfreie Zeit</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 Monate ab Übergabe (im Modell April–Juni 2027, Monate −5 bis −3)</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Entlastung von 50.373 € Kaltmiete und 11.852 € Betriebskosten in der Vorlaufphase (3 × 16.791 € bzw. 3 × 3.951 €); Miete ab Juli 2027</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Indexierung</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2,0 % p. a. fest oder Verbraucherpreisindex mit Schwelle</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Beitragsanpassung No.1 ebenfalls 2,0 % p. a., im Modell ab Jahr 3 (Miete ab Jahr 2) – Miete und Erlöse laufen ab dem dritten Jahr parallel</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Kaution</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 Monatsmieten (85.930 €), alternativ Bankbürgschaft</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Im Kapitalbedarf enthalten; Bürgschaft schont Liquidität</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Aufschiebende Bedingung</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Wirksamkeit erst mit Baugenehmigung für die Nutzungsänderung und Finanzierungszusage</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 Mietrisiko ohne Genehmigung; Bankanforderung</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Vermieterleistungen</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Dach und Fach, Statik, Zufahrten, Stellplätze; Mitwirkung beim Bauantrag</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Ausbaukosten Mieter beschränken sich auf Innenausbau, RLT, Sanitär</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Nutzungszweck</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Fitness-, Gesundheits- und Wellnessstudio inkl. Gastronomie-Nebenleistungen, Öffnungszeiten 6–23 Uhr und Wochenende</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Absicherung Premium-Konzept und Randzeiten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Konkurrenzschutz</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 weiteres Fitnessstudio auf dem Grundstück/Areal</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Schutz der Investition bei Gewerbeparks (z. B. Immenstaad, Konstanz)</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Untervermietung</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Erlaubnis für Physiotherapie/Personal-Training-Partner</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Zusatzerlöse, Gesundheitsangebot</w:t>
            </w:r>
          </w:p>
        </w:tc>
      </w:tr>
    </w:tbl>
    <w:p>
      <w:pPr>
        <w:pStyle w:val="Normal"/>
        <w:spacing w:before="60" w:after="200"/>
        <w:jc w:val="left"/>
        <w:rPr/>
      </w:pPr>
      <w:r>
        <w:rPr>
          <w:rFonts w:eastAsia="Arial" w:cs="Arial"/>
          <w:i/>
          <w:iCs/>
          <w:color w:val="5A5A5A"/>
          <w:sz w:val="18"/>
          <w:szCs w:val="18"/>
        </w:rPr>
        <w:t>Quelle: Excel-Planrechnung; Berechnungen eigene.</w:t>
      </w:r>
    </w:p>
    <w:p>
      <w:pPr>
        <w:pStyle w:val="Heading2"/>
        <w:keepNext w:val="true"/>
        <w:spacing w:before="280" w:after="120"/>
        <w:rPr/>
      </w:pPr>
      <w:bookmarkStart w:id="48" w:name="__RefHeading___Toc21197_3809407278"/>
      <w:bookmarkEnd w:id="48"/>
      <w:r>
        <w:rPr/>
        <w:t>5.6 Nächste Schritte zur Standortsicherung</w:t>
      </w:r>
    </w:p>
    <w:p>
      <w:pPr>
        <w:pStyle w:val="Normal"/>
        <w:spacing w:lineRule="exact" w:line="276" w:before="0" w:after="120"/>
        <w:jc w:val="both"/>
        <w:rPr/>
      </w:pPr>
      <w:r>
        <w:rPr>
          <w:rFonts w:eastAsia="Arial" w:cs="Arial"/>
          <w:sz w:val="22"/>
          <w:szCs w:val="22"/>
        </w:rPr>
        <w:t>Die Eröffnung ist für den 1. September 2027 geplant; der Vorlauf im Finanzmodell beginnt fünf Monate zuvor im April 2027 mit Übergabe, Kaution und Planung, der Ausbau läuft von Mai bis August 2027. Rückwärts gerechnet muss die Baugenehmigung für die Nutzungsänderung spätestens im April 2027 vorliegen. Da für das Vorhaben als Sonderbau keine Genehmigungsfiktion gilt und die Verfahrensdauer in der Praxis drei bis sechs Monate beträgt (Planeco), ist der Bauantrag spätestens im Dezember 2026, besser im November 2026 einzureichen; der Mietvertrag mit aufschiebender Bedingung ist entsprechend im November 2026 zu unterzeichnen. Eine Bauvoranfrage im Oktober 2026 verkürzt die Vorprüfung. Verzögert sich die Genehmigung um mehr als zwei Monate, verschiebt sich die Eröffnung entsprechend; das Finanzmodell hält dafür die Anlaufreserve und den Kontokorrentrahmen vor (Kapitel 9 und 10). Die Objektbesichtigungen der Shortlist beginnen daher unmittelbar im Oktober 2026.</w:t>
      </w:r>
    </w:p>
    <w:p>
      <w:pPr>
        <w:pStyle w:val="Normal"/>
        <w:keepNext w:val="true"/>
        <w:spacing w:before="160" w:after="80"/>
        <w:jc w:val="left"/>
        <w:rPr/>
      </w:pPr>
      <w:r>
        <w:rPr>
          <w:rFonts w:eastAsia="Arial" w:cs="Arial"/>
          <w:b/>
          <w:bCs/>
          <w:sz w:val="20"/>
          <w:szCs w:val="20"/>
        </w:rPr>
        <w:t>Tabelle 5.9: Zeitplan Standortsicherung bis Eröffnung</w:t>
      </w:r>
    </w:p>
    <w:tbl>
      <w:tblPr>
        <w:tblW w:w="9638" w:type="dxa"/>
        <w:jc w:val="left"/>
        <w:tblInd w:w="0" w:type="dxa"/>
        <w:tblLayout w:type="fixed"/>
        <w:tblCellMar>
          <w:top w:w="40" w:type="dxa"/>
          <w:left w:w="70" w:type="dxa"/>
          <w:bottom w:w="40" w:type="dxa"/>
          <w:right w:w="70" w:type="dxa"/>
        </w:tblCellMar>
      </w:tblPr>
      <w:tblGrid>
        <w:gridCol w:w="1734"/>
        <w:gridCol w:w="4819"/>
        <w:gridCol w:w="3085"/>
      </w:tblGrid>
      <w:tr>
        <w:trPr>
          <w:tblHeader w:val="true"/>
        </w:trPr>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Zeitraum</w:t>
            </w:r>
          </w:p>
        </w:tc>
        <w:tc>
          <w:tcPr>
            <w:tcW w:w="481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Schritt</w:t>
            </w:r>
          </w:p>
        </w:tc>
        <w:tc>
          <w:tcPr>
            <w:tcW w:w="308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Ergebnis / Beteiligte</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Oktober 2026</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Besichtigung der 5–6 bestplatzierten Objekte beider Regionen; Abfrage Bebauungsplan, Deckenhöhe, Stellplätze, Mietforderung; Bauvoranfrage beim Baurechtsamt</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Bewertungsmatrix, 2–3 Favoriten; Gründer, Architekt</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Oktober–November 2026</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Vorgespräch mit Baurechtsamt zu Nutzungsänderung, Stellplätzen, Brandschutz (Sonderbau-Status); Letter of Intent mit dem Eigentümer des Favoriten</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Schriftliche Auskunft zur Genehmigungsfähigkeit; unterzeichneter LOI für Bank und Bürgschaftsbank</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November 2026</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Mietvertrag mit aufschiebender Bedingung (Baugenehmigung, Finanzierung); Beauftragung Bauantrag; Bankgespräch mit Businessplan, LOI, Exposé</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Vertragsunterzeichnung; Antrag KfW/L-Bank/Bürgschaftsbank über Hausbank; GmbH-Gründung ab Januar 2027 (Kapitel 7.8, Tabelle 8.1)</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Dezember 2026</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Einreichung Bauantrag Nutzungsänderung inkl. Brandschutz-, Stellplatz-, Schallschutznachweis</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Vollständigkeitsprüfung 10 Arbeitstage (§ 54 Abs. 1 LBO); reguläres Verfahren, keine Genehmigungsfiktion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Januar–März 2027</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Genehmigungsverfahren (Regelfrist 2 Monate ab Vollständigkeit, Praxis 3–6 Monate); Finanzierungszusage unter Vorbehalt</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Baugenehmigung, Darlehensverträge</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April 2027</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Übergabe der Halle, Kaution, Einzahlung Eigenkapital und MBG-Beteiligung (KfW Mai, L-Bank Juni 2027), Vorbereitung des Vorverkaufs (Start Juni 2027, Kapitel 6.3)</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−5 im Finanzmodell; Beginn der mietfreien Zeit</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Mai–August 2027</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 Geräteanlieferung Monat −1, Personalaufbau; Kaltmiete und Betriebskosten ab Juli 2027</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Monate −4 bis −1</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September 2027</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Eröffnung mit 350 Vorverkaufsmitgliedern</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1</w:t>
            </w:r>
          </w:p>
        </w:tc>
      </w:tr>
    </w:tbl>
    <w:p>
      <w:pPr>
        <w:pStyle w:val="Normal"/>
        <w:spacing w:before="60" w:after="200"/>
        <w:jc w:val="left"/>
        <w:rPr/>
      </w:pPr>
      <w:r>
        <w:rPr>
          <w:rFonts w:eastAsia="Arial" w:cs="Arial"/>
          <w:i/>
          <w:iCs/>
          <w:color w:val="5A5A5A"/>
          <w:sz w:val="18"/>
          <w:szCs w:val="18"/>
        </w:rPr>
        <w:t>Quelle: Excel-Planrechnung, Rechercheprotokoll (Anhang I; Genehmigungsdauer, keine Fiktion für Sonderbauten), § 54 LBO BW.</w:t>
      </w:r>
    </w:p>
    <w:p>
      <w:pPr>
        <w:pStyle w:val="ListParagraph"/>
        <w:numPr>
          <w:ilvl w:val="0"/>
          <w:numId w:val="1"/>
        </w:numPr>
        <w:spacing w:lineRule="exact" w:line="276" w:before="0" w:after="60"/>
        <w:jc w:val="left"/>
        <w:rPr/>
      </w:pPr>
      <w:r>
        <w:rPr>
          <w:rFonts w:eastAsia="Arial" w:cs="Arial"/>
          <w:sz w:val="22"/>
          <w:szCs w:val="22"/>
        </w:rPr>
        <w:t>Bei jeder Besichtigung prüfen: lichte Höhe unter Bindern und Trassen (≥ 4,00 m), Bodenbelastbarkeit für Kraftgeräte, Anschlussleistung Strom, Gas-/Wärmeversorgung für Sauna und Duschen, Abwasseranschluss, Rolltor für Anlieferung, Stellplätze, Lärmumfeld</w:t>
      </w:r>
    </w:p>
    <w:p>
      <w:pPr>
        <w:pStyle w:val="ListParagraph"/>
        <w:numPr>
          <w:ilvl w:val="0"/>
          <w:numId w:val="1"/>
        </w:numPr>
        <w:spacing w:lineRule="exact" w:line="276" w:before="0" w:after="60"/>
        <w:jc w:val="left"/>
        <w:rPr/>
      </w:pPr>
      <w:r>
        <w:rPr>
          <w:rFonts w:eastAsia="Arial" w:cs="Arial"/>
          <w:sz w:val="22"/>
          <w:szCs w:val="22"/>
        </w:rPr>
        <w:t>Bebauungsplan-Auszug beim Bauamt anfordern; bei GI- oder SO-Gebiet frühzeitig Ausnahme oder Befreiung klären</w:t>
      </w:r>
    </w:p>
    <w:p>
      <w:pPr>
        <w:pStyle w:val="ListParagraph"/>
        <w:numPr>
          <w:ilvl w:val="0"/>
          <w:numId w:val="1"/>
        </w:numPr>
        <w:spacing w:lineRule="exact" w:line="276" w:before="0" w:after="60"/>
        <w:jc w:val="left"/>
        <w:rPr/>
      </w:pPr>
      <w:r>
        <w:rPr>
          <w:rFonts w:eastAsia="Arial" w:cs="Arial"/>
          <w:sz w:val="22"/>
          <w:szCs w:val="22"/>
        </w:rPr>
        <w:t>Kostenschätzung des Ausbaus durch Architekt auf Basis des GymPlanner-Grundrisses gegen den Investitionsplan (Ausbau 851.788 €, Sanitär 39.800 €, Planung 106.991 €) verproben</w:t>
      </w:r>
    </w:p>
    <w:p>
      <w:pPr>
        <w:pStyle w:val="ListParagraph"/>
        <w:numPr>
          <w:ilvl w:val="0"/>
          <w:numId w:val="1"/>
        </w:numPr>
        <w:spacing w:lineRule="exact" w:line="276" w:before="0" w:after="60"/>
        <w:jc w:val="left"/>
        <w:rPr/>
      </w:pPr>
      <w:r>
        <w:rPr>
          <w:rFonts w:eastAsia="Arial" w:cs="Arial"/>
          <w:sz w:val="22"/>
          <w:szCs w:val="22"/>
        </w:rPr>
        <w:t>Alternative Objekte bis zur Vertragsunterzeichnung parallel halten, um Verhandlungsspielraum bei Miete und mietfreier Zeit zu sichern</w:t>
      </w:r>
    </w:p>
    <w:p>
      <w:pPr>
        <w:pStyle w:val="Normal"/>
        <w:spacing w:lineRule="exact" w:line="276" w:before="0" w:after="60"/>
        <w:jc w:val="both"/>
        <w:rPr/>
      </w:pPr>
      <w:r>
        <w:rPr/>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Vom Gründer zu ergänzen: [Wohnort und Region der persönlichen Verankerung], [bereits geführte Gespräche mit Eigentümern oder Wirtschaftsförderung], [Ergebnis der Bauvoranfrage], [Exposés und LOI als Anlagen]. Alle Objektangaben in diesem Kapitel beruhen auf Portal-Snippets vom 26.09.2026 und sind vor dem Bankgespräch zu aktualisieren.</w:t>
      </w:r>
      <w:r>
        <w:br w:type="page"/>
      </w:r>
    </w:p>
    <w:p>
      <w:pPr>
        <w:pStyle w:val="Heading1"/>
        <w:spacing w:before="360" w:after="200"/>
        <w:rPr/>
      </w:pPr>
      <w:bookmarkStart w:id="49" w:name="__RefHeading___Toc21199_3809407278"/>
      <w:bookmarkEnd w:id="49"/>
      <w:r>
        <w:rPr/>
        <w:t>6 Marketing und Vertrieb</w:t>
      </w:r>
    </w:p>
    <w:p>
      <w:pPr>
        <w:pStyle w:val="Normal"/>
        <w:spacing w:lineRule="exact" w:line="276" w:before="0" w:after="120"/>
        <w:jc w:val="both"/>
        <w:rPr/>
      </w:pPr>
      <w:r>
        <w:rPr>
          <w:rFonts w:eastAsia="Arial" w:cs="Arial"/>
          <w:sz w:val="22"/>
          <w:szCs w:val="22"/>
        </w:rPr>
        <w:t>Marketing und Vertrieb entscheiden bei einem Fitnessstudio über den Erfolg der Anlaufphase, weil die Fixkosten vom ersten Tag an in voller Höhe anfallen, die Beitragsumsätze aber erst mit dem Mitgliederbestand wachsen. Dieses Kapitel leitet die im Finanzmodell hinterlegten Mitgliederziele her, beschreibt Preis- und Tarifstrategie, den Vorverkauf vor der Eröffnung, das laufende Marketing, die Vertriebskanäle und Kooperationen, die Maßnahmen zur Mitgliederbindung sowie das Kennzahlen-Controlling, mit dem Abweichungen vom Plan früh erkannt werden. Alle Mitglieder- und Budgetzahlen stammen aus dem Finanzmodell; Beiträge sind Bruttobeträge einschließlich 19 % Umsatzsteuer, Budgets sind Nettobeträge.</w:t>
      </w:r>
    </w:p>
    <w:p>
      <w:pPr>
        <w:pStyle w:val="Heading2"/>
        <w:keepNext w:val="true"/>
        <w:spacing w:before="280" w:after="120"/>
        <w:rPr/>
      </w:pPr>
      <w:bookmarkStart w:id="50" w:name="__RefHeading___Toc21201_3809407278"/>
      <w:bookmarkEnd w:id="50"/>
      <w:r>
        <w:rPr/>
        <w:t>6.1 Marketingziele in Zahlen</w:t>
      </w:r>
    </w:p>
    <w:p>
      <w:pPr>
        <w:pStyle w:val="Normal"/>
        <w:spacing w:lineRule="exact" w:line="276" w:before="0" w:after="120"/>
        <w:jc w:val="both"/>
        <w:rPr/>
      </w:pPr>
      <w:r>
        <w:rPr>
          <w:rFonts w:eastAsia="Arial" w:cs="Arial"/>
          <w:sz w:val="22"/>
          <w:szCs w:val="22"/>
        </w:rPr>
        <w:t>Das Basisszenario des Finanzmodells setzt voraus, dass zur Eröffnung am 1. September 2027 bereits 350 Mitglieder aus dem Vorverkauf unter Vertrag stehen. Danach werden in den ersten drei Betriebsmonaten je 140 Neuzugänge, in den Monaten 4 bis 12 je 100, im zweiten Betriebsjahr je 90, im dritten Jahr je 80 und ab dem vierten Jahr je 75 Neuzugänge je Monat geplant. Bei einer Kündigungsquote von 2,2 % des Bestands je Monat ergibt sich ein Bestand von 482 Mitgliedern am Ende des ersten Monats, 1.429 nach zwölf Monaten, 2.053 nach 24 Monaten und die Kapazitätsgrenze von 2.200 Mitgliedern ab Monat 29. Die Kapazitätsgrenze entspricht 1,1 Mitgliedern je m² Bruttofläche und liegt damit leicht über dem Branchenmittel von rund einem Mitglied je m² (1.166 m² Anlagenfläche bei 1.187 Mitgliedern je Anlage, DSSV-Eckdaten 2018 nach fitness MANAGEMENT 02/2019); neuere Flächenwerte sind öffentlich nicht verfügbar.</w:t>
      </w:r>
    </w:p>
    <w:p>
      <w:pPr>
        <w:pStyle w:val="Normal"/>
        <w:keepNext w:val="true"/>
        <w:spacing w:before="160" w:after="80"/>
        <w:jc w:val="left"/>
        <w:rPr/>
      </w:pPr>
      <w:r>
        <w:rPr>
          <w:rFonts w:eastAsia="Arial" w:cs="Arial"/>
          <w:b/>
          <w:bCs/>
          <w:sz w:val="20"/>
          <w:szCs w:val="20"/>
        </w:rPr>
        <w:t>Tabelle 6.1: Mitgliederziele des Basisszenarios</w:t>
      </w:r>
    </w:p>
    <w:tbl>
      <w:tblPr>
        <w:tblW w:w="9638" w:type="dxa"/>
        <w:jc w:val="left"/>
        <w:tblInd w:w="0" w:type="dxa"/>
        <w:tblLayout w:type="fixed"/>
        <w:tblCellMar>
          <w:top w:w="40" w:type="dxa"/>
          <w:left w:w="70" w:type="dxa"/>
          <w:bottom w:w="40" w:type="dxa"/>
          <w:right w:w="70" w:type="dxa"/>
        </w:tblCellMar>
      </w:tblPr>
      <w:tblGrid>
        <w:gridCol w:w="2891"/>
        <w:gridCol w:w="1542"/>
        <w:gridCol w:w="1735"/>
        <w:gridCol w:w="1735"/>
        <w:gridCol w:w="1735"/>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Zeitraum</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Neuzugänge je Monat</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Neuzugänge im Zeitraum</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Kündigungen im Zeitraum</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Bestand am Ende</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Vorverkauf (Juni bis August 2027)</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117 (Ziel 350 gesamt)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350 zur Eröffnung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Monate 1 bis 3 (Sept. bis Nov. 2027)</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420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738</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Monate 4 bis 12 (Dez. 2027 bis Aug. 2028)</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209</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1.429</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Monate 13 bis 24 (Jahr 2)</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1.080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456</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2.053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Monate 25 bis 36 (Jahr 3)</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bis Kapazität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45 bis 48 je Monat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2.200 (ab Monat 29)</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37 (Jahre 4 und 5)</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Ersatz der Kündigungen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48 je Monat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w:t>
            </w:r>
          </w:p>
        </w:tc>
      </w:tr>
    </w:tbl>
    <w:p>
      <w:pPr>
        <w:pStyle w:val="Normal"/>
        <w:spacing w:before="60" w:after="200"/>
        <w:jc w:val="left"/>
        <w:rPr/>
      </w:pPr>
      <w:r>
        <w:rPr>
          <w:rFonts w:eastAsia="Arial" w:cs="Arial"/>
          <w:i/>
          <w:iCs/>
          <w:color w:val="5A5A5A"/>
          <w:sz w:val="18"/>
          <w:szCs w:val="18"/>
        </w:rPr>
        <w:t>Quelle: Finanzmodell Excel-Planrechnung; Bestand Monat 3: 738, Monat 12: 1.429, Monat 24: 2.053.</w:t>
      </w:r>
    </w:p>
    <w:p>
      <w:pPr>
        <w:pStyle w:val="Normal"/>
        <w:keepNext w:val="true"/>
        <w:spacing w:before="120" w:after="40"/>
        <w:jc w:val="center"/>
        <w:rPr/>
      </w:pPr>
      <w:r>
        <w:rPr/>
        <w:drawing>
          <wp:inline distT="0" distB="0" distL="0" distR="0">
            <wp:extent cx="5715000" cy="26955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2695575"/>
                    </a:xfrm>
                    <a:prstGeom prst="rect">
                      <a:avLst/>
                    </a:prstGeom>
                  </pic:spPr>
                </pic:pic>
              </a:graphicData>
            </a:graphic>
          </wp:inline>
        </w:drawing>
      </w:r>
    </w:p>
    <w:p>
      <w:pPr>
        <w:pStyle w:val="Normal"/>
        <w:spacing w:before="60" w:after="200"/>
        <w:jc w:val="left"/>
        <w:rPr/>
      </w:pPr>
      <w:r>
        <w:rPr>
          <w:rFonts w:eastAsia="Arial" w:cs="Arial"/>
          <w:i/>
          <w:iCs/>
          <w:color w:val="5A5A5A"/>
          <w:sz w:val="18"/>
          <w:szCs w:val="18"/>
        </w:rPr>
        <w:t>Abbildung 6.1: Mitgliederentwicklung im Basisszenario (Monate 1 bis 60)</w:t>
      </w:r>
    </w:p>
    <w:p>
      <w:pPr>
        <w:pStyle w:val="Normal"/>
        <w:spacing w:lineRule="exact" w:line="276" w:before="0" w:after="120"/>
        <w:jc w:val="both"/>
        <w:rPr/>
      </w:pPr>
      <w:r>
        <w:rPr>
          <w:rFonts w:eastAsia="Arial" w:cs="Arial"/>
          <w:sz w:val="22"/>
          <w:szCs w:val="22"/>
        </w:rPr>
        <w:t>Die Plausibilität dieser Ziele lässt sich an drei belegten Vorverkaufs- und Anlaufbeispielen prüfen. Das Happy Fit Premium in Konstanz (2.500 m², Sauna, Kurse inklusive) schloss allein am Tag der offenen Tür 145 Mitgliedschaften ab (BODYMEDIA Clubreport 2024). Die wellyou-Anlage in Velbert gewann vor der Eröffnung im November 2025 über 2.000 Mitglieder im Vorverkauf (fitness MANAGEMENT 12.11.2025). Ein Beraterplanbeispiel für ein durchschnittliches Studio nennt 600 Mitglieder nach zwölf Monaten und zeigt, dass früh gewonnene Mitglieder im ersten Jahr rund 400.000 € Umsatz erzeugen, spät gewonnene nur 280.000 € (IN-COME 2020). Das Vorverkaufsziel von 350 Mitgliedern in drei Monaten entspricht rund 117 Abschlüssen je Monat und liegt damit deutlich unter dem, was ein einzelner Aktionstag eines vergleichbaren Premiumstudios in der Region erreicht hat. Der Fachverlag BODYMEDIA empfiehlt, den Vorverkauf zwei bis drei Monate vor Eröffnung zu starten und drei bis sechs Monate davor vorzubereiten (BODYMEDIA 02.05.2024); der Plan sieht drei Monate Vorverkauf und die Vorbereitung ab Mietbeginn im April 2027 vor. Einschränkend gilt: Beide Vorverkaufsbeispiele stammen von etablierten Betreibern mit bestehender Marke und Bestandsstudios; No.1 startet ohne Referenzstudio, das Ziel von 350 Mitgliedern ist deshalb als anspruchsvoll einzuordnen und mit einer Interessentenliste zu unterlegen (Hinweis am Ende von Abschnitt 6.3).</w:t>
      </w:r>
    </w:p>
    <w:p>
      <w:pPr>
        <w:pStyle w:val="Normal"/>
        <w:spacing w:lineRule="exact" w:line="276" w:before="0" w:after="120"/>
        <w:jc w:val="both"/>
        <w:rPr/>
      </w:pPr>
      <w:r>
        <w:rPr>
          <w:rFonts w:eastAsia="Arial" w:cs="Arial"/>
          <w:sz w:val="22"/>
          <w:szCs w:val="22"/>
        </w:rPr>
        <w:t>Der Bestand von 1.429 Mitgliedern nach zwölf Monaten liegt über dem Beraterplanwert von 600, was der Größe der Anlage geschuldet ist: 1.975 m² Bruttofläche und 126 gleichzeitig Trainierende (Quellen: Anhang I) übersteigen die durchschnittliche deutsche Anlage mit 1.166 m² deutlich, und die Branche zählt im Mittel 1.281 Mitglieder je Anlage, Einzelanlagen 1.023 (DSSV Eckdaten 2026, rechnerisch). Bezogen auf das Einzugsgebiet sind 1.429 Mitglieder nach einem Jahr 6,5 % der rechnerisch 22.133 Fitnessmitglieder im 15-Minuten-Einzugsgebiet Friedrichshafen und 4,5 % der 31.826 im Raum Böblingen/Sindelfingen (Kapitel 4). Zusätzlich ist der Plan konservativ, weil er den Januar-Effekt nicht einrechnet: Nach der DSSV-Januar-Umfrage 2023 wächst der Mitgliederbestand allein im Januar um knapp 5 % (Einzelanlagen 4,4 %, Ketten 6,1 %; DSSV 02/2023); das Modell rechnet in allen Monaten mit gleichbleibenden Neuzugängen.</w:t>
      </w:r>
    </w:p>
    <w:p>
      <w:pPr>
        <w:pStyle w:val="Normal"/>
        <w:spacing w:lineRule="exact" w:line="276" w:before="0" w:after="120"/>
        <w:jc w:val="both"/>
        <w:rPr/>
      </w:pPr>
      <w:r>
        <w:rPr>
          <w:rFonts w:eastAsia="Arial" w:cs="Arial"/>
          <w:sz w:val="22"/>
          <w:szCs w:val="22"/>
        </w:rPr>
        <w:t>Die Kehrseite ist die Empfindlichkeit des Plans gegenüber den Neuzugängen. Bleiben sie um 20 % hinter dem Plan zurück, sinkt der Bestand nach 24 Monaten auf 1.642 Mitglieder, die Kapitaldienstdeckung im dritten Jahr fällt auf 0,92 und der Reservebedarf für die ersten 24 Monate steigt auf 1.074.527 € gegenüber 736.987 € im Basisfall. Marketing und Vertrieb sind damit die wichtigste Steuerungsgröße des Vorhabens; das Kennzahlen-Controlling in Abschnitt 6.7 legt die Schwellen fest, ab denen Gegenmaßnahmen greifen.</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Vorverkauf bis Eröffnung</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350 Mitglieder</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Neuzugänge Monate 1 bis 3</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140 je Monat</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Bestand nach 12 Monaten</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1.429</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Bestand nach 24 Monaten</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2.053</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Kapazität erreicht</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Monat 29 (2.200)</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Kündigungsquote</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2,2 % je Monat</w:t>
            </w:r>
          </w:p>
        </w:tc>
      </w:tr>
    </w:tbl>
    <w:p>
      <w:pPr>
        <w:pStyle w:val="Normal"/>
        <w:spacing w:lineRule="exact" w:line="276" w:before="0" w:after="80"/>
        <w:jc w:val="both"/>
        <w:rPr/>
      </w:pPr>
      <w:r>
        <w:rPr/>
      </w:r>
    </w:p>
    <w:p>
      <w:pPr>
        <w:pStyle w:val="Heading2"/>
        <w:keepNext w:val="true"/>
        <w:spacing w:before="280" w:after="120"/>
        <w:rPr/>
      </w:pPr>
      <w:bookmarkStart w:id="51" w:name="__RefHeading___Toc21203_3809407278"/>
      <w:bookmarkEnd w:id="51"/>
      <w:r>
        <w:rPr/>
        <w:t>6.2 Preis- und Tarifstrategie</w:t>
      </w:r>
    </w:p>
    <w:p>
      <w:pPr>
        <w:pStyle w:val="Normal"/>
        <w:spacing w:lineRule="exact" w:line="276" w:before="0" w:after="120"/>
        <w:jc w:val="both"/>
        <w:rPr/>
      </w:pPr>
      <w:r>
        <w:rPr>
          <w:rFonts w:eastAsia="Arial" w:cs="Arial"/>
          <w:sz w:val="22"/>
          <w:szCs w:val="22"/>
        </w:rPr>
        <w:t>Die Tarifstruktur (Basic 44,90 €, Premium 59,90 €, Student/Azubi/Senior 34,90 €, Servicepauschale 24,90 € je Halbjahr, Aufnahmegebühr 49,00 €, jeweils brutto) ist in Kapitel 3.5 beschrieben und mit den Wettbewerbspreisen abgeglichen. Dieser Abschnitt ergänzt die vertriebliche Logik: Laufzeiten, Flex-Variante, Aktionen und Preisdisziplin. Der Planbeitrag von 50,15 € brutto je Mitglied und Monat im Tarifmix liegt zwischen dem Branchendurchschnitt von 48,55 € und dem Durchschnitt der Einzelanlagen von 59,24 € (DSSV Eckdaten 2026) und positioniert No.1 preislich zwischen den Ketten und den regionalen Premiumanbietern (Kapitel 4.6).</w:t>
      </w:r>
    </w:p>
    <w:p>
      <w:pPr>
        <w:pStyle w:val="Normal"/>
        <w:spacing w:lineRule="exact" w:line="276" w:before="0" w:after="120"/>
        <w:jc w:val="both"/>
        <w:rPr/>
      </w:pPr>
      <w:r>
        <w:rPr>
          <w:rFonts w:eastAsia="Arial" w:cs="Arial"/>
          <w:sz w:val="22"/>
          <w:szCs w:val="22"/>
        </w:rPr>
        <w:t>Die Beiträge des Finanzmodells gelten für die Standardlaufzeit von zwölf Monaten. Zusätzlich werden eine 24-Monats-Variante mit Nachlass und eine monatlich kündbare Flex-Variante mit Aufschlag angeboten; die konkreten Beträge sind vom Gründer festzulegen [24-Monats-Beitrag, Flex-Beitrag]. Der Markt gibt den Rahmen vor: Das Happy Fit Premium Konstanz verlangt 80 € bei 24 Monaten, 90 € bei zwölf Monaten und 109 € monatlich kündbar; 8Black in Friedrichshafen und Ravensburg 34,99 / 39,99 / 49,99 €; GYM-24 Böblingen 49,90 € bei 24 Monaten und 64,90 € bei einem Monat (Quellen: Anhang I). Bei den großen Ketten liegt der Aufschlag für monatlich kündbare Verträge bei etwa 30 % (BODYMEDIA Preischeck 05.01.2024). Das Finanzmodell rechnet vereinfachend für alle Mitglieder mit dem Zwölf-Monats-Beitrag; Flex-Aufschläge und 24-Monats-Nachlässe sind nicht modelliert und sollen sich in der Summe ausgleichen [Tarifmix nach Laufzeit im ersten Betriebsjahr auswerten].</w:t>
      </w:r>
    </w:p>
    <w:p>
      <w:pPr>
        <w:pStyle w:val="Normal"/>
        <w:spacing w:lineRule="exact" w:line="276" w:before="0" w:after="120"/>
        <w:jc w:val="both"/>
        <w:rPr/>
      </w:pPr>
      <w:r>
        <w:rPr>
          <w:rFonts w:eastAsia="Arial" w:cs="Arial"/>
          <w:sz w:val="22"/>
          <w:szCs w:val="22"/>
        </w:rPr>
        <w:t>Rechtlich sind Erstlaufzeiten von mehr als zwei Jahren unzulässig; nach Ablauf der Erstlaufzeit verlängern sich Verträge nur auf unbestimmte Zeit mit einer Kündigungsfrist von höchstens einem Monat (§ 309 Nr. 9 BGB in der seit 1. März 2022 geltenden Fassung). Online abgeschlossene Verträge müssen über einen Kündigungsbutton kündbar sein (§ 312k BGB). Die Studiosoftware bildet diese Vorgaben ab; die Vertragsmuster sind vor dem Vorverkauf anwaltlich prüfen zu lassen [Beauftragung, Kosten].</w:t>
      </w:r>
    </w:p>
    <w:p>
      <w:pPr>
        <w:pStyle w:val="Normal"/>
        <w:keepNext w:val="true"/>
        <w:spacing w:before="160" w:after="80"/>
        <w:jc w:val="left"/>
        <w:rPr/>
      </w:pPr>
      <w:r>
        <w:rPr>
          <w:rFonts w:eastAsia="Arial" w:cs="Arial"/>
          <w:b/>
          <w:bCs/>
          <w:sz w:val="20"/>
          <w:szCs w:val="20"/>
        </w:rPr>
        <w:t>Tabelle 6.2: Tarif- und Laufzeitlogik (Beträge brutto inkl. 19 % USt)</w:t>
      </w:r>
    </w:p>
    <w:tbl>
      <w:tblPr>
        <w:tblW w:w="9638" w:type="dxa"/>
        <w:jc w:val="left"/>
        <w:tblInd w:w="0" w:type="dxa"/>
        <w:tblLayout w:type="fixed"/>
        <w:tblCellMar>
          <w:top w:w="40" w:type="dxa"/>
          <w:left w:w="70" w:type="dxa"/>
          <w:bottom w:w="40" w:type="dxa"/>
          <w:right w:w="70" w:type="dxa"/>
        </w:tblCellMar>
      </w:tblPr>
      <w:tblGrid>
        <w:gridCol w:w="1927"/>
        <w:gridCol w:w="2120"/>
        <w:gridCol w:w="3470"/>
        <w:gridCol w:w="2120"/>
      </w:tblGrid>
      <w:tr>
        <w:trPr>
          <w:tblHeader w:val="true"/>
        </w:trPr>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Element</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Planansatz</w:t>
            </w:r>
          </w:p>
        </w:tc>
        <w:tc>
          <w:tcPr>
            <w:tcW w:w="347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Marktreferenz</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Zweck</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 Monate (Standard)</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44,90 / 59,90 / 34,90 €</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Happy Fit Premium 90 €, 8Black 39,99 €, GYM-24 k. A.</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Planbeitrag des Finanzmodells</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24 Monate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[Nachlass festzulegen]</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Happy Fit Premium 80 €, 8Black 34,99 €, GYM-24 49,90 €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Bindung, planbare Umsätze</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Flex (monatlich kündbar)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[Aufschlag festzulegen]</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Happy Fit Premium 109 €, 8Black 49,99 €, GYM-24 64,90 €; Ketten ca. +30 %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Zielgruppe Pendler, Studierende, Saison</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Servicepauschale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24,90 € je Halbjahr</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8Black 10 € je Quartal, clever fit 19,90 € je Halbjahr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Deckt Chip, Hygiene, Software</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Aufnahmegebühr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49,00 €, 70 % zahlend</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Happy Fit Premium 129 €, 8Black 50 €, GYM-24 39,90 €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Aktionshebel statt Beitragsnachlass</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Firmenfitness / Aggregator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nicht im Modell (Zusatzpotenzial)</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76,1 % der Anlagen mit Aggregator-Anbindung (DSSV 2026)</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Reichweite bei Arbeitgebern</w:t>
            </w:r>
          </w:p>
        </w:tc>
      </w:tr>
    </w:tbl>
    <w:p>
      <w:pPr>
        <w:pStyle w:val="Normal"/>
        <w:spacing w:before="60" w:after="200"/>
        <w:jc w:val="left"/>
        <w:rPr/>
      </w:pPr>
      <w:r>
        <w:rPr>
          <w:rFonts w:eastAsia="Arial" w:cs="Arial"/>
          <w:i/>
          <w:iCs/>
          <w:color w:val="5A5A5A"/>
          <w:sz w:val="18"/>
          <w:szCs w:val="18"/>
        </w:rPr>
        <w:t>Quellen: Excel-Planrechnung; Happy Fit Premium Konstanz Preise (27.09.2026); 8Black Fitness (27.09.2026); GYM-24 Böblingen-Hulb; Arbeiterkammer AT 14.01.2025 (clever fit Pauschalen); BODYMEDIA Preischeck 05.01.2024; DSSV Eckdaten 2026.</w:t>
      </w:r>
    </w:p>
    <w:p>
      <w:pPr>
        <w:pStyle w:val="Normal"/>
        <w:spacing w:lineRule="exact" w:line="276" w:before="0" w:after="120"/>
        <w:jc w:val="both"/>
        <w:rPr/>
      </w:pPr>
      <w:r>
        <w:rPr>
          <w:rFonts w:eastAsia="Arial" w:cs="Arial"/>
          <w:sz w:val="22"/>
          <w:szCs w:val="22"/>
        </w:rPr>
        <w:t>Aktionen werden konsequent über die Aufnahmegebühr und über Zusatzleistungen gesteuert, nicht über den Monatsbeitrag. Das Finanzmodell unterstellt, dass nur 70 % der Neumitglieder die Aufnahmegebühr zahlen, die übrigen 30 % kommen über Aktionen (Vorverkauf, Empfehlungen, Firmenangebote) ohne Aufnahmegebühr; Aufnahmegebühren werden dabei nur auf die wirksamen Neuzugänge berechnet, also nicht auf Zugänge, die nach Erreichen der Kapazitätsgrenze von 2.200 Mitgliedern rechnerisch entfallen (Excel-Blatt Mitglieder, Zeile „Wirksame Neuzugänge“). Wettbewerber arbeiten ähnlich: Das Happy Fit Premium erlässt an Aktionstagen im Januar die Startergebühr und gewährt 10 € Nachlass je Monat, MC Shape senkt die ersten drei Monate auf 10 bzw. 20 €, Fitness First Ravensburg wirbt mit acht Gratiswochen bei 24 Monaten (Quellen: Anhang I). Beitragsfreie Monate sind im Modell nicht vorgesehen, weil sie den Umsatz des ersten Jahres unmittelbar senken; die Sensitivität „Beitragsniveau minus 10 %“ zeigt, dass die Kapitaldienstdeckung im dritten Jahr dann von 2,12 auf 1,53 fällt und die Kasse im Minimum nur noch 6.971 € beträgt. Preisdisziplin ist deshalb eine verbindliche Vorgabe an das eigene Management: Nachlässe nur über Aufnahmegebühr, Chip und Zusatzleistungen, jährliche Beitragsanpassung von 2 % über eine Preisanpassungsklausel im Vertrag.</w:t>
      </w:r>
    </w:p>
    <w:p>
      <w:pPr>
        <w:pStyle w:val="Heading2"/>
        <w:keepNext w:val="true"/>
        <w:spacing w:before="280" w:after="120"/>
        <w:rPr/>
      </w:pPr>
      <w:bookmarkStart w:id="52" w:name="__RefHeading___Toc21205_3809407278"/>
      <w:bookmarkEnd w:id="52"/>
      <w:r>
        <w:rPr/>
        <w:t>6.3 Vorverkaufsplan (Juni bis August 2027)</w:t>
      </w:r>
    </w:p>
    <w:p>
      <w:pPr>
        <w:pStyle w:val="Normal"/>
        <w:spacing w:lineRule="exact" w:line="276" w:before="0" w:after="120"/>
        <w:jc w:val="both"/>
        <w:rPr/>
      </w:pPr>
      <w:r>
        <w:rPr>
          <w:rFonts w:eastAsia="Arial" w:cs="Arial"/>
          <w:sz w:val="22"/>
          <w:szCs w:val="22"/>
        </w:rPr>
        <w:t>Der Vorverkauf beginnt drei Monate vor der Eröffnung und ist mit einem Budget von 35.000 € netto ausgestattet. Er hat drei Aufgaben: das Ziel von 350 Mitgliedern zur Eröffnung zu sichern, eine Interessentenliste für die ersten Betriebsmonate aufzubauen und den Standort in der Region bekannt zu machen. Die Vorbereitung (Marke, Landingpage, Vertragsmuster, Studiosoftware, Fotomaterial der Bauphase) läuft ab Mietbeginn im April 2027, damit ab Juni verkauft werden kann. Verkauft wird vor Ort in einem Infopoint am Standort (Container oder Bauteilbüro), online über die Landingpage mit Vertragsabschluss und bei Aktionstagen.</w:t>
      </w:r>
    </w:p>
    <w:p>
      <w:pPr>
        <w:pStyle w:val="Normal"/>
        <w:keepNext w:val="true"/>
        <w:spacing w:before="160" w:after="80"/>
        <w:jc w:val="left"/>
        <w:rPr/>
      </w:pPr>
      <w:r>
        <w:rPr>
          <w:rFonts w:eastAsia="Arial" w:cs="Arial"/>
          <w:b/>
          <w:bCs/>
          <w:sz w:val="20"/>
          <w:szCs w:val="20"/>
        </w:rPr>
        <w:t>Tabelle 6.3: Maßnahmen und Budgetaufteilung Vorverkauf (35.000 € netto, indikativ)</w:t>
      </w:r>
    </w:p>
    <w:tbl>
      <w:tblPr>
        <w:tblW w:w="9638" w:type="dxa"/>
        <w:jc w:val="left"/>
        <w:tblInd w:w="0" w:type="dxa"/>
        <w:tblLayout w:type="fixed"/>
        <w:tblCellMar>
          <w:top w:w="40" w:type="dxa"/>
          <w:left w:w="70" w:type="dxa"/>
          <w:bottom w:w="40" w:type="dxa"/>
          <w:right w:w="70" w:type="dxa"/>
        </w:tblCellMar>
      </w:tblPr>
      <w:tblGrid>
        <w:gridCol w:w="1927"/>
        <w:gridCol w:w="3663"/>
        <w:gridCol w:w="1349"/>
        <w:gridCol w:w="2698"/>
      </w:tblGrid>
      <w:tr>
        <w:trPr>
          <w:tblHeader w:val="true"/>
        </w:trPr>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Maßnahme</w:t>
            </w:r>
          </w:p>
        </w:tc>
        <w:tc>
          <w:tcPr>
            <w:tcW w:w="366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Inhalt</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Budget (indikativ)</w:t>
            </w:r>
          </w:p>
        </w:tc>
        <w:tc>
          <w:tcPr>
            <w:tcW w:w="269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Beitrag zum Ziel</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Infopoint am Standort</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Container/Bauteilbüro mit Beratungsplatz, Beschilderung, Bauzaunbanner, Musterausstattung</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Sichtbarkeit am Ort, Abschlüsse vor Ort</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Landingpage und Online-Abschluss</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Website, Vorverkaufsformular, Online-Vertrag, Tracking; Anbindung Studiosoftware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4.000 €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24 % der Abschlüsse in der Branche erfolgen online (DSSV 2025)</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Social Ads und Suchmaschinen</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Meta/Instagram, Google, lokal ausgesteuert auf 15-Minuten-Einzugsgebiet, 3 Monate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Leadgewinnung; Referenz 2,75 € je Lead, 3 Leads je Abschluss (2017)</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Print und Außenwerbung</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Flyer, Plakate, Anzeigen Lokalpresse, Verteilung in Wohngebieten und Betrieben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Reichweite bei Zielgruppen ohne Social Media</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Events</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Tag der offenen Baustelle, HYROX-Probetraining, Eröffnungswochenende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6.000 €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Happy Fit Premium: 145 Abschlüsse an einem Tag</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Empfehlungsprogramm</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Gründungsmitglieder werben Mitglieder; Prämie Aufnahmegebühr-Erlass und Zusatzleistung</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Niedrige Kosten je Neumitglied, hohe Bindung</w:t>
            </w:r>
          </w:p>
        </w:tc>
      </w:tr>
      <w:tr>
        <w:trPr/>
        <w:tc>
          <w:tcPr>
            <w:tcW w:w="192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w:t>
            </w:r>
          </w:p>
        </w:tc>
        <w:tc>
          <w:tcPr>
            <w:tcW w:w="366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35.000 €</w:t>
            </w:r>
          </w:p>
        </w:tc>
        <w:tc>
          <w:tcPr>
            <w:tcW w:w="269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350 Mitglieder zur Eröffnung</w:t>
            </w:r>
          </w:p>
        </w:tc>
      </w:tr>
    </w:tbl>
    <w:p>
      <w:pPr>
        <w:pStyle w:val="Normal"/>
        <w:spacing w:before="60" w:after="200"/>
        <w:jc w:val="left"/>
        <w:rPr/>
      </w:pPr>
      <w:r>
        <w:rPr>
          <w:rFonts w:eastAsia="Arial" w:cs="Arial"/>
          <w:i/>
          <w:iCs/>
          <w:color w:val="5A5A5A"/>
          <w:sz w:val="18"/>
          <w:szCs w:val="18"/>
        </w:rPr>
        <w:t>Quelle: Budgetsumme Excel-Planrechnung. Die Aufteilung auf Maßnahmen ist eine Planungsannahme des Gründers ohne externe Quelle und vor dem Bankgespräch mit Angeboten zu unterlegen. Referenzen: DSSV Eckdaten 2025 (Online-Abschlüsse 24,0 %); Hidden Profits Marketing 2017; BODYMEDIA Clubreport Happy Fit Premium Konstanz 2024.</w:t>
      </w:r>
    </w:p>
    <w:p>
      <w:pPr>
        <w:pStyle w:val="Normal"/>
        <w:spacing w:lineRule="exact" w:line="276" w:before="0" w:after="120"/>
        <w:jc w:val="both"/>
        <w:rPr/>
      </w:pPr>
      <w:r>
        <w:rPr>
          <w:rFonts w:eastAsia="Arial" w:cs="Arial"/>
          <w:sz w:val="22"/>
          <w:szCs w:val="22"/>
        </w:rPr>
        <w:t>Der Vorverkauf arbeitet mit einem gestaffelten Anreiz: Gründungsmitglieder erhalten den Erlass der Aufnahmegebühr, einen festgeschriebenen Beitrag für die Erstlaufzeit und ein Startpaket [Inhalt festzulegen, z. B. Chip-Armband, Einführungstraining, Wellness-Tag]; die Staffel läuft zeitlich aus, damit ein Grund zum sofortigen Abschluss besteht. Wichtig für die Liquidität: Vorverkaufsverträge werden mit Vertragsbeginn zur Eröffnung geschlossen, Beitragszahlungen beginnen im September 2027; das Finanzmodell setzt keine Beitragseinnahmen vor der Eröffnung an. Parallel werden im Vorverkauf Firmenfitness-Gespräche geführt und die Aggregator-Anbindung beantragt (Abschnitt 6.5), damit diese Kanäle mit der Eröffnung aktiv sind.</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Vor dem Bankgespräch zu ergänzen: Angebote für Container/Infopoint, Landingpage und Mediabudget; Name der Agentur oder Freelancer; ein erster Entwurf der Vorverkaufsstaffel. Die Bank wird die 350 Vorverkaufsmitglieder als zentrale Annahme hinterfragen; eine Interessentenliste oder Warteliste aus der Zeit vor dem Vorverkauf ist der beste Beleg.</w:t>
      </w:r>
    </w:p>
    <w:p>
      <w:pPr>
        <w:pStyle w:val="Heading2"/>
        <w:keepNext w:val="true"/>
        <w:spacing w:before="280" w:after="120"/>
        <w:rPr/>
      </w:pPr>
      <w:bookmarkStart w:id="53" w:name="__RefHeading___Toc21207_3809407278"/>
      <w:bookmarkEnd w:id="53"/>
      <w:r>
        <w:rPr/>
        <w:t>6.4 Laufendes Marketing und Budget</w:t>
      </w:r>
    </w:p>
    <w:p>
      <w:pPr>
        <w:pStyle w:val="Normal"/>
        <w:spacing w:lineRule="exact" w:line="276" w:before="0" w:after="120"/>
        <w:jc w:val="both"/>
        <w:rPr/>
      </w:pPr>
      <w:r>
        <w:rPr>
          <w:rFonts w:eastAsia="Arial" w:cs="Arial"/>
          <w:sz w:val="22"/>
          <w:szCs w:val="22"/>
        </w:rPr>
        <w:t>Nach der Eröffnung stehen 4.600 € netto je Monat für laufendes Marketing bereit; in den Monaten 1 bis 3 kommen 6.000 € je Monat für das Eröffnungsmarketing hinzu. Im ersten Betriebsjahr summiert sich das Marketing auf 108.200 € (35.000 € Vorverkauf, 18.000 € Eröffnungsmarketing, 55.200 € laufend), in den Folgejahren auf 55.200 €. Bezogen auf den Nettoumsatz sind das 17,4 % im ersten Jahr (11,8 % ohne Vorverkauf), 5,0 % im zweiten und 4,0 % im dritten Jahr. Der DSSV nennt als Richtwert 4 % vom Nettoumsatz optimal und 5 % maximal (DSSV Leitfaden Kostenmanagement 04/2022); Virtuagym nennt für mittelgroße Studios 500 bis 2.000 € je Monat (Virtuagym 21.05.2026). Das laufende Budget von 4.600 € je Monat ist am DSSV-Richtwert ausgerichtet: Es liegt in der Anlaufphase bewusst über dem Richtwert, im zweiten Jahr mit 5,0 % am oberen Rand und ab dem dritten Jahr mit 4,0 % (55.200 € bei 1.368.522 € Umsatz) auf dem als optimal genannten Wert; bleiben die Neuzugänge bereits in der Anlaufphase hinter dem Plan zurück, greift zuerst das Kostenpaket des pessimistischen Szenarios (Abschnitt 6.7), das bezahlte Werbung reduziert und den Vertrieb auf Kanäle mit geringen Auszahlungen verlagert.</w:t>
      </w:r>
    </w:p>
    <w:p>
      <w:pPr>
        <w:pStyle w:val="Normal"/>
        <w:keepNext w:val="true"/>
        <w:spacing w:before="160" w:after="80"/>
        <w:jc w:val="left"/>
        <w:rPr/>
      </w:pPr>
      <w:r>
        <w:rPr>
          <w:rFonts w:eastAsia="Arial" w:cs="Arial"/>
          <w:b/>
          <w:bCs/>
          <w:sz w:val="20"/>
          <w:szCs w:val="20"/>
        </w:rPr>
        <w:t>Tabelle 6.4: Marketingbudget je Jahr (netto)</w:t>
      </w:r>
    </w:p>
    <w:tbl>
      <w:tblPr>
        <w:tblW w:w="9638" w:type="dxa"/>
        <w:jc w:val="left"/>
        <w:tblInd w:w="0" w:type="dxa"/>
        <w:tblLayout w:type="fixed"/>
        <w:tblCellMar>
          <w:top w:w="40" w:type="dxa"/>
          <w:left w:w="70" w:type="dxa"/>
          <w:bottom w:w="40" w:type="dxa"/>
          <w:right w:w="70" w:type="dxa"/>
        </w:tblCellMar>
      </w:tblPr>
      <w:tblGrid>
        <w:gridCol w:w="2313"/>
        <w:gridCol w:w="1156"/>
        <w:gridCol w:w="1542"/>
        <w:gridCol w:w="1157"/>
        <w:gridCol w:w="1156"/>
        <w:gridCol w:w="2313"/>
      </w:tblGrid>
      <w:tr>
        <w:trPr>
          <w:tblHeader w:val="true"/>
        </w:trPr>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Jahr</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Vorverkauf</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Eröffnung (Monate 1 bis 3)</w:t>
            </w:r>
          </w:p>
        </w:tc>
        <w:tc>
          <w:tcPr>
            <w:tcW w:w="115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Laufend</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Summe</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Anteil am Nettoumsatz</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Vorlauf und Jahr 1 (2027/28)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35.000 €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18.000 €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108.200 €</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17,4 % (11,8 % ohne Vorverkauf)</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2 (2028/29)</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55.200 €</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5,0 %</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3 (2029/30)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55.200 €</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4,0 %</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DSSV-Richtwert</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 optimal, 5 % maximal</w:t>
            </w:r>
          </w:p>
        </w:tc>
      </w:tr>
    </w:tbl>
    <w:p>
      <w:pPr>
        <w:pStyle w:val="Normal"/>
        <w:spacing w:before="60" w:after="200"/>
        <w:jc w:val="left"/>
        <w:rPr/>
      </w:pPr>
      <w:r>
        <w:rPr>
          <w:rFonts w:eastAsia="Arial" w:cs="Arial"/>
          <w:i/>
          <w:iCs/>
          <w:color w:val="5A5A5A"/>
          <w:sz w:val="18"/>
          <w:szCs w:val="18"/>
        </w:rPr>
        <w:t>Quelle: Excel-Planrechnung (Umsatz Jahr 1 622.361 €, Jahr 2 1.101.585 €, Jahr 3 1.368.522 €); DSSV Leitfaden Kostenmanagement 04/2022.</w:t>
      </w:r>
    </w:p>
    <w:p>
      <w:pPr>
        <w:pStyle w:val="Normal"/>
        <w:spacing w:lineRule="exact" w:line="276" w:before="0" w:after="120"/>
        <w:jc w:val="both"/>
        <w:rPr/>
      </w:pPr>
      <w:r>
        <w:rPr>
          <w:rFonts w:eastAsia="Arial" w:cs="Arial"/>
          <w:sz w:val="22"/>
          <w:szCs w:val="22"/>
        </w:rPr>
        <w:t>Das laufende Budget wird nach Wirkung verteilt. Der größte Anteil fließt in lokal ausgesteuerte Online-Werbung (Suchmaschinen, Social Media) mit Landingpage und Online-Abschluss, weil dort Kosten je Lead und Abschluss messbar sind; eine Auswertung von 120 Studios im deutschsprachigen Raum ergab 2,75 € je Lead und rund drei Leads je Abschluss, also 8,25 € variable Werbekosten je gewonnenem Jahresmitglied (Hidden Profits Marketing 2017, Rechercheprotokoll (Anhang I); Wert aus 2017, heute eher höher). Rechnerisch benötigt No.1 in den Monaten 1 bis 3 rund 420 Leads je Monat für 140 Abschlüsse und danach rund 300 Leads für 100 Abschlüsse. Die übrigen Mittel gehen in Content (Trainingsvideos, HYROX-Vorbereitung, Kursplan), Print und Außenwerbung, Aktionen zum Januar und zum Herbst, Bewertungsmanagement und in Events im Studio. Die HYROX-Zone ist dabei der inhaltliche Kern der Kommunikation, weil sie das Studio von allen erfassten Wettbewerbern am Bodensee außer ai fitness Friedrichshafen und Fitness Bunker Konstanz unterscheidet (Quellen: Anhang I).</w:t>
      </w:r>
    </w:p>
    <w:p>
      <w:pPr>
        <w:pStyle w:val="Normal"/>
        <w:keepNext w:val="true"/>
        <w:spacing w:before="160" w:after="80"/>
        <w:jc w:val="left"/>
        <w:rPr/>
      </w:pPr>
      <w:r>
        <w:rPr>
          <w:rFonts w:eastAsia="Arial" w:cs="Arial"/>
          <w:b/>
          <w:bCs/>
          <w:sz w:val="20"/>
          <w:szCs w:val="20"/>
        </w:rPr>
        <w:t>Tabelle 6.5: Kanäle des laufenden Marketings</w:t>
      </w:r>
    </w:p>
    <w:tbl>
      <w:tblPr>
        <w:tblW w:w="9638" w:type="dxa"/>
        <w:jc w:val="left"/>
        <w:tblInd w:w="0" w:type="dxa"/>
        <w:tblLayout w:type="fixed"/>
        <w:tblCellMar>
          <w:top w:w="40" w:type="dxa"/>
          <w:left w:w="70" w:type="dxa"/>
          <w:bottom w:w="40" w:type="dxa"/>
          <w:right w:w="70" w:type="dxa"/>
        </w:tblCellMar>
      </w:tblPr>
      <w:tblGrid>
        <w:gridCol w:w="1734"/>
        <w:gridCol w:w="3856"/>
        <w:gridCol w:w="2313"/>
        <w:gridCol w:w="1734"/>
      </w:tblGrid>
      <w:tr>
        <w:trPr>
          <w:tblHeader w:val="true"/>
        </w:trPr>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Kanal</w:t>
            </w:r>
          </w:p>
        </w:tc>
        <w:tc>
          <w:tcPr>
            <w:tcW w:w="38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Maßnahmen</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Messgröße</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Anteil am laufenden Budget (indikativ)</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Online-Werbung</w:t>
            </w:r>
          </w:p>
        </w:tc>
        <w:tc>
          <w:tcPr>
            <w:tcW w:w="38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Google Ads lokal, Meta/Instagram, Retargeting, Landingpage-Tests</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Kosten je Lead, Leads je Abschluss</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Organisch und Content</w:t>
            </w:r>
          </w:p>
        </w:tc>
        <w:tc>
          <w:tcPr>
            <w:tcW w:w="38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Instagram/TikTok, Google Unternehmensprofil, Bewertungen, Newsletter, Kursplan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Reichweite, Bewertungen, Klickrate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Print und Außenwerbung</w:t>
            </w:r>
          </w:p>
        </w:tc>
        <w:tc>
          <w:tcPr>
            <w:tcW w:w="38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Anzeigen Lokalpresse, Flyer, Bauzaun/Fassade, Fahrzeugbeschriftung</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Gutscheincodes, Nachfragen am Empfang</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Events und Community</w:t>
            </w:r>
          </w:p>
        </w:tc>
        <w:tc>
          <w:tcPr>
            <w:tcW w:w="38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HYROX-Trainingsabende, Probetrainings, Mitgliederevents, Vereinskooperationen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Teilnehmer, Abschlüsse je Event</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20 %</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Empfehlung und Bindung</w:t>
            </w:r>
          </w:p>
        </w:tc>
        <w:tc>
          <w:tcPr>
            <w:tcW w:w="38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Mitglieder-werben-Mitglieder, Willkommenspaket, Jubiläumsaktionen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Empfehlungsquote, Kündigungsquote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15 %</w:t>
            </w:r>
          </w:p>
        </w:tc>
      </w:tr>
    </w:tbl>
    <w:p>
      <w:pPr>
        <w:pStyle w:val="Normal"/>
        <w:spacing w:before="60" w:after="200"/>
        <w:jc w:val="left"/>
        <w:rPr/>
      </w:pPr>
      <w:r>
        <w:rPr>
          <w:rFonts w:eastAsia="Arial" w:cs="Arial"/>
          <w:i/>
          <w:iCs/>
          <w:color w:val="5A5A5A"/>
          <w:sz w:val="18"/>
          <w:szCs w:val="18"/>
        </w:rPr>
        <w:t>Quelle: Planung des Gründers (indikative Aufteilung ohne externe Quelle); Messgrößen nach Hidden Profits Marketing 2017 und DSSV Eckdaten 2022 (Check-ins).</w:t>
      </w:r>
    </w:p>
    <w:p>
      <w:pPr>
        <w:pStyle w:val="Heading2"/>
        <w:keepNext w:val="true"/>
        <w:spacing w:before="280" w:after="120"/>
        <w:rPr/>
      </w:pPr>
      <w:bookmarkStart w:id="54" w:name="__RefHeading___Toc21209_3809407278"/>
      <w:bookmarkEnd w:id="54"/>
      <w:r>
        <w:rPr/>
        <w:t>6.5 Vertriebskanäle und Kooperationen</w:t>
      </w:r>
    </w:p>
    <w:p>
      <w:pPr>
        <w:pStyle w:val="Normal"/>
        <w:spacing w:lineRule="exact" w:line="276" w:before="0" w:after="120"/>
        <w:jc w:val="both"/>
        <w:rPr/>
      </w:pPr>
      <w:r>
        <w:rPr>
          <w:rFonts w:eastAsia="Arial" w:cs="Arial"/>
          <w:sz w:val="22"/>
          <w:szCs w:val="22"/>
        </w:rPr>
        <w:t>Neben dem Direktvertrieb an Privatkunden (Empfang, Probetraining, Online-Abschluss) setzt No.1 auf fünf Kooperationskanäle, die im Finanzmodell nicht als eigene Umsätze angesetzt sind und daher Aufwärtspotenzial darstellen. Ihr Zweck ist es, die geplanten Neuzugänge abzusichern und den Mitgliederbestand breiter zu streuen.</w:t>
      </w:r>
    </w:p>
    <w:p>
      <w:pPr>
        <w:pStyle w:val="Normal"/>
        <w:keepNext w:val="true"/>
        <w:spacing w:before="160" w:after="80"/>
        <w:jc w:val="left"/>
        <w:rPr/>
      </w:pPr>
      <w:r>
        <w:rPr>
          <w:rFonts w:eastAsia="Arial" w:cs="Arial"/>
          <w:b/>
          <w:bCs/>
          <w:sz w:val="20"/>
          <w:szCs w:val="20"/>
        </w:rPr>
        <w:t>Tabelle 6.6: Kooperationskanäle und Ansprechpartner (Ziel, nicht abgeschlossen)</w:t>
      </w:r>
    </w:p>
    <w:tbl>
      <w:tblPr>
        <w:tblW w:w="9638" w:type="dxa"/>
        <w:jc w:val="left"/>
        <w:tblInd w:w="0" w:type="dxa"/>
        <w:tblLayout w:type="fixed"/>
        <w:tblCellMar>
          <w:top w:w="40" w:type="dxa"/>
          <w:left w:w="70" w:type="dxa"/>
          <w:bottom w:w="40" w:type="dxa"/>
          <w:right w:w="70" w:type="dxa"/>
        </w:tblCellMar>
      </w:tblPr>
      <w:tblGrid>
        <w:gridCol w:w="1734"/>
        <w:gridCol w:w="2506"/>
        <w:gridCol w:w="3663"/>
        <w:gridCol w:w="1734"/>
      </w:tblGrid>
      <w:tr>
        <w:trPr>
          <w:tblHeader w:val="true"/>
        </w:trPr>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Kanal</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Partner (Beispiele)</w:t>
            </w:r>
          </w:p>
        </w:tc>
        <w:tc>
          <w:tcPr>
            <w:tcW w:w="366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Potenzial laut Recherche</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Status</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Firmenfitness / BGM Bodensee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ZF Friedrichshafen, Rolls-Royce Power Systems, Airbus Immenstaad</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ZF ca. 10.000 Beschäftigte am Stammsitz; RRPS 6.300 in Friedrichshafen, 500 Einstellungen 2026 geplant; Airbus ca. 2.150 (Snippet)</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[Gespräche zu terminieren]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Firmenfitness / BGM Region Stuttgart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Bosch Feuerbach, HP Böblingen, Mercedes-Benz Sindelfingen</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Bosch rund 14.000; HP 4.000; Mercedes über 31.500 (Snippet)</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[nur bei Standortwahl Stuttgart]</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Aggregatoren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EGYM Wellpass, Hansefit, Urban Sports Club</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1,47 Mio. Aggregator-Mitgliederäquivalente, 76,1 % der Anlagen angebunden; 43,3 % der Anlagen mit BGM-Angebot (2024)</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[Anbindung im Vorverkauf beantragen]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Vereine und Hochschulen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Sportvereine im Einzugsgebiet, Hochschulen [Namen ergänzen]</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Vereins- und Freizeitangebote Rang 3 der Fitnesstrends Deutschland 2026</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[Ansprache Q2 2027]</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HYROX-Community und Events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HYROX-Trainingsgruppen, regionale Wettkämpfe, Laufgruppen</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900.000 Athleten 2025, ca. 100 Races, 15.000 Partnerstudios weltweit, ca. 1.300 DACH</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[Partnerstudio-Status prüfen]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Physiotherapie und Ärzte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Praxen im Umfeld, Rehasport-Anbieter</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Wettbewerber ProSana Überlingen verbindet Fitness und Physio</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[Kooperationsmodell festlegen]</w:t>
            </w:r>
          </w:p>
        </w:tc>
      </w:tr>
    </w:tbl>
    <w:p>
      <w:pPr>
        <w:pStyle w:val="Normal"/>
        <w:spacing w:before="60" w:after="200"/>
        <w:jc w:val="left"/>
        <w:rPr/>
      </w:pPr>
      <w:r>
        <w:rPr>
          <w:rFonts w:eastAsia="Arial" w:cs="Arial"/>
          <w:i/>
          <w:iCs/>
          <w:color w:val="5A5A5A"/>
          <w:sz w:val="18"/>
          <w:szCs w:val="18"/>
        </w:rPr>
        <w:t>Quellen: Rechercheprotokoll (Anhang I; Stuttgarter Zeitung 01.03.2026; DDW Standortprofil Böblingen 06.03.2026; bosch.de; Snippets Schwäbische/Mercedes); DSSV Eckdaten 2026 und 2025; BODYMEDIA HYROX-Zahlen 29.05.2026; BODYMEDIA ACSM-Trends 01.02.2026. Alle Partner sind Ziele; es liegen keine Vereinbarungen vor.</w:t>
      </w:r>
    </w:p>
    <w:p>
      <w:pPr>
        <w:pStyle w:val="Normal"/>
        <w:spacing w:lineRule="exact" w:line="276" w:before="0" w:after="120"/>
        <w:jc w:val="both"/>
        <w:rPr/>
      </w:pPr>
      <w:r>
        <w:rPr>
          <w:rFonts w:eastAsia="Arial" w:cs="Arial"/>
          <w:sz w:val="22"/>
          <w:szCs w:val="22"/>
        </w:rPr>
        <w:t>Firmenfitness richtet sich an die großen Arbeitgeber des jeweiligen Einzugsgebiets; deren Beschäftigtenzahlen sind Zielgrößen, keine Zusagen, und bei ZF Friedrichshafen bestehen Kurzarbeit und Transformationsrisiken (auto.news 09.05.2025). Die Tagbevölkerung Friedrichshafens liegt mit 74.376 Personen und 23.056 Einpendlern deutlich über der Einwohnerzahl, in Böblingen und Sindelfingen pendeln 36.582 bzw. 45.595 Beschäftigte ein (Pendleratlas 2025); Firmenfitness erschließt damit Kunden, die im 15-Minuten-Einzugsgebiet arbeiten, aber nicht wohnen. Angeboten werden Firmentarife mit Arbeitgeberzuschuss, Gesundheitstage im Betrieb und Kurse für Belegschaften; die Verträge bleiben Einzelverträge der Beschäftigten, damit das Ausfallrisiko nicht an einem Firmenvertrag hängt. Aggregatoren wie EGYM Wellpass, Hansefit oder Urban Sports Club liefern Reichweite bei Arbeitgebern, die bereits ein Firmenfitnessprogramm nutzen; die Vergütung je Check-in liegt unter dem eigenen Beitrag, weshalb der Kanal ergänzend und mit Obergrenze eingesetzt wird [Konditionen anfragen]. Der Wettbewerber ProSana in Überlingen zeigt, dass die Kombination aus Fitness und Physiotherapie am Bodensee nachgefragt wird; No.1 kooperiert mit externen Praxen, betreibt aber keine eigene Therapie, weil Anlagen für gesundheitliche Zwecke im Gewerbegebiet nur ausnahmsweise zulässig sind (§ 8 Abs. 3 BauNVO).</w:t>
      </w:r>
    </w:p>
    <w:p>
      <w:pPr>
        <w:pStyle w:val="Normal"/>
        <w:spacing w:lineRule="exact" w:line="276" w:before="0" w:after="120"/>
        <w:jc w:val="both"/>
        <w:rPr/>
      </w:pPr>
      <w:r>
        <w:rPr>
          <w:rFonts w:eastAsia="Arial" w:cs="Arial"/>
          <w:sz w:val="22"/>
          <w:szCs w:val="22"/>
        </w:rPr>
        <w:t>Die HYROX-Community ist der Kanal mit der höchsten Zahlungsbereitschaft. HYROX zählte 2025 rund 900.000 Athleten bei etwa 100 Rennen weltweit, in der Saison 2025/26 über 1,5 Millionen Teilnehmer, für 2026/27 werden über 2 Millionen erwartet; 15.000 Partnerstudios weltweit, davon rund 1.300 im deutschsprachigen Raum, bieten Training an (BODYMEDIA 29.05.2026; endurance.biz 20.07.2026). No.1 bewirbt sich um den Status als Partnerstudio, bietet kostenpflichtige Vorbereitungsprogramme als Spezialkurse an (Kapitel 3.6) und organisiert regelmäßige Trainingsabende und Simulationen, die zugleich als offene Probetrainings dienen.</w:t>
      </w:r>
    </w:p>
    <w:p>
      <w:pPr>
        <w:pStyle w:val="Heading2"/>
        <w:keepNext w:val="true"/>
        <w:spacing w:before="280" w:after="120"/>
        <w:rPr/>
      </w:pPr>
      <w:bookmarkStart w:id="55" w:name="__RefHeading___Toc21211_3809407278"/>
      <w:bookmarkEnd w:id="55"/>
      <w:r>
        <w:rPr/>
        <w:t>6.6 Mitgliederbindung</w:t>
      </w:r>
    </w:p>
    <w:p>
      <w:pPr>
        <w:pStyle w:val="Normal"/>
        <w:spacing w:lineRule="exact" w:line="276" w:before="0" w:after="120"/>
        <w:jc w:val="both"/>
        <w:rPr/>
      </w:pPr>
      <w:r>
        <w:rPr>
          <w:rFonts w:eastAsia="Arial" w:cs="Arial"/>
          <w:sz w:val="22"/>
          <w:szCs w:val="22"/>
        </w:rPr>
        <w:t>Jedes gehaltene Mitglied ersetzt ein zu werbendes: Bei 2.200 Mitgliedern und 2,2 % Kündigungen je Monat müssen im eingeschwungenen Zustand 48 Mitglieder je Monat neu gewonnen werden, nur um den Bestand zu halten. Die Branche verliert im Mittel 25 % ihrer Mitglieder je Jahr, Einzelanlagen 21 bis 25 % (DSSV 2019 zitiert in Kruse 2021; Bechler 2021); nur 52 % der Mitglieder bleiben länger als ein Jahr (Kruse 2021), und 84 % der Neumitglieder kündigen innerhalb von zwei Jahren (Pixformance 2018 zitiert in BODYMEDIA 14.10.2021). Die Verlängerungsbereitschaft liegt gleichwohl bei 82,1 %, nur 7,8 % kündigen aus Unzufriedenheit (DSSV Eckdaten Bezugsjahr 2014, CoGAP 2022). Das Ziel der Bindungsmaßnahmen ist, die Planquote von 2,2 % je Monat zu halten oder zu unterschreiten; die Sensitivität „Kündigungsquote 3,0 % je Monat“ senkt den Bestand nach 24 Monaten auf 1.856 und die Kapitaldienstdeckung im dritten Jahr auf 1,57.</w:t>
      </w:r>
    </w:p>
    <w:p>
      <w:pPr>
        <w:pStyle w:val="ListParagraph"/>
        <w:numPr>
          <w:ilvl w:val="0"/>
          <w:numId w:val="1"/>
        </w:numPr>
        <w:spacing w:lineRule="exact" w:line="276" w:before="0" w:after="60"/>
        <w:jc w:val="left"/>
        <w:rPr/>
      </w:pPr>
      <w:r>
        <w:rPr>
          <w:rFonts w:eastAsia="Arial" w:cs="Arial"/>
          <w:sz w:val="22"/>
          <w:szCs w:val="22"/>
        </w:rPr>
        <w:t>Trainerkontakt als Kernmaßnahme: Zwei Trainerkontakte je Monat halbieren nach einer IHRSA-Auswertung die Kündigungswahrscheinlichkeit (IHRSA 2017 zitiert in BODYMEDIA 14.10.2021). No.1 plant daher betreute Kernzeiten mit mindestens einem Trainer auf der Fläche (Kapitel 3.4), feste Trainingsplan-Termine in Woche 1, 4 und 12 sowie danach alle acht bis zwölf Wochen (Kapitel 7.7).</w:t>
      </w:r>
    </w:p>
    <w:p>
      <w:pPr>
        <w:pStyle w:val="ListParagraph"/>
        <w:numPr>
          <w:ilvl w:val="0"/>
          <w:numId w:val="1"/>
        </w:numPr>
        <w:spacing w:lineRule="exact" w:line="276" w:before="0" w:after="60"/>
        <w:jc w:val="left"/>
        <w:rPr/>
      </w:pPr>
      <w:r>
        <w:rPr>
          <w:rFonts w:eastAsia="Arial" w:cs="Arial"/>
          <w:sz w:val="22"/>
          <w:szCs w:val="22"/>
        </w:rPr>
        <w:t>Check-in-Monitoring: Mitglieder mit weniger als zwei Check-ins in vier Wochen werden über die Studiosoftware markiert und persönlich angesprochen; Branchenreferenz sind 4,5 Check-ins je Mitglied und Monat in Einzelanlagen (DSSV Eckdaten 2022).</w:t>
      </w:r>
    </w:p>
    <w:p>
      <w:pPr>
        <w:pStyle w:val="ListParagraph"/>
        <w:numPr>
          <w:ilvl w:val="0"/>
          <w:numId w:val="1"/>
        </w:numPr>
        <w:spacing w:lineRule="exact" w:line="276" w:before="0" w:after="60"/>
        <w:jc w:val="left"/>
        <w:rPr/>
      </w:pPr>
      <w:r>
        <w:rPr>
          <w:rFonts w:eastAsia="Arial" w:cs="Arial"/>
          <w:sz w:val="22"/>
          <w:szCs w:val="22"/>
        </w:rPr>
        <w:t>App und Kursplan: Kursbuchung, Trainingspläne, Zutritt und Kommunikation laufen über die Mitglieder-App (Kapitel 3.7); ein fester Kursplan mit Indoor Cycling, Mobility, Rücken, Functional und HYROX-Vorbereitung schafft wiederkehrende Termine.</w:t>
      </w:r>
    </w:p>
    <w:p>
      <w:pPr>
        <w:pStyle w:val="ListParagraph"/>
        <w:numPr>
          <w:ilvl w:val="0"/>
          <w:numId w:val="1"/>
        </w:numPr>
        <w:spacing w:lineRule="exact" w:line="276" w:before="0" w:after="60"/>
        <w:jc w:val="left"/>
        <w:rPr/>
      </w:pPr>
      <w:r>
        <w:rPr>
          <w:rFonts w:eastAsia="Arial" w:cs="Arial"/>
          <w:sz w:val="22"/>
          <w:szCs w:val="22"/>
        </w:rPr>
        <w:t>Wellness und Community: Sauna, Dampfbad und Cold Plunge im Premiumtarif sowie HYROX-Trainingsgruppen binden über den Trainingszweck hinaus; ein dokumentiertes Wellness-Upgrade eines Hamburger Clubs erreichte 900 Verträge in 24 Monaten (BODYMEDIA 28.09.2020).</w:t>
      </w:r>
    </w:p>
    <w:p>
      <w:pPr>
        <w:pStyle w:val="ListParagraph"/>
        <w:numPr>
          <w:ilvl w:val="0"/>
          <w:numId w:val="1"/>
        </w:numPr>
        <w:spacing w:lineRule="exact" w:line="276" w:before="0" w:after="60"/>
        <w:jc w:val="left"/>
        <w:rPr/>
      </w:pPr>
      <w:r>
        <w:rPr>
          <w:rFonts w:eastAsia="Arial" w:cs="Arial"/>
          <w:sz w:val="22"/>
          <w:szCs w:val="22"/>
        </w:rPr>
        <w:t>Ruhezeiten statt Kündigung: Mitglieder mit Verletzung, Auslandsaufenthalt oder Elternzeit erhalten Ruhezeiten; Berater nennen eine Ruhequote von 2 bis 8 % (IN-COME 2020), die im Modell nicht gesondert abgebildet ist [im Controlling ausweisen].</w:t>
      </w:r>
    </w:p>
    <w:p>
      <w:pPr>
        <w:pStyle w:val="ListParagraph"/>
        <w:numPr>
          <w:ilvl w:val="0"/>
          <w:numId w:val="1"/>
        </w:numPr>
        <w:spacing w:lineRule="exact" w:line="276" w:before="0" w:after="60"/>
        <w:jc w:val="left"/>
        <w:rPr/>
      </w:pPr>
      <w:r>
        <w:rPr>
          <w:rFonts w:eastAsia="Arial" w:cs="Arial"/>
          <w:sz w:val="22"/>
          <w:szCs w:val="22"/>
        </w:rPr>
        <w:t>Kündigungsgespräch: Jede Kündigung wird mit Grund erfasst und mit einem Rückgewinnungsangebot (Tarifwechsel, Ruhezeit, Flex) beantwortet; die Gründe fließen in die Quartalsauswertung ein.</w:t>
      </w:r>
    </w:p>
    <w:p>
      <w:pPr>
        <w:pStyle w:val="Normal"/>
        <w:spacing w:lineRule="exact" w:line="276" w:before="0" w:after="60"/>
        <w:jc w:val="both"/>
        <w:rPr/>
      </w:pPr>
      <w:r>
        <w:rPr/>
      </w:r>
    </w:p>
    <w:p>
      <w:pPr>
        <w:pStyle w:val="Heading2"/>
        <w:keepNext w:val="true"/>
        <w:spacing w:before="280" w:after="120"/>
        <w:rPr/>
      </w:pPr>
      <w:bookmarkStart w:id="56" w:name="__RefHeading___Toc21213_3809407278"/>
      <w:bookmarkEnd w:id="56"/>
      <w:r>
        <w:rPr/>
        <w:t>6.7 Kennzahlen-Controlling</w:t>
      </w:r>
    </w:p>
    <w:p>
      <w:pPr>
        <w:pStyle w:val="Normal"/>
        <w:spacing w:lineRule="exact" w:line="276" w:before="0" w:after="120"/>
        <w:jc w:val="both"/>
        <w:rPr/>
      </w:pPr>
      <w:r>
        <w:rPr>
          <w:rFonts w:eastAsia="Arial" w:cs="Arial"/>
          <w:sz w:val="22"/>
          <w:szCs w:val="22"/>
        </w:rPr>
        <w:t>Das Marketing-Controlling wird monatlich aus der Studiosoftware und dem Werbekonto erstellt und mit dem Liquiditätsplan abgeglichen. Es umfasst die Vertriebskennzahlen (Leads, Probetrainings, Abschlüsse, Kosten je Abschluss), die Bestandskennzahlen (Neuzugänge, Kündigungen, Nettozuwachs, ruhende Verträge) und die Ertragskennzahlen (Beitrag je Mitglied, Nebenumsatz, Aufnahmegebühren, Rücklastschriften). Die Planwerte stammen aus dem Finanzmodell, die Schwellenwerte aus den Sensitivitäten: Ein Rückstand der Neuzugänge von 20 % gegenüber Plan über drei Monate löst das Maßnahmenpaket aus, das im pessimistischen Szenario hinterlegt ist (dritter Vollzeittrainer erst ab Jahr 3, drei statt vier Empfangs-Minijobs, laufendes Marketing 2.500 € statt 4.600 € je Monat, Reinigung und Sonstiges minus 15 %); die Vertriebsaktivität wird dabei nicht zurückgefahren, sondern von bezahlter Werbung auf Kanäle mit geringen Auszahlungen verlagert (Aktionswochen mit eigenem Personal, Firmenfitness-Ansprache, Empfehlungsprogramm, Events im Studio).</w:t>
      </w:r>
    </w:p>
    <w:p>
      <w:pPr>
        <w:pStyle w:val="Normal"/>
        <w:keepNext w:val="true"/>
        <w:spacing w:before="160" w:after="80"/>
        <w:jc w:val="left"/>
        <w:rPr/>
      </w:pPr>
      <w:r>
        <w:rPr>
          <w:rFonts w:eastAsia="Arial" w:cs="Arial"/>
          <w:b/>
          <w:bCs/>
          <w:sz w:val="20"/>
          <w:szCs w:val="20"/>
        </w:rPr>
        <w:t>Tabelle 6.7: Kennzahlen, Planwerte und Frühwarnschwellen</w:t>
      </w:r>
    </w:p>
    <w:tbl>
      <w:tblPr>
        <w:tblW w:w="9638" w:type="dxa"/>
        <w:jc w:val="left"/>
        <w:tblInd w:w="0" w:type="dxa"/>
        <w:tblLayout w:type="fixed"/>
        <w:tblCellMar>
          <w:top w:w="40" w:type="dxa"/>
          <w:left w:w="70" w:type="dxa"/>
          <w:bottom w:w="40" w:type="dxa"/>
          <w:right w:w="70" w:type="dxa"/>
        </w:tblCellMar>
      </w:tblPr>
      <w:tblGrid>
        <w:gridCol w:w="1927"/>
        <w:gridCol w:w="3084"/>
        <w:gridCol w:w="2121"/>
        <w:gridCol w:w="2505"/>
      </w:tblGrid>
      <w:tr>
        <w:trPr>
          <w:tblHeader w:val="true"/>
        </w:trPr>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Kennzahl</w:t>
            </w:r>
          </w:p>
        </w:tc>
        <w:tc>
          <w:tcPr>
            <w:tcW w:w="308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Planwert (Basis)</w:t>
            </w:r>
          </w:p>
        </w:tc>
        <w:tc>
          <w:tcPr>
            <w:tcW w:w="212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Frühwarnschwelle</w:t>
            </w:r>
          </w:p>
        </w:tc>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Referenz / Quelle</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Neuzugänge je Monat</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140 (M 1 bis 3), 100 (M 4 bis 12), 90 (Jahr 2), 80 (Jahr 3), 75 (ab Jahr 4)</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80 % des Plans in drei Folgemonaten</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Sensitivität minus 20 %: DSCR Jahr 3 0,92; Reserve 1.074.527 €</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Kündigungsquote je Monat</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2,2 % des Bestands</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 2,6 % im Quartalsmittel</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Sensitivität 3,0 %: DSCR Jahr 3 1,57; Branche 25 % p. a.</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Mitgliederbestand</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482 (M 1), 1.429 (M 12), 2.053 (M 24), 2.200 (ab M 29)</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90 % des Planbestands</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Leads und Abschlussquote</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 Leads je Abschluss; 420 Leads (M 1 bis 3), 300 (M 4 bis 12)</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 5 Leads je Abschluss</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Hidden Profits Marketing 2017</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Kosten je Neumitglied (Werbung)</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Referenz 8,25 € (2017); Plan Jahr 1: 73.200 € laufend / 1.320 Neuzugänge = 55 €</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 80 € je Neumitglied</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 Hidden Profits 2017</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Beitrag je Mitglied (ARPU)</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50,15 € brutto / 42,14 € netto je Monat</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47,64 € brutto (pessimistisches Szenario)</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Nebenumsatz je Mitglied</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6,20 € brutto je Monat</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5,00 €</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Aufnahmegebühr-Quote</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70 % der Neumitglieder zahlend</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55 %</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Check-ins je Mitglied und Monat</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Referenz 4,5 (Einzelanlagen 2021)</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3,0 im Bestand; Einzelmitglied unter 2 in 4 Wochen</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Eckdaten 2022</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Ruhende Verträge</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nicht modelliert; Referenz 2 bis 8 %</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 8 %</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IN-COME 2020</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Marketingquote</w:t>
            </w:r>
          </w:p>
        </w:tc>
        <w:tc>
          <w:tcPr>
            <w:tcW w:w="308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17,4 % (Jahr 1), 5,0 % (Jahr 2), 4,0 % (Jahr 3)</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 5 % ab Jahr 3 ohne Bestandszuwachs</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4 / 5 %</w:t>
            </w:r>
          </w:p>
        </w:tc>
      </w:tr>
    </w:tbl>
    <w:p>
      <w:pPr>
        <w:pStyle w:val="Normal"/>
        <w:spacing w:before="60" w:after="200"/>
        <w:jc w:val="left"/>
        <w:rPr/>
      </w:pPr>
      <w:r>
        <w:rPr>
          <w:rFonts w:eastAsia="Arial" w:cs="Arial"/>
          <w:i/>
          <w:iCs/>
          <w:color w:val="5A5A5A"/>
          <w:sz w:val="18"/>
          <w:szCs w:val="18"/>
        </w:rPr>
        <w:t>Quellen: Excel-Planrechnung; DSSV Leitfaden Kostenmanagement 04/2022; BODYMEDIA DSSV-Eckdaten 2022; Hidden Profits Marketing 2017; IN-COME 2020; Kruse 2021. Frühwarnschwellen sind Vorgaben des Gründers.</w:t>
      </w:r>
    </w:p>
    <w:p>
      <w:pPr>
        <w:pStyle w:val="Normal"/>
        <w:spacing w:lineRule="exact" w:line="276" w:before="0" w:after="120"/>
        <w:jc w:val="both"/>
        <w:rPr/>
      </w:pPr>
      <w:r>
        <w:rPr>
          <w:rFonts w:eastAsia="Arial" w:cs="Arial"/>
          <w:sz w:val="22"/>
          <w:szCs w:val="22"/>
        </w:rPr>
        <w:t>Die Kennzahlen werden monatlich in einer Seite zusammengefasst und der Hausbank mit der betriebswirtschaftlichen Auswertung des Steuerberaters zur Verfügung gestellt (Kapitel 7.6). Damit ist für die Bank nachvollziehbar, ob die Mitgliederentwicklung dem Plan folgt, lange bevor sich Abweichungen in der Liquidität zeigen: Die Kasse erreicht im Basisszenario ihr Minimum von 107.975 € erst in Monat 18, Abweichungen beim Mitgliederbestand sind dagegen bereits ab dem ersten Betriebsmonat messbar.</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Vom Gründer vor dem Bankgespräch zu ergänzen: Beträge für 24-Monats- und Flex-Tarif; Inhalt des Startpakets im Vorverkauf; Angebote für Infopoint, Landingpage und Mediabudget; Liste der angesprochenen Arbeitgeber, Vereine und Aggregatoren mit Gesprächsstand; ggf. Ergebnisse einer Interessentenbefragung oder Warteliste. Die Aufteilungen in den Tabellen 6.3 und 6.5 sind indikativ und keine belegten Marktwerte.</w:t>
      </w:r>
      <w:r>
        <w:br w:type="page"/>
      </w:r>
    </w:p>
    <w:p>
      <w:pPr>
        <w:pStyle w:val="Heading1"/>
        <w:spacing w:before="360" w:after="200"/>
        <w:rPr/>
      </w:pPr>
      <w:bookmarkStart w:id="57" w:name="__RefHeading___Toc21215_3809407278"/>
      <w:bookmarkEnd w:id="57"/>
      <w:r>
        <w:rPr/>
        <w:t>7 Organisation, Personal und Rechtsform</w:t>
      </w:r>
    </w:p>
    <w:p>
      <w:pPr>
        <w:pStyle w:val="Normal"/>
        <w:spacing w:lineRule="exact" w:line="276" w:before="0" w:after="120"/>
        <w:jc w:val="both"/>
        <w:rPr/>
      </w:pPr>
      <w:r>
        <w:rPr>
          <w:rFonts w:eastAsia="Arial" w:cs="Arial"/>
          <w:sz w:val="22"/>
          <w:szCs w:val="22"/>
        </w:rPr>
        <w:t>Dieses Kapitel beschreibt, wie das Studio rechtlich verfasst, organisiert und personell besetzt wird, welche externen Partner den Betrieb tragen, nach welchen Prozessen gearbeitet wird und in welchen Schritten das Vorhaben von der Finanzierungszusage bis zur Eröffnung am 1. September 2027 umgesetzt wird. Die Personalzahlen stammen aus dem Stellenplan des Finanzmodells; Gehälter sind Bruttomonatsgehälter, Arbeitgeberkosten enthalten die Sozialabgaben. Die persönliche Haftung des Gründers und die Eigenmittel sind in Kapitel 2.8 und Kapitel 10.3 behandelt und werden hier nur aufgegriffen, soweit sie die Rechtsform betreffen.</w:t>
      </w:r>
    </w:p>
    <w:p>
      <w:pPr>
        <w:pStyle w:val="Heading2"/>
        <w:keepNext w:val="true"/>
        <w:spacing w:before="280" w:after="120"/>
        <w:rPr/>
      </w:pPr>
      <w:bookmarkStart w:id="58" w:name="__RefHeading___Toc21217_3809407278"/>
      <w:bookmarkEnd w:id="58"/>
      <w:r>
        <w:rPr/>
        <w:t>7.1 Rechtsform: GmbH</w:t>
      </w:r>
    </w:p>
    <w:p>
      <w:pPr>
        <w:pStyle w:val="Normal"/>
        <w:spacing w:lineRule="exact" w:line="276" w:before="0" w:after="120"/>
        <w:jc w:val="both"/>
        <w:rPr/>
      </w:pPr>
      <w:r>
        <w:rPr>
          <w:rFonts w:eastAsia="Arial" w:cs="Arial"/>
          <w:sz w:val="22"/>
          <w:szCs w:val="22"/>
        </w:rPr>
        <w:t>Das Studio wird von einer neu zu gründenden Gesellschaft mit beschränkter Haftung betrieben [Firma, z. B. „No.1 Fitness GmbH“, Sitz: Standortgemeinde]. Das Stammkapital beträgt 25.000 € und wird vor der Handelsregisteranmeldung voll eingezahlt; gesetzlich müssen vor der Anmeldung mindestens 12.500 € geleistet sein (§ 7 Abs. 2 GmbHG). Der Gründer hält [100 %] der Geschäftsanteile und ist alleiniger Geschäftsführer; die Gesellschafterversammlung besteht damit aus einer Person. Die GmbH wurde gegenüber einer UG (haftungsbeschränkt) und einem Einzelunternehmen gewählt, weil eine UG mit 1 bis 24.999 € Stammkapital und Pflichtrücklage für ein Fremdkapital von 2,50 Mio. € wenig bankfähig ist und ein Einzelunternehmen die unbeschränkte Haftung mit dem Privatvermögen bedeutet (§ 5a GmbHG; IHK Karlsruhe 01/2025; IHK Konstanz 12/2025). Die Haftungsbeschränkung der GmbH gilt gegenüber Lieferanten, Vermieter und Mitgliedern; gegenüber den Finanzierungspartnern übernimmt der Gründer die persönliche Mitverpflichtung, die Bürgschaftsbank Baden-Württemberg und KfW im Programm 077 verlangen (Kapitel 2.8). Das KfW ERP-Gründerkredit StartGeld (067) wurde geprüft und nicht angesetzt, weil es nur bei einem Gesamtfremdfinanzierungsbedarf bis 200.000 € förderfähig ist (Quellen: Anhang I).</w:t>
      </w:r>
    </w:p>
    <w:p>
      <w:pPr>
        <w:pStyle w:val="Normal"/>
        <w:keepNext w:val="true"/>
        <w:spacing w:before="160" w:after="80"/>
        <w:jc w:val="left"/>
        <w:rPr/>
      </w:pPr>
      <w:r>
        <w:rPr>
          <w:rFonts w:eastAsia="Arial" w:cs="Arial"/>
          <w:b/>
          <w:bCs/>
          <w:sz w:val="20"/>
          <w:szCs w:val="20"/>
        </w:rPr>
        <w:t>Tabelle 7.1: Gründungskosten der GmbH (brutto, sofern nicht anders angegeben)</w:t>
      </w:r>
    </w:p>
    <w:tbl>
      <w:tblPr>
        <w:tblW w:w="9638" w:type="dxa"/>
        <w:jc w:val="left"/>
        <w:tblInd w:w="0" w:type="dxa"/>
        <w:tblLayout w:type="fixed"/>
        <w:tblCellMar>
          <w:top w:w="40" w:type="dxa"/>
          <w:left w:w="70" w:type="dxa"/>
          <w:bottom w:w="40" w:type="dxa"/>
          <w:right w:w="70" w:type="dxa"/>
        </w:tblCellMar>
      </w:tblPr>
      <w:tblGrid>
        <w:gridCol w:w="3276"/>
        <w:gridCol w:w="1928"/>
        <w:gridCol w:w="2313"/>
        <w:gridCol w:w="2120"/>
      </w:tblGrid>
      <w:tr>
        <w:trPr>
          <w:tblHeader w:val="true"/>
        </w:trPr>
        <w:tc>
          <w:tcPr>
            <w:tcW w:w="327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Marktspanne</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Planansatz</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Quelle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Notar, Beurkundung mit Musterprotokoll</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259 bis 271 €</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notar-check 18.05.2026</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Notar, individueller Gesellschaftsvertrag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476 bis 512 €</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notar-check 18.05.2026</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Handelsregistereintragung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150 bis 225 €</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deutschland-rechner 2026; IHK Karlsruhe</w:t>
            </w:r>
          </w:p>
        </w:tc>
      </w:tr>
      <w:tr>
        <w:trPr/>
        <w:tc>
          <w:tcPr>
            <w:tcW w:w="327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Gesamt ohne Beratung</w:t>
            </w:r>
          </w:p>
        </w:tc>
        <w:tc>
          <w:tcPr>
            <w:tcW w:w="192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410 bis 700 €</w:t>
            </w:r>
          </w:p>
        </w:tc>
        <w:tc>
          <w:tcPr>
            <w:tcW w:w="231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212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Rechercheprotokoll (Anhang I)</w:t>
            </w:r>
          </w:p>
        </w:tc>
      </w:tr>
      <w:tr>
        <w:trPr/>
        <w:tc>
          <w:tcPr>
            <w:tcW w:w="327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Gesamt mit Anwalt / Steuerberater</w:t>
            </w:r>
          </w:p>
        </w:tc>
        <w:tc>
          <w:tcPr>
            <w:tcW w:w="192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1.000 bis 1.500 €</w:t>
            </w:r>
          </w:p>
        </w:tc>
        <w:tc>
          <w:tcPr>
            <w:tcW w:w="231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2.500 € (Gründungskosten GmbH, netto)</w:t>
            </w:r>
          </w:p>
        </w:tc>
        <w:tc>
          <w:tcPr>
            <w:tcW w:w="212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Rechercheprotokoll (Anhang I); Excel-Planrechnung</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Beratung Businessplan und Steuern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5.000 € (netto)</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r>
      <w:tr>
        <w:trPr/>
        <w:tc>
          <w:tcPr>
            <w:tcW w:w="327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 Gründung im Investitionsplan</w:t>
            </w:r>
          </w:p>
        </w:tc>
        <w:tc>
          <w:tcPr>
            <w:tcW w:w="192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231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7.500 €</w:t>
            </w:r>
          </w:p>
        </w:tc>
        <w:tc>
          <w:tcPr>
            <w:tcW w:w="212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Excel-Planrechnung</w:t>
            </w:r>
          </w:p>
        </w:tc>
      </w:tr>
    </w:tbl>
    <w:p>
      <w:pPr>
        <w:pStyle w:val="Normal"/>
        <w:spacing w:before="60" w:after="200"/>
        <w:jc w:val="left"/>
        <w:rPr/>
      </w:pPr>
      <w:r>
        <w:rPr>
          <w:rFonts w:eastAsia="Arial" w:cs="Arial"/>
          <w:i/>
          <w:iCs/>
          <w:color w:val="5A5A5A"/>
          <w:sz w:val="18"/>
          <w:szCs w:val="18"/>
        </w:rPr>
        <w:t>Quelle: Rechercheprotokoll (Anhang I; notar-check 18.05.2026, deutschland-rechner 2026, IHK Karlsruhe „ca. 500 €“); Excel-Planrechnung. Der Planansatz enthält einen individuellen Gesellschaftsvertrag mit anwaltlicher Prüfung, Gewerbeanmeldung und Nebenkosten.</w:t>
      </w:r>
    </w:p>
    <w:p>
      <w:pPr>
        <w:pStyle w:val="Normal"/>
        <w:spacing w:lineRule="exact" w:line="276" w:before="0" w:after="120"/>
        <w:jc w:val="both"/>
        <w:rPr/>
      </w:pPr>
      <w:r>
        <w:rPr>
          <w:rFonts w:eastAsia="Arial" w:cs="Arial"/>
          <w:sz w:val="22"/>
          <w:szCs w:val="22"/>
        </w:rPr>
        <w:t>Der Gesellschaftsvertrag wird individuell beurkundet, nicht per Musterprotokoll, weil die Finanzierungspartner Regelungen zu Vertretung, Geschäftsführervergütung, Gewinnverwendung und Nachrangvereinbarungen erwarten und weil die stille Beteiligung der MBG Baden-Württemberg vertraglich anzudocken ist (Quellen: Anhang I). Vorgesehen sind: ein Zustimmungsvorbehalt der Gesellschafterversammlung für Investitionen über [Betrag], ein Geschäftsführergehalt von 3.500 € brutto je Monat ab Juni 2027, eine Thesaurierung der Gewinne bis zur Tilgung der Gründungsdarlehen sowie eine Vertretungsregelung für den Ausfall des Geschäftsführers. Nach der Eintragung folgen Gewerbeanmeldung, steuerliche Erfassung beim Finanzamt mit Option zur monatlichen Umsatzsteuervoranmeldung (Vorsteuererstattung aus der Investition, Kapitel 8.9 und 10.7), Anmeldung bei der zuständigen Berufsgenossenschaft, Betriebsnummer für die Lohnabrechnung sowie die Meldungen an GEMA und GVL. Die Gesellschaft unterliegt der Körperschaftsteuer von 15 % zuzüglich 5,5 % Solidaritätszuschlag und der Gewerbesteuer mit Messzahl 3,5 % ohne Freibetrag; beim Planhebesatz von 390 % (Ravensburg) ergibt sich eine Gesamtbelastung von 29,47 % des Gewinns, in Friedrichshafen (350 %) 28,08 %, in Stuttgart (430 %) 30,88 % (Quellen: Anhang I). Wegen des Verlustvortrags aus der Anlaufphase fallen im Planzeitraum keine Ertragsteuern an.</w:t>
      </w:r>
    </w:p>
    <w:p>
      <w:pPr>
        <w:pStyle w:val="Heading2"/>
        <w:keepNext w:val="true"/>
        <w:spacing w:before="280" w:after="120"/>
        <w:rPr/>
      </w:pPr>
      <w:bookmarkStart w:id="59" w:name="__RefHeading___Toc21219_3809407278"/>
      <w:bookmarkEnd w:id="59"/>
      <w:r>
        <w:rPr/>
        <w:t>7.2 Aufbauorganisation</w:t>
      </w:r>
    </w:p>
    <w:p>
      <w:pPr>
        <w:pStyle w:val="Normal"/>
        <w:spacing w:lineRule="exact" w:line="276" w:before="0" w:after="120"/>
        <w:jc w:val="both"/>
        <w:rPr/>
      </w:pPr>
      <w:r>
        <w:rPr>
          <w:rFonts w:eastAsia="Arial" w:cs="Arial"/>
          <w:sz w:val="22"/>
          <w:szCs w:val="22"/>
        </w:rPr>
        <w:t>Die Organisation ist bewusst flach. Der Gründer führt als Geschäftsführer und Studioleiter die Bereiche Vertrieb und Marketing, Finanzen und Controlling sowie Personal; er ist zugleich Trainer auf der Fläche. Die stellvertretende Studioleitung (Vollzeit, Trainer-A-Lizenz) leitet den Bereich Training und Kurse, verantwortet Trainingsplanung, Kursplan, Einarbeitung der Trainer und Gerätesicherheit und vertritt den Geschäftsführer im Tagesgeschäft; sie erhält eine Handlungsvollmacht, gegebenenfalls Prokura [Entscheidung des Gründers]. Der Bereich Empfang und Service (Mitgliederverwaltung, Verkauf, Shakebar, Beschwerden, Kasse) wird von den zwei Teilzeitkräften geführt, die vier Minijobs am Abend und am Wochenende anleiten. Reinigung, Wellness-Technik und Gebäude werden von der Studioleitung mit den Reinigungs-Minijobs und externen Dienstleistern organisiert. Buchhaltung, Lohnabrechnung, Jahresabschluss und Steuern liegen beim Steuerberater. Ein Beirat oder Mentor aus der Branche (Kapitel 2.5) berät quartalsweise.</w:t>
      </w:r>
    </w:p>
    <w:p>
      <w:pPr>
        <w:pStyle w:val="Normal"/>
        <w:keepNext w:val="true"/>
        <w:spacing w:before="160" w:after="80"/>
        <w:jc w:val="left"/>
        <w:rPr/>
      </w:pPr>
      <w:r>
        <w:rPr>
          <w:rFonts w:eastAsia="Arial" w:cs="Arial"/>
          <w:b/>
          <w:bCs/>
          <w:sz w:val="20"/>
          <w:szCs w:val="20"/>
        </w:rPr>
        <w:t>Tabelle 7.2: Verantwortungsbereiche</w:t>
      </w:r>
    </w:p>
    <w:tbl>
      <w:tblPr>
        <w:tblW w:w="9638" w:type="dxa"/>
        <w:jc w:val="left"/>
        <w:tblInd w:w="0" w:type="dxa"/>
        <w:tblLayout w:type="fixed"/>
        <w:tblCellMar>
          <w:top w:w="40" w:type="dxa"/>
          <w:left w:w="70" w:type="dxa"/>
          <w:bottom w:w="40" w:type="dxa"/>
          <w:right w:w="70" w:type="dxa"/>
        </w:tblCellMar>
      </w:tblPr>
      <w:tblGrid>
        <w:gridCol w:w="1927"/>
        <w:gridCol w:w="1928"/>
        <w:gridCol w:w="3855"/>
        <w:gridCol w:w="1927"/>
      </w:tblGrid>
      <w:tr>
        <w:trPr>
          <w:tblHeader w:val="true"/>
        </w:trPr>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Bereich</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Verantwortlich</w:t>
            </w:r>
          </w:p>
        </w:tc>
        <w:tc>
          <w:tcPr>
            <w:tcW w:w="385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Aufgaben</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Vertretung</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Geschäftsführung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Strategie, Finanzen, Bank und Förderer, Personal, Marketing und Vertrieb, Mietvertrag, Versicherungen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Stellv. Studioleitung (Handlungsvollmacht)</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 und Kurse</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Stellv. Studioleitung</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Trainingsplanung, Kursplan, HYROX-Programme, Einarbeitung, Gerätesicherheit, Trainerkontakte</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Vollzeittrainer</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Empfang und Service</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Teilzeitkräfte Empfang</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Vertragsabschluss, Check-in, Kasse, Shakebar, Beschwerden, Anleitung Minijobs</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Wellness, Reinigung, Gebäude</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mit Stellv. Studioleitung</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Sauna- und Dampfbadbetrieb, Hygiene- und Reinigungsplan, Wartung, Dienstleister</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Stellv. Studioleitung</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Finanzbuchhaltung, Lohn, Steuern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Steuerberater (extern)</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Buchführung, Lohnabrechnung, Umsatzsteuer, Jahresabschluss, BWA</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(Belegfluss)</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Beratung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Beirat / Mentor (extern)</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Quartalsgespräch zu Kennzahlen, Vertrieb, Personal</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r>
    </w:tbl>
    <w:p>
      <w:pPr>
        <w:pStyle w:val="Normal"/>
        <w:spacing w:before="60" w:after="200"/>
        <w:jc w:val="left"/>
        <w:rPr/>
      </w:pPr>
      <w:r>
        <w:rPr>
          <w:rFonts w:eastAsia="Arial" w:cs="Arial"/>
          <w:i/>
          <w:iCs/>
          <w:color w:val="5A5A5A"/>
          <w:sz w:val="18"/>
          <w:szCs w:val="18"/>
        </w:rPr>
        <w:t>Quelle: Organisationsplanung des Gründers; Stellenplan Excel-Planrechnung.</w:t>
      </w:r>
    </w:p>
    <w:p>
      <w:pPr>
        <w:pStyle w:val="Heading2"/>
        <w:keepNext w:val="true"/>
        <w:spacing w:before="280" w:after="120"/>
        <w:rPr/>
      </w:pPr>
      <w:bookmarkStart w:id="60" w:name="__RefHeading___Toc21221_3809407278"/>
      <w:bookmarkEnd w:id="60"/>
      <w:r>
        <w:rPr/>
        <w:t>7.3 Stellenplan und Personalkosten</w:t>
      </w:r>
    </w:p>
    <w:p>
      <w:pPr>
        <w:pStyle w:val="Normal"/>
        <w:spacing w:lineRule="exact" w:line="276" w:before="0" w:after="120"/>
        <w:jc w:val="both"/>
        <w:rPr/>
      </w:pPr>
      <w:r>
        <w:rPr>
          <w:rFonts w:eastAsia="Arial" w:cs="Arial"/>
          <w:sz w:val="22"/>
          <w:szCs w:val="22"/>
        </w:rPr>
        <w:t>Der Stellenplan sieht zur Eröffnung 14 Beschäftigte vor (4 Vollzeit, 4 Teilzeit mit 50 %, 6 Minijobs); ab dem 13. Betriebsmonat kommt ein dritter Vollzeittrainer hinzu, sodass 15 Beschäftigte tätig sind. Rechnerisch entspricht das rund 7,5 Vollzeitäquivalenten im ersten und 8,5 im zweiten Jahr, wenn ein Minijob mit 620 € beim Mindestlohn 2027 von 14,60 € rund 42 Stunden je Monat umfasst (Bundesregierung 21.09.2026). Zum Vergleich beschäftigt die durchschnittliche deutsche Anlage 17,3 Personen einschließlich Teilzeit und Minijobs (DSSV Eckdaten 2026, rechnerisch); nach der letzten amtlichen Kostenstrukturerhebung waren 76,3 % der abhängig Beschäftigten in Fitnesszentren teilzeit- oder geringfügig beschäftigt (Destatis 2010), bei No.1 sind es 10 von 14. Die Arbeitgeberabgaben sind mit 21,3 % für sozialversicherungspflichtige Beschäftigte (Krankenversicherung 7,3 % plus halber durchschnittlicher Zusatzbeitrag 1,45 %, Pflege 1,8 %, Rente 9,3 %, Arbeitslosenversicherung 1,3 %, Insolvenzgeldumlage 0,15 %; lohn-info 2026) und 31,17 % pauschal für Minijobs (Minijob-Zentrale 16.12.2025) angesetzt (Quellen: Anhang I); Die Umlagen U1/U2 und der Beitrag zur Verwaltungs-Berufsgenossenschaft sind in diesem Satz nicht enthalten und im Stellenplan nicht gesondert angesetzt; sie sind aus der Position Sonstiges (1.500 € je Monat) zu decken [Beitragssatz der Berufsgenossenschaft zu ergänzen und mit dem Steuerberater in die Lohnkostenplanung aufzunehmen].</w:t>
      </w:r>
    </w:p>
    <w:p>
      <w:pPr>
        <w:pStyle w:val="Normal"/>
        <w:keepNext w:val="true"/>
        <w:spacing w:before="160" w:after="80"/>
        <w:jc w:val="left"/>
        <w:rPr/>
      </w:pPr>
      <w:r>
        <w:rPr>
          <w:rFonts w:eastAsia="Arial" w:cs="Arial"/>
          <w:b/>
          <w:bCs/>
          <w:sz w:val="20"/>
          <w:szCs w:val="20"/>
        </w:rPr>
        <w:t>Tabelle 7.3: Stellenplan mit Arbeitgeberkosten je Monat (Jahr 1, ohne Gehaltssteigerung)</w:t>
      </w:r>
    </w:p>
    <w:tbl>
      <w:tblPr>
        <w:tblW w:w="9638" w:type="dxa"/>
        <w:jc w:val="left"/>
        <w:tblInd w:w="0" w:type="dxa"/>
        <w:tblLayout w:type="fixed"/>
        <w:tblCellMar>
          <w:top w:w="40" w:type="dxa"/>
          <w:left w:w="70" w:type="dxa"/>
          <w:bottom w:w="40" w:type="dxa"/>
          <w:right w:w="70" w:type="dxa"/>
        </w:tblCellMar>
      </w:tblPr>
      <w:tblGrid>
        <w:gridCol w:w="2891"/>
        <w:gridCol w:w="771"/>
        <w:gridCol w:w="1541"/>
        <w:gridCol w:w="965"/>
        <w:gridCol w:w="1735"/>
        <w:gridCol w:w="1734"/>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Rolle</w:t>
            </w:r>
          </w:p>
        </w:tc>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Anzahl</w:t>
            </w:r>
          </w:p>
        </w:tc>
        <w:tc>
          <w:tcPr>
            <w:tcW w:w="154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Brutto je Person und Monat</w:t>
            </w:r>
          </w:p>
        </w:tc>
        <w:tc>
          <w:tcPr>
            <w:tcW w:w="96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AG-Abgaben</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AG-Kosten gesamt je Monat</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Eintritt</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Geschäftsführung / Studioleitung (Gründer)</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5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3.500 €</w:t>
            </w:r>
          </w:p>
        </w:tc>
        <w:tc>
          <w:tcPr>
            <w:tcW w:w="96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21,3 %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4.246 €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Juni 2027 (Monat −3)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Stellv. Studioleitung / Trainer (Vollzeit, Lizenz A)</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5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3.600 €</w:t>
            </w:r>
          </w:p>
        </w:tc>
        <w:tc>
          <w:tcPr>
            <w:tcW w:w="96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21,3 %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4.367 €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Juli 2027 (Monat −2)</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Fitnesstrainer (Vollzeit)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w:t>
            </w:r>
          </w:p>
        </w:tc>
        <w:tc>
          <w:tcPr>
            <w:tcW w:w="15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3.000 €</w:t>
            </w:r>
          </w:p>
        </w:tc>
        <w:tc>
          <w:tcPr>
            <w:tcW w:w="96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21,3 %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7.278 €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August 2027 (Monat −1)</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Fitnesstrainer (Vollzeit, ab Jahr 2)</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5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3.000 €</w:t>
            </w:r>
          </w:p>
        </w:tc>
        <w:tc>
          <w:tcPr>
            <w:tcW w:w="96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21,3 %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3.639 €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September 2028 (Monat 13)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Trainer / Kursleiter (Teilzeit 50 %)</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w:t>
            </w:r>
          </w:p>
        </w:tc>
        <w:tc>
          <w:tcPr>
            <w:tcW w:w="15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1.650 €</w:t>
            </w:r>
          </w:p>
        </w:tc>
        <w:tc>
          <w:tcPr>
            <w:tcW w:w="96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21,3 %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4.003 €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September 2027 (Eröffnung)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Empfang / Service (Teilzeit 50 %)</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w:t>
            </w:r>
          </w:p>
        </w:tc>
        <w:tc>
          <w:tcPr>
            <w:tcW w:w="15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1.550 €</w:t>
            </w:r>
          </w:p>
        </w:tc>
        <w:tc>
          <w:tcPr>
            <w:tcW w:w="96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21,3 %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3.760 €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September 2027 (Eröffnung)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Empfang / Abend und Wochenende (Minijob)</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w:t>
            </w:r>
          </w:p>
        </w:tc>
        <w:tc>
          <w:tcPr>
            <w:tcW w:w="15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620 €</w:t>
            </w:r>
          </w:p>
        </w:tc>
        <w:tc>
          <w:tcPr>
            <w:tcW w:w="96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31,17 %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3.253 €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September 2027 (Eröffnung)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Reinigung Abend (Minijob)</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w:t>
            </w:r>
          </w:p>
        </w:tc>
        <w:tc>
          <w:tcPr>
            <w:tcW w:w="15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620 €</w:t>
            </w:r>
          </w:p>
        </w:tc>
        <w:tc>
          <w:tcPr>
            <w:tcW w:w="96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31,17 %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1.627 €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September 2027 (Eröffnung)</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Summe Jahr 1 (14 Beschäftigte)</w:t>
            </w:r>
          </w:p>
        </w:tc>
        <w:tc>
          <w:tcPr>
            <w:tcW w:w="77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14</w:t>
            </w:r>
          </w:p>
        </w:tc>
        <w:tc>
          <w:tcPr>
            <w:tcW w:w="154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96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28.533 €</w:t>
            </w:r>
          </w:p>
        </w:tc>
        <w:tc>
          <w:tcPr>
            <w:tcW w:w="173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Monate 1 bis 12</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Summe ab Jahr 2 (15 Beschäftigte, vor Gehaltssteigerung)</w:t>
            </w:r>
          </w:p>
        </w:tc>
        <w:tc>
          <w:tcPr>
            <w:tcW w:w="77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15</w:t>
            </w:r>
          </w:p>
        </w:tc>
        <w:tc>
          <w:tcPr>
            <w:tcW w:w="154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96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32.172 €</w:t>
            </w:r>
          </w:p>
        </w:tc>
        <w:tc>
          <w:tcPr>
            <w:tcW w:w="173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ab Monat 13</w:t>
            </w:r>
          </w:p>
        </w:tc>
      </w:tr>
    </w:tbl>
    <w:p>
      <w:pPr>
        <w:pStyle w:val="Normal"/>
        <w:spacing w:before="60" w:after="200"/>
        <w:jc w:val="left"/>
        <w:rPr/>
      </w:pPr>
      <w:r>
        <w:rPr>
          <w:rFonts w:eastAsia="Arial" w:cs="Arial"/>
          <w:i/>
          <w:iCs/>
          <w:color w:val="5A5A5A"/>
          <w:sz w:val="18"/>
          <w:szCs w:val="18"/>
        </w:rPr>
        <w:t>Quelle: Excel-Planrechnung; Summen entsprechen Excel-Planrechnung 28.533 € und, mit 2,5 % Gehaltssteigerung je Jahr, 33.801 € im dritten Jahr.</w:t>
      </w:r>
    </w:p>
    <w:p>
      <w:pPr>
        <w:pStyle w:val="Normal"/>
        <w:spacing w:lineRule="exact" w:line="276" w:before="0" w:after="120"/>
        <w:jc w:val="both"/>
        <w:rPr/>
      </w:pPr>
      <w:r>
        <w:rPr>
          <w:rFonts w:eastAsia="Arial" w:cs="Arial"/>
          <w:sz w:val="22"/>
          <w:szCs w:val="22"/>
        </w:rPr>
        <w:t>Im ersten Betriebsjahr betragen die Personalkosten 371.144 €; darin sind 28.749 € für die Vorlaufmonate enthalten (Geschäftsführer ab Juni, stellvertretende Studioleitung ab Juli, zwei Trainer ab August 2027), die übrigen 342.395 € entsprechen zwölf Monaten zu 28.533 €. Im zweiten Jahr steigen die Personalkosten mit dem dritten Trainer und 2,5 % Gehaltssteigerung auf 395.716 €, im dritten Jahr auf 405.609 € (33.801 € je Monat), im fünften Jahr auf 426.143 €. Bezogen auf den Nettoumsatz liegt die Personalkostenquote im ersten Jahr anlaufbedingt bei 59,6 %, im zweiten Jahr bei 35,9 % und ab dem dritten Jahr bei 29,6 % (Jahr 4: 29,6 %, Jahr 5: 29,9 %). Der DSSV nennt 32 % als optimalen und 38 % als maximalen Richtwert für betreuungsintensive Anlagen (DSSV Leitfaden Kostenmanagement 04/2022), die amtliche Erhebung 2010 wies 27,9 % aus (Destatis). Ab dem dritten Jahr liegt No.1 damit unter dem DSSV-Optimalwert; das ist der Größe der Anlage geschuldet, die mit einem Stellenplan von 15 Personen 2.200 Mitglieder betreut. Für die Bank ist das zugleich ein Hinweis auf eine knappe Besetzung: Die Branche beschäftigt rechnerisch 17,3 Personen je Anlage bei 1.281 Mitgliedern. Sollte der Betreuungsanspruch des Premiumkonzepts mehr Personal erfordern, zeigt die Sensitivität „Personalkosten +10 %“ (Abschnitt 7.4), dass die Kapitaldienstfähigkeit erhalten bleibt.</w:t>
      </w:r>
    </w:p>
    <w:p>
      <w:pPr>
        <w:pStyle w:val="Normal"/>
        <w:keepNext w:val="true"/>
        <w:spacing w:before="160" w:after="80"/>
        <w:jc w:val="left"/>
        <w:rPr/>
      </w:pPr>
      <w:r>
        <w:rPr>
          <w:rFonts w:eastAsia="Arial" w:cs="Arial"/>
          <w:b/>
          <w:bCs/>
          <w:sz w:val="20"/>
          <w:szCs w:val="20"/>
        </w:rPr>
        <w:t>Tabelle 7.4: Personalkosten und Quote je Planjahr (netto)</w:t>
      </w:r>
    </w:p>
    <w:tbl>
      <w:tblPr>
        <w:tblW w:w="9638" w:type="dxa"/>
        <w:jc w:val="left"/>
        <w:tblInd w:w="0" w:type="dxa"/>
        <w:tblLayout w:type="fixed"/>
        <w:tblCellMar>
          <w:top w:w="40" w:type="dxa"/>
          <w:left w:w="70" w:type="dxa"/>
          <w:bottom w:w="40" w:type="dxa"/>
          <w:right w:w="70" w:type="dxa"/>
        </w:tblCellMar>
      </w:tblPr>
      <w:tblGrid>
        <w:gridCol w:w="2698"/>
        <w:gridCol w:w="1735"/>
        <w:gridCol w:w="1735"/>
        <w:gridCol w:w="1156"/>
        <w:gridCol w:w="2314"/>
      </w:tblGrid>
      <w:tr>
        <w:trPr>
          <w:tblHeader w:val="true"/>
        </w:trPr>
        <w:tc>
          <w:tcPr>
            <w:tcW w:w="269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Jahr</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Personalkosten</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Nettoumsatz</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Quote</w:t>
            </w:r>
          </w:p>
        </w:tc>
        <w:tc>
          <w:tcPr>
            <w:tcW w:w="231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DSSV-Richtwert</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 (inkl. 28.749 € Vorlauf)</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371.144 €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622.361 €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59,6 %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32 % optimal / 38 % maximal</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2</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395.716 €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1.101.585 €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35,9 %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405.609 €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1.368.522 €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29,6 %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4</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415.749 €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1.403.873 €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29,6 %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426.143 €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1.427.024 €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29,9 %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bl>
    <w:p>
      <w:pPr>
        <w:pStyle w:val="Normal"/>
        <w:spacing w:before="60" w:after="200"/>
        <w:jc w:val="left"/>
        <w:rPr/>
      </w:pPr>
      <w:r>
        <w:rPr>
          <w:rFonts w:eastAsia="Arial" w:cs="Arial"/>
          <w:i/>
          <w:iCs/>
          <w:color w:val="5A5A5A"/>
          <w:sz w:val="18"/>
          <w:szCs w:val="18"/>
        </w:rPr>
        <w:t>Quelle: Excel-Planrechnung; DSSV Leitfaden Kostenmanagement 04/2022.</w:t>
      </w:r>
    </w:p>
    <w:p>
      <w:pPr>
        <w:pStyle w:val="Heading2"/>
        <w:keepNext w:val="true"/>
        <w:spacing w:before="280" w:after="120"/>
        <w:rPr/>
      </w:pPr>
      <w:bookmarkStart w:id="61" w:name="__RefHeading___Toc21223_3809407278"/>
      <w:bookmarkEnd w:id="61"/>
      <w:r>
        <w:rPr/>
        <w:t>7.4 Gehaltsbenchmarks</w:t>
      </w:r>
    </w:p>
    <w:p>
      <w:pPr>
        <w:pStyle w:val="Normal"/>
        <w:spacing w:lineRule="exact" w:line="276" w:before="0" w:after="120"/>
        <w:jc w:val="both"/>
        <w:rPr/>
      </w:pPr>
      <w:r>
        <w:rPr>
          <w:rFonts w:eastAsia="Arial" w:cs="Arial"/>
          <w:sz w:val="22"/>
          <w:szCs w:val="22"/>
        </w:rPr>
        <w:t>Die Gehaltsansätze wurden mit den Vergütungsdaten 2026 abgeglichen. Fitnesstrainerinnen und -trainer verdienen bundesweit im Median 2.942 € brutto je Monat (Quartile 2.683 bis 3.227 €), in Baden-Württemberg 3.081 € beziehungsweise 38.203 € im Jahr; Studioleitungen (branchenübergreifende Berufsgruppe) im Median 5.379 €, unteres Quartil 4.685 €, in Baden-Württemberg 5.632 € beziehungsweise 69.842 € im Jahr (GEHALT.de 2026). Die Monatswerte von GEHALT.de entsprechen dem Jahreswert geteilt durch 12,4, also einschließlich Sonderzahlungen; auf zwölf Monate umgerechnet sind das 3.184 € für Trainer und 5.820 € für Studioleitungen in Baden-Württemberg (Prüfung). Der gesetzliche Mindestlohn beträgt 13,90 € (2026) und 14,60 € (2027), die Minijob-Grenze 603 € (2026) und 633 € (2027); der Planansatz von 620 € je Minijob liegt unter der Grenze 2027 (Bundesregierung 21.09.2026; Minijob-Zentrale 09.12.2025).</w:t>
      </w:r>
    </w:p>
    <w:p>
      <w:pPr>
        <w:pStyle w:val="Normal"/>
        <w:keepNext w:val="true"/>
        <w:spacing w:before="160" w:after="80"/>
        <w:jc w:val="left"/>
        <w:rPr/>
      </w:pPr>
      <w:r>
        <w:rPr>
          <w:rFonts w:eastAsia="Arial" w:cs="Arial"/>
          <w:b/>
          <w:bCs/>
          <w:sz w:val="20"/>
          <w:szCs w:val="20"/>
        </w:rPr>
        <w:t>Tabelle 7.5: Planansätze im Vergleich zu Marktgehältern 2026 (brutto je Monat)</w:t>
      </w:r>
    </w:p>
    <w:tbl>
      <w:tblPr>
        <w:tblW w:w="9638" w:type="dxa"/>
        <w:jc w:val="left"/>
        <w:tblInd w:w="0" w:type="dxa"/>
        <w:tblLayout w:type="fixed"/>
        <w:tblCellMar>
          <w:top w:w="40" w:type="dxa"/>
          <w:left w:w="70" w:type="dxa"/>
          <w:bottom w:w="40" w:type="dxa"/>
          <w:right w:w="70" w:type="dxa"/>
        </w:tblCellMar>
      </w:tblPr>
      <w:tblGrid>
        <w:gridCol w:w="2313"/>
        <w:gridCol w:w="1734"/>
        <w:gridCol w:w="3085"/>
        <w:gridCol w:w="2505"/>
      </w:tblGrid>
      <w:tr>
        <w:trPr>
          <w:tblHeader w:val="true"/>
        </w:trPr>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Rolle</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Planansatz</w:t>
            </w:r>
          </w:p>
        </w:tc>
        <w:tc>
          <w:tcPr>
            <w:tcW w:w="308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Benchmark</w:t>
            </w:r>
          </w:p>
        </w:tc>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Einordnung</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Geschäftsführung / Studioleitung (Gründer)</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3.500 €</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Studioleitung Median 5.379 €, unteres Quartil 4.685 €, BW 5.632 €</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Bewusster Gehaltsverzicht in der Anlaufphase; Privatbedarf siehe Tabelle 2.5</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Stellv. Studioleitung / Trainer (Lizenz A)</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3.600 €</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Trainer BW 3.081 €; Studioleitung unteres Quartil 4.685 €</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Erfahrene Trainerkraft mit Leitungsaufgaben; Rekrutierungsrisiko, siehe Hinweis</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Fitnesstrainer Vollzeit</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3.000 €</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Median D 2.942 €, BW 3.081 €, Quartile 2.683 bis 3.227 €</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Innerhalb der Quartile, knapp unter BW-Median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Trainer / Kursleiter Teilzeit 50 %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1.650 € (entspricht 3.300 € Vollzeit)</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Trainer BW 3.081 €</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 BW-Median; Kursleiter mit Zusatzlizenzen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Empfang / Service Teilzeit 50 %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1.550 € (entspricht 3.100 € Vollzeit)</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Mindestlohn 2027 14,60 € = ca. 2.530 € bei 40 h</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 Mindestlohn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Minijobs Empfang, Reinigung</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620 €</w:t>
            </w:r>
          </w:p>
        </w:tc>
        <w:tc>
          <w:tcPr>
            <w:tcW w:w="3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Minijob-Grenze 2027 633 €; Mindestlohn 14,60 € = ca. 42 h je Monat</w:t>
            </w:r>
          </w:p>
        </w:tc>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Innerhalb der Grenze</w:t>
            </w:r>
          </w:p>
        </w:tc>
      </w:tr>
    </w:tbl>
    <w:p>
      <w:pPr>
        <w:pStyle w:val="Normal"/>
        <w:spacing w:before="60" w:after="200"/>
        <w:jc w:val="left"/>
        <w:rPr/>
      </w:pPr>
      <w:r>
        <w:rPr>
          <w:rFonts w:eastAsia="Arial" w:cs="Arial"/>
          <w:i/>
          <w:iCs/>
          <w:color w:val="5A5A5A"/>
          <w:sz w:val="18"/>
          <w:szCs w:val="18"/>
        </w:rPr>
        <w:t>Quelle: Excel-Planrechnung; GEHALT.de Fitnesstrainer/-in und Studioleiter/-in 2026; Bundesregierung 21.09.2026 (Mindestlohn); Minijob-Zentrale 09.12.2025. Umrechnung Mindestlohn auf Monat: 14,60 € x 173,3 h.</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Bankrelevant: Der Ansatz für die stellvertretende Studioleitung (3.600 €) liegt unter dem unteren Quartil für Studioleitungen (4.685 €). Die Sensitivität „Personalkosten +10 %“ zeigt, dass ein marktgerechteres Gehalt tragbar ist (EBITDA Jahr 3 358.399 €, Kapitaldienstdeckung Jahr 3 1,91). Der Gründer sollte die Position vor dem Bankgespräch mit einer konkreten Person und deren Gehaltsvorstellung unterlegen [Name, Lebenslauf, Absichtserklärung]. Das eigene Gehalt von 3.500 € ist mit dem privaten Finanzbedarf (Tabelle 2.5) abzustimmen; eine Erhöhung ab Jahr 3 ist im Modell über die Gehaltssteigerung von 2,5 % je Jahr nur teilweise abgebildet.</w:t>
      </w:r>
    </w:p>
    <w:p>
      <w:pPr>
        <w:pStyle w:val="Heading2"/>
        <w:keepNext w:val="true"/>
        <w:spacing w:before="280" w:after="120"/>
        <w:rPr/>
      </w:pPr>
      <w:bookmarkStart w:id="62" w:name="__RefHeading___Toc21225_3809407278"/>
      <w:bookmarkEnd w:id="62"/>
      <w:r>
        <w:rPr/>
        <w:t>7.5 Öffnungszeiten und Schichtmodell</w:t>
      </w:r>
    </w:p>
    <w:p>
      <w:pPr>
        <w:pStyle w:val="Normal"/>
        <w:spacing w:lineRule="exact" w:line="276" w:before="0" w:after="120"/>
        <w:jc w:val="both"/>
        <w:rPr/>
      </w:pPr>
      <w:r>
        <w:rPr>
          <w:rFonts w:eastAsia="Arial" w:cs="Arial"/>
          <w:sz w:val="22"/>
          <w:szCs w:val="22"/>
        </w:rPr>
        <w:t>Das Studio öffnet montags bis freitags von 6:00 bis 23:00 Uhr und an Samstagen, Sonntagen und Feiertagen von 8:00 bis 21:00 Uhr, zusammen 111 Stunden je Woche; davon sind 83 Stunden Kernzeit mit Empfang und Trainer besetzt (werktags 8:00 bis 21:00 Uhr, am Wochenende 9:00 bis 18:00 Uhr), 28 Stunden Randzeit laufen über das Zutrittssystem (Kapitel 3.4, Tabelle 3.5). Das Modell folgt dem in der Branche etablierten Hybridansatz mit besetzten Kernzeiten und Zutrittssystem in den Randzeiten (GymAccess 14.12.2025) und liegt zwischen dem betreuten Premiummodell des Happy Fit Premium Konstanz (6 bis 22 Uhr werktags, 9 bis 19 Uhr am Wochenende) und dem unbesetzten 24/7-Modell von 8Black (Quellen: Anhang I). Wellnessbereich, Kursbetrieb und Probetrainings finden nur in der Kernzeit statt; in der Randzeit sind Zutritt, Videoaufzeichnung und Notruf aktiv (Abschnitt 7.7).</w:t>
      </w:r>
    </w:p>
    <w:p>
      <w:pPr>
        <w:pStyle w:val="Normal"/>
        <w:keepNext w:val="true"/>
        <w:spacing w:before="160" w:after="80"/>
        <w:jc w:val="left"/>
        <w:rPr/>
      </w:pPr>
      <w:r>
        <w:rPr>
          <w:rFonts w:eastAsia="Arial" w:cs="Arial"/>
          <w:b/>
          <w:bCs/>
          <w:sz w:val="20"/>
          <w:szCs w:val="20"/>
        </w:rPr>
        <w:t>Tabelle 7.6: Wochenbesetzung in der Kernzeit (Regelwoche)</w:t>
      </w:r>
    </w:p>
    <w:tbl>
      <w:tblPr>
        <w:tblW w:w="9638" w:type="dxa"/>
        <w:jc w:val="left"/>
        <w:tblInd w:w="0" w:type="dxa"/>
        <w:tblLayout w:type="fixed"/>
        <w:tblCellMar>
          <w:top w:w="40" w:type="dxa"/>
          <w:left w:w="70" w:type="dxa"/>
          <w:bottom w:w="40" w:type="dxa"/>
          <w:right w:w="70" w:type="dxa"/>
        </w:tblCellMar>
      </w:tblPr>
      <w:tblGrid>
        <w:gridCol w:w="1734"/>
        <w:gridCol w:w="2121"/>
        <w:gridCol w:w="1927"/>
        <w:gridCol w:w="2121"/>
        <w:gridCol w:w="1735"/>
      </w:tblGrid>
      <w:tr>
        <w:trPr>
          <w:tblHeader w:val="true"/>
        </w:trPr>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Schicht</w:t>
            </w:r>
          </w:p>
        </w:tc>
        <w:tc>
          <w:tcPr>
            <w:tcW w:w="212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Zeit</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Empfang</w:t>
            </w:r>
          </w:p>
        </w:tc>
        <w:tc>
          <w:tcPr>
            <w:tcW w:w="212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Trainer auf der Fläche</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Kurse</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Frühschicht Mo bis Fr</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8:00 bis 14:30 Uhr</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Teilzeitkraft</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Trainer (Vollzeit oder Stellv. Studioleitung)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Vormittagskurse (Kursleiter Teilzeit)</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Spätschicht Mo bis Fr</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14:30 bis 21:00 Uhr</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Teilzeitkraft bis 17 Uhr, danach Minijob</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 Trainer ab 17 Uhr (Stoßzeit)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Abendkurse, HYROX-Training (Kursleiter, Trainer)</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Wochenende und Feiertage</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9:00 bis 18:00 Uhr</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Minijob</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Trainer (rollierend)</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Wochenendkurse, HYROX-Simulation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Randzeiten</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6:00 bis 8:00, 21:00 bis 23:00 Uhr (Mo bis Fr); 8:00 bis 9:00, 18:00 bis 21:00 Uhr (Wochenende)</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unbesetzt, Zutrittssystem</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Betreuung; Kameras, Notruf</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Kurse, kein Wellness</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21:00 Uhr (Mo bis Fr), ab 18:00 Uhr (Wochenende)</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 Reinigungs-Minijobs, Tagesreinigung durch Empfang</w:t>
            </w:r>
          </w:p>
        </w:tc>
      </w:tr>
    </w:tbl>
    <w:p>
      <w:pPr>
        <w:pStyle w:val="Normal"/>
        <w:spacing w:before="60" w:after="200"/>
        <w:jc w:val="left"/>
        <w:rPr/>
      </w:pPr>
      <w:r>
        <w:rPr>
          <w:rFonts w:eastAsia="Arial" w:cs="Arial"/>
          <w:i/>
          <w:iCs/>
          <w:color w:val="5A5A5A"/>
          <w:sz w:val="18"/>
          <w:szCs w:val="18"/>
        </w:rPr>
        <w:t>Quelle: Öffnungszeiten Kapitel 3.4; Stellenplan Excel-Planrechnung. Wochenstunden: 111 geöffnet, 83 besetzt, 28 Randzeit.</w:t>
      </w:r>
    </w:p>
    <w:p>
      <w:pPr>
        <w:pStyle w:val="Normal"/>
        <w:spacing w:lineRule="exact" w:line="276" w:before="0" w:after="120"/>
        <w:jc w:val="both"/>
        <w:rPr/>
      </w:pPr>
      <w:r>
        <w:rPr>
          <w:rFonts w:eastAsia="Arial" w:cs="Arial"/>
          <w:sz w:val="22"/>
          <w:szCs w:val="22"/>
        </w:rPr>
        <w:t>Die verfügbaren Arbeitsstunden decken die Kernzeit mit Reserve: Für den Empfang stehen je Woche rund 40 Stunden aus den zwei Teilzeitkräften und rund 40 Stunden aus den vier Minijobs zur Verfügung, die 83 Kernzeitstunden werden durch Gründer und stellvertretende Studioleitung ergänzt. Für die Fläche stehen 160 Stunden aus vier Vollzeitkräften (einschließlich Gründer und stellvertretender Studioleitung, deren Verwaltungsanteil abzuziehen ist) und 40 Stunden aus den zwei Teilzeit-Kursleitern zur Verfügung; benötigt werden 83 Stunden Grundbesetzung, 20 Stunden Doppelbesetzung am Abend und die Kursstunden [Kursplan mit Stundenzahl vom Gründer festzulegen]. Urlaub und Krankheit werden über die rollierende Wochenendbesetzung und die Minijobs aufgefangen; für Spitzen wird ein Pool freier Kursleiter auf Honorarbasis aufgebaut [im Modell nicht angesetzt]. Der Dienstplan wird über die Studiosoftware oder ein Dienstplantool geführt; Arbeitszeiten werden nach dem Arbeitszeitgesetz erfasst.</w:t>
      </w:r>
    </w:p>
    <w:p>
      <w:pPr>
        <w:pStyle w:val="Heading2"/>
        <w:keepNext w:val="true"/>
        <w:spacing w:before="280" w:after="120"/>
        <w:rPr/>
      </w:pPr>
      <w:bookmarkStart w:id="63" w:name="__RefHeading___Toc21227_3809407278"/>
      <w:bookmarkEnd w:id="63"/>
      <w:r>
        <w:rPr/>
        <w:t>7.6 Externe Partner und Dienstleister</w:t>
      </w:r>
    </w:p>
    <w:p>
      <w:pPr>
        <w:pStyle w:val="Normal"/>
        <w:spacing w:lineRule="exact" w:line="276" w:before="0" w:after="120"/>
        <w:jc w:val="both"/>
        <w:rPr/>
      </w:pPr>
      <w:r>
        <w:rPr>
          <w:rFonts w:eastAsia="Arial" w:cs="Arial"/>
          <w:sz w:val="22"/>
          <w:szCs w:val="22"/>
        </w:rPr>
        <w:t>Der Betrieb stützt sich auf externe Partner, deren Kosten im Finanzmodell als Sachkosten angesetzt und mit Marktwerten abgeglichen sind (Quellen: Anhang I). Verträge werden vor der Eröffnung geschlossen, Angebote liegen dem Plan bei [Angebote einholen].</w:t>
      </w:r>
    </w:p>
    <w:p>
      <w:pPr>
        <w:pStyle w:val="Normal"/>
        <w:keepNext w:val="true"/>
        <w:spacing w:before="160" w:after="80"/>
        <w:jc w:val="left"/>
        <w:rPr/>
      </w:pPr>
      <w:r>
        <w:rPr>
          <w:rFonts w:eastAsia="Arial" w:cs="Arial"/>
          <w:b/>
          <w:bCs/>
          <w:sz w:val="20"/>
          <w:szCs w:val="20"/>
        </w:rPr>
        <w:t>Tabelle 7.7: Externe Partner, Planansatz und Marktreferenz (netto)</w:t>
      </w:r>
    </w:p>
    <w:tbl>
      <w:tblPr>
        <w:tblW w:w="9638" w:type="dxa"/>
        <w:jc w:val="left"/>
        <w:tblInd w:w="0" w:type="dxa"/>
        <w:tblLayout w:type="fixed"/>
        <w:tblCellMar>
          <w:top w:w="40" w:type="dxa"/>
          <w:left w:w="70" w:type="dxa"/>
          <w:bottom w:w="40" w:type="dxa"/>
          <w:right w:w="70" w:type="dxa"/>
        </w:tblCellMar>
      </w:tblPr>
      <w:tblGrid>
        <w:gridCol w:w="2313"/>
        <w:gridCol w:w="1734"/>
        <w:gridCol w:w="3470"/>
        <w:gridCol w:w="2120"/>
      </w:tblGrid>
      <w:tr>
        <w:trPr>
          <w:tblHeader w:val="true"/>
        </w:trPr>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Partner / Leistung</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Planansatz</w:t>
            </w:r>
          </w:p>
        </w:tc>
        <w:tc>
          <w:tcPr>
            <w:tcW w:w="347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Marktreferenz</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Auswahlkriterien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Steuerberater: Buchhaltung, Lohn, USt-Voranmeldung, Jahresabschluss, BWA</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1.000 € je Monat (12.000 € je Jahr)</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Laufende GmbH-Buchhaltung 600 bis 1.200 € je Monat, Jahresabschluss 3.500 bis 7.000 € je Jahr; Lohn 18 bis 25 € je Mitarbeiter; DSSV 1,2 bis 1,5 % vom Umsatz</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Branchenerfahrung Fitness, monatliche BWA und Liquiditätsbericht für die Bank [Angebot]</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Studiosoftware und Zutritt (z. B. Magicline, aidoo, Fitogram)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450 € je Monat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Magicline Pro 449 € je Monat (bis 7.500 Mitglieder), Startpaket 399 € (FitPro Tools 2026, Sekundärquelle); Software 200 bis 800 € je Monat (GymAccess 2026)</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SEPA, Kündigungsbutton, App, Kursbuchung, Zutritt, Auswertungen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Zahlungsdienstleister (SEPA-Lastschrift)</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0,8 % vom Bruttobeitrag</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0,08 bis 0,35 € je Lastschrift, Rücklastschrift bis über 10 € (WHK 2026)</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Rücklastschriftmanagement, Mahnwesen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Gerätewartung und Herstellerservice (Atlantis, Prime, Cardio-Hersteller)</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5 % des Gerätewerts je Jahr = 31.160 € (Jahr 3)</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Wartung ab 53 € je Gerät, DGUV-Sichtprüfung ab 62 € je Gerät (KERKMANN/one-bear); 200 bis 500 € je Monat mittleres Studio (Virtuagym 2026)</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Wartungsvertrag mit Reaktionszeit, Ersatzteile für Importgeräte (Importanteil 268.570 €)</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 Material, Hygiene, Fremdreinigung Nassbereich</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2.200 € je Monat zzgl. 2 Minijobs (1.627 €)</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2,00 bis 3,00 € je m² und Monat (3.950 bis 5.926 € für 1.975 m²); Unterhaltsreinigung 0,80 bis 1,50 € je m² je Reinigung (CleanCalc 2026)</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Hygieneplan Sauna/Dampfbad, Legionellenprüfung</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Versicherungen (Betriebshaftpflicht, Inhalt/Elektronik, Betriebsunterbrechung, Glas, Rechtsschutz)</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900 € je Monat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Großes Studio 500 bis 1.500 € je Monat (GymAccess 2026); Durchschnittsstudio 250 bis 280 € (DSSV 2022); Kleinstudio-Pakete 39 bis 79 € (ODV)</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Versicherungssumme Inventar ca. 623.196 € Gerätewert plus Ausbau; Deckung für unbesetzte Randzeiten [individuelles Angebot]</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 GVL, Rundfunkbeitrag</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350 € je Monat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 M-U 2026: 1.988 € je Jahr für 2.000 m² bei Jahreszahlung (166 € je Monat, bei Monatszahlung 199 €), zzgl. 20 % GVL ca. 199 bis 239 € je Monat; Sauna-Tarif 259,50 € je Jahr bis 100 m²; Rundfunkbeitrag 18,36 € je Monat (9 bis 19 Beschäftigte); DSSV-Richtwert gesamt 250 bis 400 €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Anmeldung vor Eröffnung; DSSV-Mitgliedschaft für Gesamtvertragsnachlass prüfen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Telekommunikation, IT, Kameras</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250 € je Monat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Telefon/Internet 100 € je Monat</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Internetanbindung für Zutritt, Kameras, Musik</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Instandhaltung Gebäude und Technik (Lüftung, Sauna, Sanitär)</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4,00 € je m² und Jahr = 7.902 €</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0,30 bis 0,90 € je m² und Monat, das sind 3,60 bis 10,80 € je m² und Jahr (IN-COME 2020); Planansatz am unteren Rand</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Wartungsverträge RLT-Anlage, Sauna, Dampfbad, Cold Plunge</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Marketingagentur / Freelancer</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 Marketingbudget (Kapitel 6)</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Lokale Referenzen Fitness</w:t>
            </w:r>
          </w:p>
        </w:tc>
      </w:tr>
    </w:tbl>
    <w:p>
      <w:pPr>
        <w:pStyle w:val="Normal"/>
        <w:spacing w:before="60" w:after="200"/>
        <w:jc w:val="left"/>
        <w:rPr/>
      </w:pPr>
      <w:r>
        <w:rPr>
          <w:rFonts w:eastAsia="Arial" w:cs="Arial"/>
          <w:i/>
          <w:iCs/>
          <w:color w:val="5A5A5A"/>
          <w:sz w:val="18"/>
          <w:szCs w:val="18"/>
        </w:rPr>
        <w:t>Quellen: Excel-Planrechnung; Rechercheprotokoll (Anhang I; Steuerberater Beck 2026, LohnDialog 2026, DSSV Leitfaden 04/2022, FitPro Tools 2026, GymAccess 2026, WHK 2026, KERKMANN/one-bear, Virtuagym 21.05.2026, CleanCalc 08/2026, ODV, GEMA Tarif M-U 2026, rundfunkbeitrag.de, IN-COME 14.06.2020).</w:t>
      </w:r>
    </w:p>
    <w:p>
      <w:pPr>
        <w:pStyle w:val="Normal"/>
        <w:spacing w:lineRule="exact" w:line="276" w:before="0" w:after="120"/>
        <w:jc w:val="both"/>
        <w:rPr/>
      </w:pPr>
      <w:r>
        <w:rPr>
          <w:rFonts w:eastAsia="Arial" w:cs="Arial"/>
          <w:sz w:val="22"/>
          <w:szCs w:val="22"/>
        </w:rPr>
        <w:t>Drei Punkte sind vor dem Bankgespräch zu klären. Erstens liegt der Reinigungsansatz mit 2.200 € Material und Fremdleistung zuzüglich 1.627 € für zwei Minijobs (zusammen 3.827 € je Monat) knapp unter dem unteren DSSV-Richtwert von 3.950 € für die Fläche; die Tagesreinigung durch das Empfangspersonal ist eingerechnet, ein Angebot für die Nassbereichsreinigung muss den Ansatz bestätigen. Zweitens ist die Versicherungsprämie für ein Studio dieser Größe mit Wellnessbereich und unbesetzten Randzeiten nicht öffentlich belegbar (offene Punkte); der Ansatz von 900 € je Monat liegt in der Mitte der Spanne für große Studios und ist durch ein individuelles Angebot zu ersetzen. Drittens liegt der Instandhaltungsansatz von 4,00 € je m² und Jahr am unteren Rand der Beraterspanne von 3,60 bis 10,80 € (IN-COME 2020); in den ersten Jahren ist das wegen der Neuausstattung und der Herstellergarantien vertretbar, ab dem dritten Jahr sind Wartungsverträge für Lüftung, Sauna und Dampfbad einzupreisen.</w:t>
      </w:r>
    </w:p>
    <w:p>
      <w:pPr>
        <w:pStyle w:val="Heading2"/>
        <w:keepNext w:val="true"/>
        <w:spacing w:before="280" w:after="120"/>
        <w:rPr/>
      </w:pPr>
      <w:bookmarkStart w:id="64" w:name="__RefHeading___Toc21229_3809407278"/>
      <w:bookmarkEnd w:id="64"/>
      <w:r>
        <w:rPr/>
        <w:t>7.7 Prozesse</w:t>
      </w:r>
    </w:p>
    <w:p>
      <w:pPr>
        <w:pStyle w:val="Normal"/>
        <w:spacing w:lineRule="exact" w:line="276" w:before="0" w:after="120"/>
        <w:jc w:val="both"/>
        <w:rPr/>
      </w:pPr>
      <w:r>
        <w:rPr>
          <w:rFonts w:eastAsia="Arial" w:cs="Arial"/>
          <w:sz w:val="22"/>
          <w:szCs w:val="22"/>
        </w:rPr>
        <w:t>Die Kernprozesse sind schriftlich in einem Betriebshandbuch festgelegt, das vor der Eröffnung erstellt und mit dem Team geschult wird. Es umfasst Onboarding neuer Mitglieder, Trainingsplanung und Betreuung, Kursbetrieb, Empfang und Kasse, Beschwerdemanagement, Hygiene und Reinigung, Wellnessbetrieb, Gerätesicherheit sowie Notfall- und Erste-Hilfe-Organisation.</w:t>
      </w:r>
    </w:p>
    <w:p>
      <w:pPr>
        <w:pStyle w:val="ListParagraph"/>
        <w:numPr>
          <w:ilvl w:val="0"/>
          <w:numId w:val="1"/>
        </w:numPr>
        <w:spacing w:lineRule="exact" w:line="276" w:before="0" w:after="60"/>
        <w:jc w:val="left"/>
        <w:rPr/>
      </w:pPr>
      <w:r>
        <w:rPr>
          <w:rFonts w:eastAsia="Arial" w:cs="Arial"/>
          <w:sz w:val="22"/>
          <w:szCs w:val="22"/>
        </w:rPr>
        <w:t>Onboarding: Vertragsabschluss vor Ort oder online (Vertragsmuster mit Laufzeitregelung nach § 309 Nr. 9 BGB, Kündigungsbutton nach § 312k BGB, SEPA-Mandat, Datenschutzhinweise), Gesundheitsfragebogen, Chip-Armband und Einweisung in Zutritt und App, Termin für das Einführungstraining innerhalb von sieben Tagen; Trainingsplan-Termine in Woche 1, 4 und 12.</w:t>
      </w:r>
    </w:p>
    <w:p>
      <w:pPr>
        <w:pStyle w:val="ListParagraph"/>
        <w:numPr>
          <w:ilvl w:val="0"/>
          <w:numId w:val="1"/>
        </w:numPr>
        <w:spacing w:lineRule="exact" w:line="276" w:before="0" w:after="60"/>
        <w:jc w:val="left"/>
        <w:rPr/>
      </w:pPr>
      <w:r>
        <w:rPr>
          <w:rFonts w:eastAsia="Arial" w:cs="Arial"/>
          <w:sz w:val="22"/>
          <w:szCs w:val="22"/>
        </w:rPr>
        <w:t>Trainingsplanung und Betreuung: Eingangsanalyse, Trainingsplan in der App, Planwechsel alle acht bis zwölf Wochen, mindestens zwei dokumentierte Trainerkontakte je Mitglied und Monat als Ziel (IHRSA 2017 zitiert in BODYMEDIA 14.10.2021); Mitglieder mit weniger als zwei Check-ins in vier Wochen werden angesprochen (Kapitel 6.6). HYROX-Programme laufen als Kurs mit Teilnehmerliste und Leistungsstandsmessung.</w:t>
      </w:r>
    </w:p>
    <w:p>
      <w:pPr>
        <w:pStyle w:val="ListParagraph"/>
        <w:numPr>
          <w:ilvl w:val="0"/>
          <w:numId w:val="1"/>
        </w:numPr>
        <w:spacing w:lineRule="exact" w:line="276" w:before="0" w:after="60"/>
        <w:jc w:val="left"/>
        <w:rPr/>
      </w:pPr>
      <w:r>
        <w:rPr>
          <w:rFonts w:eastAsia="Arial" w:cs="Arial"/>
          <w:sz w:val="22"/>
          <w:szCs w:val="22"/>
        </w:rPr>
        <w:t>Empfang und Kasse: Check-in über Drehkreuze (2 Stück), Kassensystem mit Belegpflicht, Tagesabschluss, Kassenbuch; Bargeld minimiert durch Kartenzahlung und Lastschrift.</w:t>
      </w:r>
    </w:p>
    <w:p>
      <w:pPr>
        <w:pStyle w:val="ListParagraph"/>
        <w:numPr>
          <w:ilvl w:val="0"/>
          <w:numId w:val="1"/>
        </w:numPr>
        <w:spacing w:lineRule="exact" w:line="276" w:before="0" w:after="60"/>
        <w:jc w:val="left"/>
        <w:rPr/>
      </w:pPr>
      <w:r>
        <w:rPr>
          <w:rFonts w:eastAsia="Arial" w:cs="Arial"/>
          <w:sz w:val="22"/>
          <w:szCs w:val="22"/>
        </w:rPr>
        <w:t>Beschwerdemanagement: Jede Beschwerde wird in der Studiosoftware erfasst, innerhalb von zwei Werktagen beantwortet und monatlich ausgewertet; Kündigungen werden mit Grund erfasst und mit einem Rückgewinnungsangebot beantwortet (Kapitel 6.6).</w:t>
      </w:r>
    </w:p>
    <w:p>
      <w:pPr>
        <w:pStyle w:val="ListParagraph"/>
        <w:numPr>
          <w:ilvl w:val="0"/>
          <w:numId w:val="1"/>
        </w:numPr>
        <w:spacing w:lineRule="exact" w:line="276" w:before="0" w:after="60"/>
        <w:jc w:val="left"/>
        <w:rPr/>
      </w:pPr>
      <w:r>
        <w:rPr>
          <w:rFonts w:eastAsia="Arial" w:cs="Arial"/>
          <w:sz w:val="22"/>
          <w:szCs w:val="22"/>
        </w:rPr>
        <w:t>Hygiene und Reinigung: Reinigungsplan mit Zonen (Trainingsfläche, Umkleiden und Duschen, Wellness, Empfang), Sichtreinigung durch das Personal in der Kernzeit, Grundreinigung am Abend; 9 Desinfektionsstationen und 10 Wasserspender (Quellen: Anhang I); Legionellenprüfung der Trinkwasseranlage und Hygieneplan für Sauna, Dampfbad und Cold Plunge (Regularien-Hinweise).</w:t>
      </w:r>
    </w:p>
    <w:p>
      <w:pPr>
        <w:pStyle w:val="ListParagraph"/>
        <w:numPr>
          <w:ilvl w:val="0"/>
          <w:numId w:val="1"/>
        </w:numPr>
        <w:spacing w:lineRule="exact" w:line="276" w:before="0" w:after="60"/>
        <w:jc w:val="left"/>
        <w:rPr/>
      </w:pPr>
      <w:r>
        <w:rPr>
          <w:rFonts w:eastAsia="Arial" w:cs="Arial"/>
          <w:sz w:val="22"/>
          <w:szCs w:val="22"/>
        </w:rPr>
        <w:t>Gerätesicherheit: Sichtprüfung der Geräte nach DGUV Information 202-044 und Wartung nach Herstellervorgabe, dokumentiert im Wartungsbuch (KERKMANN/one-bear); Sperrung defekter Geräte, Meldeweg über App.</w:t>
      </w:r>
    </w:p>
    <w:p>
      <w:pPr>
        <w:pStyle w:val="ListParagraph"/>
        <w:numPr>
          <w:ilvl w:val="0"/>
          <w:numId w:val="1"/>
        </w:numPr>
        <w:spacing w:lineRule="exact" w:line="276" w:before="0" w:after="60"/>
        <w:jc w:val="left"/>
        <w:rPr/>
      </w:pPr>
      <w:r>
        <w:rPr>
          <w:rFonts w:eastAsia="Arial" w:cs="Arial"/>
          <w:sz w:val="22"/>
          <w:szCs w:val="22"/>
        </w:rPr>
        <w:t>Datenschutz: Verzeichnis der Verarbeitungstätigkeiten, Auftragsverarbeitung mit Softwareanbieter, Hinweisbeschilderung für die 5 Kameras, Löschfristen; Datenschutzbeauftragter, sofern gesetzlich erforderlich [zu prüfen].</w:t>
      </w:r>
    </w:p>
    <w:p>
      <w:pPr>
        <w:pStyle w:val="Normal"/>
        <w:spacing w:lineRule="exact" w:line="276" w:before="0" w:after="60"/>
        <w:jc w:val="both"/>
        <w:rPr/>
      </w:pPr>
      <w:r>
        <w:rPr/>
      </w:r>
    </w:p>
    <w:p>
      <w:pPr>
        <w:pStyle w:val="Normal"/>
        <w:spacing w:lineRule="exact" w:line="276" w:before="0" w:after="120"/>
        <w:jc w:val="both"/>
        <w:rPr/>
      </w:pPr>
      <w:r>
        <w:rPr>
          <w:rFonts w:eastAsia="Arial" w:cs="Arial"/>
          <w:sz w:val="22"/>
          <w:szCs w:val="22"/>
        </w:rPr>
        <w:t>Notfall- und Erste-Hilfe-Organisation: Die Planung weist 6 Notausgänge mit 690 cm Gesamtbreite (erforderlich mindestens 120 cm für 132 Personen, das sind 126 Trainierende zuzüglich 6 Beschäftigte), 12 gezeichnete Fluchtwege mit Lauflängen von 14,7 bis 35,2 m (zulässig bis 52,5 m), 21 Feuerlöscher mit 126 Löschmitteleinheiten (erforderlich 60), 2 automatisierte externe Defibrillatoren, 5 Verbandkästen, 6 Notausgangsschilder, 6 Rettungszeichenleuchten und 4 Flucht- und Rettungspläne aus; die Regularienprüfung der Planungssoftware ergab 114 erfüllte Anforderungen, keine offenen oder nicht erfüllten Punkte, 6 Hinweise und eine nicht anwendbare Anforderung (Versammlungsstättenverordnung erst ab 200 Personen), darunter Brandschutzhelfer, Ersthelfer, Legionellen- und Feuerlöscherprüfung (Quellen: Anhang I). Organisatorisch werden vor der Eröffnung alle Vollzeit- und Teilzeitkräfte als Ersthelfer und mindestens zwei Personen als Brandschutzhelfer ausgebildet [Kurse buchen], AED-Einweisungen halbjährlich wiederholt und eine Räumungsübung mit dem Team durchgeführt. In den unbesetzten Randzeiten haben nur eingewiesene Mitglieder Zutritt; die 5 Kameras, eine Notrufeinrichtung mit Verbindung zum Gründer beziehungsweise zur Rufbereitschaft und die Videoaufzeichnung sichern den Betrieb (Kapitel 3.4). Wellnessbereich und Kurse sind in der Randzeit geschlossen.</w:t>
      </w:r>
    </w:p>
    <w:p>
      <w:pPr>
        <w:pStyle w:val="Heading2"/>
        <w:keepNext w:val="true"/>
        <w:spacing w:before="280" w:after="120"/>
        <w:rPr/>
      </w:pPr>
      <w:bookmarkStart w:id="65" w:name="__RefHeading___Toc21231_3809407278"/>
      <w:bookmarkEnd w:id="65"/>
      <w:r>
        <w:rPr/>
        <w:t>7.8 Meilensteinplan Gründung bis Eröffnung</w:t>
      </w:r>
    </w:p>
    <w:p>
      <w:pPr>
        <w:pStyle w:val="Normal"/>
        <w:spacing w:lineRule="exact" w:line="276" w:before="0" w:after="120"/>
        <w:jc w:val="both"/>
        <w:rPr/>
      </w:pPr>
      <w:r>
        <w:rPr>
          <w:rFonts w:eastAsia="Arial" w:cs="Arial"/>
          <w:sz w:val="22"/>
          <w:szCs w:val="22"/>
        </w:rPr>
        <w:t>Der Zeitplan geht von der Eröffnung am 1. September 2027 rückwärts und enthält fünf Vorlaufmonate ab Mietbeginn im April 2027, davon drei mietfreie Monate für den Ausbau. Die Genehmigung der Nutzungsänderung dauert in der Praxis drei bis sechs Monate (Planeco 2025). § 54 Abs. 5 LBO sieht eine Entscheidung innerhalb von zwei Monaten ab Vollständigkeit der Unterlagen vor; die mit der LBO-Reform 2025 eingeführte Genehmigungsfiktion nach drei Monaten gilt nur im vereinfachten Verfahren und damit nicht, wenn die Anlage als Sonderbau eingestuft wird (Quellen: Anhang I). Der Bauantrag ist daher, wie in Kapitel 5.6 vorgesehen, spätestens im Dezember 2026 einzureichen, damit die Genehmigung bei einer Verfahrensdauer von drei bis sechs Monaten vor dem Ausbaubeginn im Mai 2027 vorliegt; wird die Genehmigung nicht bis zum Mietbeginn im April 2027 erteilt, verschieben sich Ausbau und Eröffnung. Der KfW-Förderkredit 077 setzt voraus, dass das Vorhaben bei Antragstellung noch nicht begonnen wurde (Quellen: Anhang I); Mietvertrag, Gerätebestellung und Ausbauaufträge werden deshalb erst nach der Antragstellung unterzeichnet.</w:t>
      </w:r>
    </w:p>
    <w:p>
      <w:pPr>
        <w:pStyle w:val="Normal"/>
        <w:keepNext w:val="true"/>
        <w:spacing w:before="160" w:after="80"/>
        <w:jc w:val="left"/>
        <w:rPr/>
      </w:pPr>
      <w:r>
        <w:rPr>
          <w:rFonts w:eastAsia="Arial" w:cs="Arial"/>
          <w:b/>
          <w:bCs/>
          <w:sz w:val="20"/>
          <w:szCs w:val="20"/>
        </w:rPr>
        <w:t>Tabelle 7.8: Meilensteine</w:t>
      </w:r>
    </w:p>
    <w:tbl>
      <w:tblPr>
        <w:tblW w:w="9638" w:type="dxa"/>
        <w:jc w:val="left"/>
        <w:tblInd w:w="0" w:type="dxa"/>
        <w:tblLayout w:type="fixed"/>
        <w:tblCellMar>
          <w:top w:w="40" w:type="dxa"/>
          <w:left w:w="70" w:type="dxa"/>
          <w:bottom w:w="40" w:type="dxa"/>
          <w:right w:w="70" w:type="dxa"/>
        </w:tblCellMar>
      </w:tblPr>
      <w:tblGrid>
        <w:gridCol w:w="1542"/>
        <w:gridCol w:w="1734"/>
        <w:gridCol w:w="4434"/>
        <w:gridCol w:w="1927"/>
      </w:tblGrid>
      <w:tr>
        <w:trPr>
          <w:tblHeader w:val="true"/>
        </w:trPr>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Zeitraum</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Meilenstein</w:t>
            </w:r>
          </w:p>
        </w:tc>
        <w:tc>
          <w:tcPr>
            <w:tcW w:w="44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Inhalt</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Verantwortlich / Beteiligte</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Oktober bis Dezember 2026</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Bankgespräche und Förderanträge</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Businessplan mit fachkundiger Stellungnahme (IHK); Gespräche mit Hausbank/Sparkasse; Antrag KfW 077, L-Bank GuW-BW mit Bürgschaftsbank BW, MBG stille Beteiligung; Standortauswahl mit Absichtserklärung des Vermieters; Steuerberater beauftragen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Hausbank, IHK, Steuerberater</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November bis Dezember 2026</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Mietvertrag und Bauantrag</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Mietvertrag 10 Jahre zu 8,50 € je m², 3 mietfreie Monate, Kaution drei Monatsmieten einschließlich Nebenkosten (85.930 €); Fachplaner (Architekt, Brandschutz, Lüftung, Sanitär); Bauantrag Nutzungsänderung mit Brandschutzkonzept und Stellplatznachweis (ca. 52 Kfz, ca. 26 Fahrrad; Einstufung als Sonderbau mit der Baurechtsbehörde zu klären; Einreichung Dezember 2026, Genehmigungsverfahren Januar bis März 2027); Gerätebestellung Atlantis/Prime mit Lieferzeit [anfragen]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Vermieter, Architekt, Bauamt</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Januar bis März 2027</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Finanzierungszusagen, GmbH-Gründung</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Notarielle Gründung, Einzahlung 25.000 €, Handelsregister, Gewerbeanmeldung, steuerliche Erfassung; Gesellschafts- und Beteiligungsverträge; Konten und Kontokorrent 200.000 €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Notar, Steuerberater, MBG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April 2027 (Monat −5)</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Mietbeginn und Baufreigabe</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Übergabe der Halle, Kaution, Auszahlung MBG; Baugenehmigung erwartet; Beginn Planungsleistungen; Vorbereitung Vorverkauf (Marke, Landingpage, Vertragsmuster, Studiosoftware)</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Fachplaner</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Mai bis August 2027 (Monate −4 bis −1)</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Grundausbau, Lüftung, Sportboden, Nassbereich, Brandschutz und Sicherheitsbeleuchtung (851.788 €), Sanitär (39.800 €); Auszahlung KfW (Monat −4) und L-Bank (Monat −3); Baustellenbegehungen mit Bank</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Bauunternehmen, Fachplaner</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Juni bis August 2027</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Vorverkauf und Personalaufbau</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Vorverkauf mit 35.000 € Budget, Ziel 350 Mitglieder; Eintritt Gründer (Juni), stellvertretende Studioleitung (Juli), zwei Trainer (August); Recruiting Teilzeit und Minijobs; Firmenfitness-Gespräche, Aggregator-Anbindung, GEMA-Anmeldung, Versicherungen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Stellv. Studioleitung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August 2027 (Monat −1)</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Gerätelieferung, Abnahmen, Probebetrieb</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Lieferung und Montage der Geräte (590.968 € plus Importnebenkosten 32.228 €); Abnahmen Brandschutz, Lüftung, Sauna und Dampfbad; Einweisung des Teams, Erste-Hilfe- und Brandschutzhelferkurse, Räumungsübung; Probebetrieb mit Vorverkaufsmitgliedern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Lieferanten, Sachverständige</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September 2027</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Eröffnung</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Eröffnungswochenende; Monate 1 bis 3 mit Eröffnungsmarketing (6.000 € je Monat zusätzlich) und 140 Neuzugängen je Monat</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Gesamtes Team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September 2028 (Monat 13)</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 des Teams</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Dritter Vollzeittrainer; Überprüfung Stellenplan anhand Bestand (Plan 1.429 Mitglieder nach 12 Monaten)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12 / 19 / 29</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Wirtschaftliche Meilensteine</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EBITDA-Break-even Monat 12, Cashflow-Break-even Monat 19, Kapazität 2.200 Mitglieder Monat 29 (Basisszenario)</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Bank (Reporting)</w:t>
            </w:r>
          </w:p>
        </w:tc>
      </w:tr>
    </w:tbl>
    <w:p>
      <w:pPr>
        <w:pStyle w:val="Normal"/>
        <w:spacing w:before="60" w:after="200"/>
        <w:jc w:val="left"/>
        <w:rPr/>
      </w:pPr>
      <w:r>
        <w:rPr>
          <w:rFonts w:eastAsia="Arial" w:cs="Arial"/>
          <w:i/>
          <w:iCs/>
          <w:color w:val="5A5A5A"/>
          <w:sz w:val="18"/>
          <w:szCs w:val="18"/>
        </w:rPr>
        <w:t>Quellen: Excel-Planrechnung; Rechercheprotokoll (Anhang I; KfW 077: Vorhabenbeginn; § 54 LBO, LBO-Reform 2025, Planeco, VwV Stellplätze).</w:t>
      </w:r>
    </w:p>
    <w:p>
      <w:pPr>
        <w:pStyle w:val="Normal"/>
        <w:spacing w:lineRule="exact" w:line="276" w:before="0" w:after="120"/>
        <w:jc w:val="both"/>
        <w:rPr/>
      </w:pPr>
      <w:r>
        <w:rPr>
          <w:rFonts w:eastAsia="Arial" w:cs="Arial"/>
          <w:sz w:val="22"/>
          <w:szCs w:val="22"/>
        </w:rPr>
        <w:t>Der Zahlungsplan des Finanzmodells folgt diesen Meilensteinen: Kaution im Monat −5, Planungsleistungen in den Monaten −5 bis −1, Ausbau in den Monaten −4 bis −1, Sonstiges im Monat −2, Geräte im Monat −1; die Darlehen werden in den Monaten −5 (MBG), −4 (KfW 077) und −3 (L-Bank) ausgezahlt. Verzögerungen im Genehmigungsverfahren oder bei der Gerätelieferung verschieben die Eröffnung; da Kaltmiete und Betriebskosten ab Juli 2027 laufen und das Personal ab Juni eingestellt wird, kostet jeder Verzugsmonat rund 20.742 € Kaltmiete und Betriebskosten zuzüglich der bereits laufenden Personalkosten von zuletzt rund 15.900 € je Monat und der Energiekosten der Bauphase, die im Modell erst ab Eröffnung angesetzt sind. Werden der Energieansatz von 7.902 € je Monat und die Zinsen von 13.514 € je Monat hinzugerechnet, ergeben sich rund 58.000 € je Verzugsmonat (Kapitel 9, Tabelle 9.3; Kapitel 10.9). Der Plan enthält dafür keine gesonderte Reserve, wohl aber die Betriebsmittelreserve von 740.000 € und den Kontokorrentrahmen von 200.000 €; die Bauzeit von vier Monaten für einen Hallenausbau ohne Rohbau ist mit den Fachplanern zu bestätigen [Bauzeitenplan beilegen].</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Rechtsform</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GmbH, Stammkapital 25.000 €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Beschäftigte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14 (Jahr 1), 15 (ab Jahr 2)</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Personalkosten je Monat</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28.533 € (Jahr 1), 33.801 € (Jahr 3)</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Personalkostenquote Jahr 3</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29,6 %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Öffnungszeit je Woche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111 h, davon 83 h besetzt</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Eröffnung</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01.09.2027</w:t>
            </w:r>
          </w:p>
        </w:tc>
      </w:tr>
    </w:tbl>
    <w:p>
      <w:pPr>
        <w:pStyle w:val="Normal"/>
        <w:spacing w:lineRule="exact" w:line="276" w:before="0" w:after="80"/>
        <w:jc w:val="both"/>
        <w:rPr/>
      </w:pPr>
      <w:r>
        <w:rPr/>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Vom Gründer vor dem Bankgespräch zu ergänzen: Firma und Sitz der GmbH, Entwurf des Gesellschaftsvertrags, Entscheidung über Prokura für die stellvertretende Studioleitung, Beitragssatz der Berufsgenossenschaft, Angebote von Steuerberater, Softwareanbieter, Versicherer, Reinigungs- und Wartungsdienstleistern, Bauzeitenplan der Fachplaner mit Lieferzeiten der Geräte sowie ein Kursplan mit Stundenzahl für den Personaleinsatz.</w:t>
      </w:r>
      <w:r>
        <w:br w:type="page"/>
      </w:r>
    </w:p>
    <w:p>
      <w:pPr>
        <w:pStyle w:val="Heading1"/>
        <w:spacing w:before="360" w:after="200"/>
        <w:rPr/>
      </w:pPr>
      <w:bookmarkStart w:id="66" w:name="__RefHeading___Toc21233_3809407278"/>
      <w:bookmarkEnd w:id="66"/>
      <w:r>
        <w:rPr/>
        <w:t>8 Rechtliche Rahmenbedingungen, Sicherheit und Genehmigungen</w:t>
      </w:r>
    </w:p>
    <w:p>
      <w:pPr>
        <w:pStyle w:val="Normal"/>
        <w:spacing w:lineRule="exact" w:line="276" w:before="0" w:after="120"/>
        <w:jc w:val="both"/>
        <w:rPr/>
      </w:pPr>
      <w:r>
        <w:rPr>
          <w:rFonts w:eastAsia="Arial" w:cs="Arial"/>
          <w:sz w:val="22"/>
          <w:szCs w:val="22"/>
        </w:rPr>
        <w:t>Dieses Kapitel fasst die rechtlichen, bau- und sicherheitstechnischen Anforderungen an den Betrieb des Studios zusammen und zeigt, wie sie in der Planung berücksichtigt sind. Grundlage sind die Regularienprüfung der Planungssoftware GymPlanner für das Projekt „No.1 (überarbeitet)“ (Export 26.09.2026), die Rechercheergebnisse zu Baurecht, Steuern, GEMA, Versicherungen und Arbeitsrecht (Quellen: Anhang I) sowie die Planzahlen des Finanzmodells. Die Stellplatz- und Genehmigungstabellen in Kapitel 5 (Tabellen 5.2 und 5.3) werden hier nicht wiederholt, sondern nur in Bezug genommen.</w:t>
      </w:r>
    </w:p>
    <w:p>
      <w:pPr>
        <w:pStyle w:val="Heading2"/>
        <w:keepNext w:val="true"/>
        <w:spacing w:before="280" w:after="120"/>
        <w:rPr/>
      </w:pPr>
      <w:bookmarkStart w:id="67" w:name="__RefHeading___Toc21235_3809407278"/>
      <w:bookmarkEnd w:id="67"/>
      <w:r>
        <w:rPr/>
        <w:t>8.1 Rechtsform und Gründungsformalitäten</w:t>
      </w:r>
    </w:p>
    <w:p>
      <w:pPr>
        <w:pStyle w:val="Normal"/>
        <w:spacing w:lineRule="exact" w:line="276" w:before="0" w:after="120"/>
        <w:jc w:val="both"/>
        <w:rPr/>
      </w:pPr>
      <w:r>
        <w:rPr>
          <w:rFonts w:eastAsia="Arial" w:cs="Arial"/>
          <w:sz w:val="22"/>
          <w:szCs w:val="22"/>
        </w:rPr>
        <w:t>Das Studio wird als GmbH gegründet. Das Stammkapital beträgt 25.000 €, von denen vor der Anmeldung zum Handelsregister mindestens 12.500 € eingezahlt sein müssen (§ 7 Abs. 2 GmbHG). Die reinen Gründungskosten für Notar und Handelsregister liegen bei rund 410 bis 700 €, mit anwaltlicher und steuerlicher Begleitung realistisch bei 1.000 bis 1.500 € (notar-check 05/2026, IHK Karlsruhe). Im Investitionsplan sind 2.500 € für Notar, Handelsregister und Gewerbeanmeldung sowie 5.000 € für die Beratung zu Businessplan und Gründungssteuerrecht angesetzt. Die Haftung ist auf das Gesellschaftsvermögen begrenzt; die persönliche Mitverpflichtung des Gesellschafters gegenüber Bürgschaftsbank und KfW bleibt davon unberührt (siehe Abschnitt 2.8).</w:t>
      </w:r>
    </w:p>
    <w:p>
      <w:pPr>
        <w:pStyle w:val="Normal"/>
        <w:spacing w:lineRule="exact" w:line="276" w:before="0" w:after="120"/>
        <w:jc w:val="both"/>
        <w:rPr/>
      </w:pPr>
      <w:r>
        <w:rPr>
          <w:rFonts w:eastAsia="Arial" w:cs="Arial"/>
          <w:sz w:val="22"/>
          <w:szCs w:val="22"/>
        </w:rPr>
        <w:t>Der Betrieb eines Fitnessstudios ist ein erlaubnisfreies Gewerbe; es genügt die Gewerbeanmeldung nach § 14 GewO bei der Standortgemeinde. Sauna, Dampfbad und Cold Plunge lösen keine gesonderte Gewerbeerlaubnis aus, unterliegen aber den Hygieneanforderungen in Abschnitt 8.4. Die Reihenfolge der Gründungsschritte ist in Tabelle 8.1 dargestellt; die Zeitangaben beziehen sich auf den Eröffnungstermin 01.09.2027 und den fünfmonatigen Vorlauf des Finanzmodells.</w:t>
      </w:r>
    </w:p>
    <w:p>
      <w:pPr>
        <w:pStyle w:val="Normal"/>
        <w:keepNext w:val="true"/>
        <w:spacing w:before="160" w:after="80"/>
        <w:jc w:val="left"/>
        <w:rPr/>
      </w:pPr>
      <w:r>
        <w:rPr>
          <w:rFonts w:eastAsia="Arial" w:cs="Arial"/>
          <w:b/>
          <w:bCs/>
          <w:sz w:val="20"/>
          <w:szCs w:val="20"/>
        </w:rPr>
        <w:t>Tabelle 8.1: Gründungsschritte und zuständige Stellen</w:t>
      </w:r>
    </w:p>
    <w:tbl>
      <w:tblPr>
        <w:tblW w:w="9638" w:type="dxa"/>
        <w:jc w:val="left"/>
        <w:tblInd w:w="0" w:type="dxa"/>
        <w:tblLayout w:type="fixed"/>
        <w:tblCellMar>
          <w:top w:w="40" w:type="dxa"/>
          <w:left w:w="70" w:type="dxa"/>
          <w:bottom w:w="40" w:type="dxa"/>
          <w:right w:w="70" w:type="dxa"/>
        </w:tblCellMar>
      </w:tblPr>
      <w:tblGrid>
        <w:gridCol w:w="2891"/>
        <w:gridCol w:w="2313"/>
        <w:gridCol w:w="1542"/>
        <w:gridCol w:w="2891"/>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Schritt</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Stelle</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Zeitpunkt</w:t>
            </w:r>
          </w:p>
        </w:tc>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Hinweis / Kosten</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Gesellschaftsvertrag, Beurkundung, Einzahlung Stammkapital</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Notar, Geschäftsbank</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Januar bis März 2027 (Monat −8 bis −6)</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25.000 € Stammkapital, mind. 12.500 € vor Anmeldung; Notar/Register 410–700 €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Eintragung Handelsregister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Amtsgericht (Registergericht)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spätestens Monat −6</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GmbH entsteht mit Eintragung; vorher GmbH i. 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Gewerbeanmeldung</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Gemeinde des Standorts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−6</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14 GewO; erlaubnisfrei; Meldung geht automatisch an Finanzamt, IHK, Berufsgenossenschaft</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Fragebogen zur steuerlichen Erfassung, USt-ID</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Finanzamt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−6</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Monatliche USt-Voranmeldung; Vorsteuererstattung aus Investition (Abschnitt 8.9)</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Mitgliedschaft IHK</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 Bodensee-Oberschwaben bzw. IHK Region Stuttgart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automatisch</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Pflichtmitgliedschaft; Beitrag abhängig vom Gewerbeertrag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Anmeldung gesetzliche Unfallversicherung</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VBG (Berufsgenossenschaft)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−3, mit erster Einstellung</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Anmeldung binnen einer Woche nach Betriebsbeginn (§ 192 SGB VII)</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Betriebsnummer, Sozialversicherung, Minijobs</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Agentur für Arbeit, Krankenkassen, Minijob-Zentrale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−3</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 erster Lohnabrechnung (Gründer ab Monat −3, stellv. Leitung ab Monat −2)</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Bauantrag Nutzungsänderung</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Untere Baurechtsbehörde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Dezember 2026 (Monat −9); Bescheid vor Ausbaubeginn Monat −4</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Siehe Abschnitt 8.2, Tabelle 5.9 und Tabelle 7.8</w:t>
            </w:r>
          </w:p>
        </w:tc>
      </w:tr>
    </w:tbl>
    <w:p>
      <w:pPr>
        <w:pStyle w:val="Normal"/>
        <w:spacing w:before="60" w:after="200"/>
        <w:jc w:val="left"/>
        <w:rPr/>
      </w:pPr>
      <w:r>
        <w:rPr>
          <w:rFonts w:eastAsia="Arial" w:cs="Arial"/>
          <w:i/>
          <w:iCs/>
          <w:color w:val="5A5A5A"/>
          <w:sz w:val="18"/>
          <w:szCs w:val="18"/>
        </w:rPr>
        <w:t>Quelle: Rechercheprotokoll (Anhang I; GmbHG, Notarkosten), Excel-Planrechnung (Vorlauf, Stellenplan); Zeitpunkte nach dem Meilensteinplan in Kapitel 7 (Tabelle 7.8) und Kapitel 10 (Tabelle 10.18); die GmbH muss vor der Auszahlung der MBG-Beteiligung im Monat −5 (April 2027) eingetragen sein.</w:t>
      </w:r>
    </w:p>
    <w:p>
      <w:pPr>
        <w:pStyle w:val="Heading2"/>
        <w:keepNext w:val="true"/>
        <w:spacing w:before="280" w:after="120"/>
        <w:rPr/>
      </w:pPr>
      <w:bookmarkStart w:id="68" w:name="__RefHeading___Toc21237_3809407278"/>
      <w:bookmarkEnd w:id="68"/>
      <w:r>
        <w:rPr/>
        <w:t>8.2 Baurecht: Nutzungsänderung, Stellplätze, Brandschutz und Barrierefreiheit</w:t>
      </w:r>
    </w:p>
    <w:p>
      <w:pPr>
        <w:pStyle w:val="Normal"/>
        <w:spacing w:lineRule="exact" w:line="276" w:before="0" w:after="120"/>
        <w:jc w:val="both"/>
        <w:rPr/>
      </w:pPr>
      <w:r>
        <w:rPr>
          <w:rFonts w:eastAsia="Arial" w:cs="Arial"/>
          <w:sz w:val="22"/>
          <w:szCs w:val="22"/>
        </w:rPr>
        <w:t>Die Umnutzung einer Lager- oder Produktionshalle zum Fitnessstudio ist eine genehmigungspflichtige Nutzungsänderung nach §§ 49, 50 LBO Baden-Württemberg (Quellen: Anhang I). Im Gewerbegebiet sind Anlagen für sportliche Zwecke allgemein zulässig (§ 8 Abs. 2 Nr. 4 BauNVO); im Industriegebiet nur ausnahmsweise, im Sondergebiet nur bei passender Zweckbestimmung (Quellen: Anhang I). Die Objektsuche in Kapitel 5 konzentriert sich deshalb auf Gewerbegebiete. Die Baurechtsbehörde entscheidet nach § 54 Abs. 5 LBO innerhalb von zwei Monaten ab Vollständigkeit der Unterlagen. Die mit der LBO-Reform 2025 eingeführte Genehmigungsfiktion nach drei Monaten gilt nur im vereinfachten Verfahren nach § 52 LBO; wird das Studio als Sonderbau eingestuft, läuft der Antrag im regulären Verfahren ohne Fiktion (ARGE Baurecht 07/2025, Tabelle 5.3). In der Praxis sind einschließlich Vorprüfung und Brandschutzkonzept drei bis sechs Monate anzusetzen (Planeco 10/2025). Der Zeitplan sieht die Einreichung des Bauantrags deshalb für Dezember 2026 vor (Tabellen 5.9 und 7.8), damit die Genehmigung bei einer Verfahrensdauer von drei bis sechs Monaten vor dem Ausbaubeginn im Mai 2027 (Monat −4) vorliegt.</w:t>
      </w:r>
    </w:p>
    <w:p>
      <w:pPr>
        <w:pStyle w:val="Normal"/>
        <w:spacing w:lineRule="exact" w:line="276" w:before="0" w:after="120"/>
        <w:jc w:val="both"/>
        <w:rPr/>
      </w:pPr>
      <w:r>
        <w:rPr>
          <w:rFonts w:eastAsia="Arial" w:cs="Arial"/>
          <w:sz w:val="22"/>
          <w:szCs w:val="22"/>
        </w:rPr>
        <w:t>Für die Einstufung als Sonderbau ist die Personenzahl maßgeblich. Die Regularienprüfung setzt 132 Bemessungspersonen an (126 gleichzeitig Trainierende nach der 9-m²-Regel auf 1.138,58 m² Trainingsfläche zuzüglich 6 Beschäftigte). Damit liegt das Studio unter der 200-Personen-Schwelle der Muster-Versammlungsstättenverordnung (§ 1 MVStättVO); die Prüfung weist diesen Punkt als nicht anwendbar aus. Maßgeblich bleiben die Landesbauordnung und die Arbeitsstättenregeln. Die Standortrecherche geht davon aus, dass die Baurechtsbehörde die Anlage wegen der Größe von rund 2.000 m² gleichwohl als Sonderbau mit eigenem Brandschutzkonzept und regulärem Genehmigungsverfahren behandelt (Quellen: Anhang I); die Einstufung ist mit der Bauvoranfrage zu klären (Kapitel 5, Tabelle 5.9); der Investitionsplan enthält für diesen Fall bereits das Brandschutzkonzept (in der Position Sonstiges, 32.000 €) sowie Planung, Fachplaner und Genehmigung mit 106.991 €.</w:t>
      </w:r>
    </w:p>
    <w:p>
      <w:pPr>
        <w:pStyle w:val="Normal"/>
        <w:spacing w:lineRule="exact" w:line="276" w:before="0" w:after="120"/>
        <w:jc w:val="both"/>
        <w:rPr/>
      </w:pPr>
      <w:r>
        <w:rPr>
          <w:rFonts w:eastAsia="Arial" w:cs="Arial"/>
          <w:sz w:val="22"/>
          <w:szCs w:val="22"/>
        </w:rPr>
        <w:t>Stellplätze: Nach der VwV Stellplätze Baden-Württemberg ist ein Kfz-Stellplatz je 25 m² Sportfläche nachzuweisen; Umkleiden, Sanitär-, Technik- und Verkehrsflächen zählen nicht mit (AKBW-Merkblatt 593, 09/2022). Für die Objektsuche werden 52 Kfz-Stellplätze (1.300 m² anrechenbare Sportfläche als konservative Planungsannahme; nach der Trainingsfläche des Plans 46) und in Anlehnung an die Richtzahl für Sporthallen rund 26 Fahrradstellplätze angesetzt (Kapitel 5, Tabelle 5.2). Ein Stellplatznachweis ist Teil der Bauvorlagen; Minderungen nach ÖPNV-Anbindung oder Ablösung nach kommunaler Satzung sind mit der Gemeinde zu verhandeln.</w:t>
      </w:r>
    </w:p>
    <w:p>
      <w:pPr>
        <w:pStyle w:val="Normal"/>
        <w:spacing w:lineRule="exact" w:line="276" w:before="0" w:after="120"/>
        <w:jc w:val="both"/>
        <w:rPr/>
      </w:pPr>
      <w:r>
        <w:rPr>
          <w:rFonts w:eastAsia="Arial" w:cs="Arial"/>
          <w:sz w:val="22"/>
          <w:szCs w:val="22"/>
        </w:rPr>
        <w:t>Brandschutz: Die baulichen Anforderungen sind in der Planung umgesetzt. Alle sechs Notausgänge liegen in Außenwänden, sind als Notausgangstüren typisiert und zwischen 90 und 200 cm breit (Quellen: Anhang I). Sechs Rettungszeichenleuchten und sechs Notausgangsschilder sind an den Türen platziert; 21 Feuerlöscher ergeben 126 Löschmitteleinheiten bei einem Soll von 60 (Quellen: Anhang I). Im Investitionsplan sind Brandschutz und Sicherheitsbeleuchtung mit 30 €/m² auf 1.931,13 m² Nettofläche, also 57.934 €, sowie die raumlufttechnische Anlage mit 212.425 € angesetzt. Rauch- und Wärmeabzug, Feuerwiderstand der Trennwände zu Technik- und Lagerräumen sowie die Brandmeldetechnik legt das Brandschutzkonzept des Fachplaners fest; sie sind aus der Position Unvorhergesehenes (165.378 €) zu decken, sofern sie über den Grundausbau hinausgehen.</w:t>
      </w:r>
    </w:p>
    <w:p>
      <w:pPr>
        <w:pStyle w:val="Normal"/>
        <w:spacing w:lineRule="exact" w:line="276" w:before="0" w:after="120"/>
        <w:jc w:val="both"/>
        <w:rPr/>
      </w:pPr>
      <w:r>
        <w:rPr>
          <w:rFonts w:eastAsia="Arial" w:cs="Arial"/>
          <w:sz w:val="22"/>
          <w:szCs w:val="22"/>
        </w:rPr>
        <w:t>Barrierefreiheit: Als öffentlich zugängliche bauliche Anlage muss das Studio in den dem allgemeinen Besucherverkehr dienenden Teilen barrierefrei erreichbar und nutzbar sein (§ 39 LBO BW, DIN 18040-1). Die Planung enthält ein barrierefreies WC (Objektmaß 150 × 220 cm, Bewegungsfläche enthalten), zwei barrierefreie Duschen und Türen von mindestens 90 cm an allen Notausgängen sowie einen zweiflügeligen Haupteingang mit 200 cm (Quellen: Anhang I). Die Regularienprüfung weist als Hinweis aus, dass die Bewegungsfläche von 150 × 150 cm vor dem WC im Plan nicht automatisch geprüft werden kann und in der Ausführungsplanung freizuhalten ist (ASR V3a.2, DIN 18040-1 Abs. 5.3.3). Ein stufenloser Zugang vom Parkplatz ist Anforderung an das Mietobjekt (Kapitel 5, Tabelle 5.1).</w:t>
      </w:r>
    </w:p>
    <w:p>
      <w:pPr>
        <w:pStyle w:val="Normal"/>
        <w:keepNext w:val="true"/>
        <w:spacing w:before="160" w:after="80"/>
        <w:jc w:val="left"/>
        <w:rPr/>
      </w:pPr>
      <w:r>
        <w:rPr>
          <w:rFonts w:eastAsia="Arial" w:cs="Arial"/>
          <w:b/>
          <w:bCs/>
          <w:sz w:val="20"/>
          <w:szCs w:val="20"/>
        </w:rPr>
        <w:t>Tabelle 8.2: Bauordnungsrechtliche Nachweise für die Nutzungsänderung</w:t>
      </w:r>
    </w:p>
    <w:tbl>
      <w:tblPr>
        <w:tblW w:w="9638" w:type="dxa"/>
        <w:jc w:val="left"/>
        <w:tblInd w:w="0" w:type="dxa"/>
        <w:tblLayout w:type="fixed"/>
        <w:tblCellMar>
          <w:top w:w="40" w:type="dxa"/>
          <w:left w:w="70" w:type="dxa"/>
          <w:bottom w:w="40" w:type="dxa"/>
          <w:right w:w="70" w:type="dxa"/>
        </w:tblCellMar>
      </w:tblPr>
      <w:tblGrid>
        <w:gridCol w:w="2313"/>
        <w:gridCol w:w="3277"/>
        <w:gridCol w:w="1734"/>
        <w:gridCol w:w="2313"/>
      </w:tblGrid>
      <w:tr>
        <w:trPr>
          <w:tblHeader w:val="true"/>
        </w:trPr>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Nachweis</w:t>
            </w:r>
          </w:p>
        </w:tc>
        <w:tc>
          <w:tcPr>
            <w:tcW w:w="327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Inhalt</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Ersteller</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Budget im Investitionsplan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Bauvorlagen (Pläne, Baubeschreibung)</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Grundriss mit 26 Räumen, Flächen, Nutzung, Personenzahl</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Architekt / Bauvorlageberechtigter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Teil von Planung 106.991 €</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Brandschutznachweis / -konzept</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Rettungswege, Löschmittel, Sicherheitsbeleuchtung, ggf. RWA und BMA</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Brandschutzplaner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Sonstiges 32.000 € (anteilig); Ausführung 57.934 €</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Stellplatznachweis</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52 Kfz + ca. 26 Fahrrad (Planannahme 1.300 m² Sportfläche)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Architekt, Vermieter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Objektabhängig; Ablöse [vom Gründer zu klären]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Schallschutz</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Kursraum (Musikanlage), Freihantel- und HYROX-Zone (Sled-Bahn)</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Bauphysiker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Teil von Grundausbau 482.784 € (Trockenbau)</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Lüftungs- und Sanitärkonzept</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RLT-Anlage, 18 Duschen, 11 WC/Urinale, 8 Waschtische, Sauna/Dampfbad</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TGA-Fachplaner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RLT 212.425 €; Sanitär 39.800 €</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Barrierefreiheit</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Barrierefreies WC, Duschen, Eingänge ≥ 90 cm, stufenloser Zugang</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Architekt</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Im Grundausbau enthalten</w:t>
            </w:r>
          </w:p>
        </w:tc>
      </w:tr>
      <w:tr>
        <w:trPr/>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Standsicherheit (bei Eingriffen)</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Bodenlasten Freihantel/Racks, Deckenabhängungen, Sled-Bahn</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Tragwerksplaner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Nur bei baulichen Eingriffen; Unvorhergesehenes 165.378 €</w:t>
            </w:r>
          </w:p>
        </w:tc>
      </w:tr>
    </w:tbl>
    <w:p>
      <w:pPr>
        <w:pStyle w:val="Normal"/>
        <w:spacing w:before="60" w:after="200"/>
        <w:jc w:val="left"/>
        <w:rPr/>
      </w:pPr>
      <w:r>
        <w:rPr>
          <w:rFonts w:eastAsia="Arial" w:cs="Arial"/>
          <w:i/>
          <w:iCs/>
          <w:color w:val="5A5A5A"/>
          <w:sz w:val="18"/>
          <w:szCs w:val="18"/>
        </w:rPr>
        <w:t>Quelle: Rechercheprotokoll (Anhang I; LBO, BauNVO, VwV Stellplätze; Räume, Sanitär), Excel-Planrechnung (Investitionspositionen netto).</w:t>
      </w:r>
    </w:p>
    <w:p>
      <w:pPr>
        <w:pStyle w:val="Heading2"/>
        <w:keepNext w:val="true"/>
        <w:spacing w:before="280" w:after="120"/>
        <w:rPr/>
      </w:pPr>
      <w:bookmarkStart w:id="69" w:name="__RefHeading___Toc21239_3809407278"/>
      <w:bookmarkEnd w:id="69"/>
      <w:r>
        <w:rPr/>
        <w:t>8.3 Arbeitsstätten- und Sicherheitsanforderungen: Ergebnis der Regularienprüfung</w:t>
      </w:r>
    </w:p>
    <w:p>
      <w:pPr>
        <w:pStyle w:val="Normal"/>
        <w:spacing w:lineRule="exact" w:line="276" w:before="0" w:after="120"/>
        <w:jc w:val="both"/>
        <w:rPr/>
      </w:pPr>
      <w:r>
        <w:rPr>
          <w:rFonts w:eastAsia="Arial" w:cs="Arial"/>
          <w:sz w:val="22"/>
          <w:szCs w:val="22"/>
        </w:rPr>
        <w:t>Die Planungssoftware GymPlanner prüft den Grundriss automatisiert gegen die Technischen Regeln für Arbeitsstätten (ASR A2.3 Fluchtwege und Notausgänge, ASR A2.2 Maßnahmen gegen Brände, ASR A1.3 Kennzeichnung, ASR A1.8 Verkehrswege, ASR A4.1 Sanitärräume, ASR A4.3 Erste Hilfe, ASR V3a.2 Barrierefreiheit), die DGUV Vorschrift 1, die Musterbauordnung (§ 33 MBO), DIN EN ISO 20957-1 für Trainingsgeräte, DIN 18040-1 sowie die Trinkwasserverordnung (GymPlanner-Dokumentation). Die Prüfung ist eine Planungshilfe; sie ersetzt weder das Brandschutzkonzept noch die Abstimmung mit Baurechtsbehörde und Unfallversicherungsträger. Für das Projekt No.1 wurden 121 Prüfpunkte ausgewertet: 114 erfüllt, 0 zu prüfen, 0 nicht erfüllt, 6 Hinweise organisatorischer Art und 1 nicht anwendbar (Quellen: Anhang I). Es gibt keine Planungsfehler oder -warnungen; als Information wird lediglich vermerkt, dass 310 generische Objekte ungeprüfte Herstellermaße tragen (Quellen: Anhang I).</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Bemessungspersonen</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132 (126 Trainierende + 6 Beschäftigte)</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Notausgänge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6 in Außenwänden, 690 cm Gesamtbreite</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Gezeichnete Fluchtwege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12, Lauflängen 14,7 bis 35,2 m</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Feuerlöscher</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21 (126 Löschmitteleinheiten)</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AED / Verbandkästen</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 / 5</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Rettungszeichenleuchten / Flucht- und Rettungspläne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6 / 4</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Barrierefreies WC</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Prüfergebnis</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114 erfüllt, 6 Hinweise, 1 nicht anwendbar</w:t>
            </w:r>
          </w:p>
        </w:tc>
      </w:tr>
    </w:tbl>
    <w:p>
      <w:pPr>
        <w:pStyle w:val="Normal"/>
        <w:spacing w:lineRule="exact" w:line="276" w:before="0" w:after="80"/>
        <w:jc w:val="both"/>
        <w:rPr/>
      </w:pPr>
      <w:r>
        <w:rPr/>
      </w:r>
    </w:p>
    <w:p>
      <w:pPr>
        <w:pStyle w:val="Normal"/>
        <w:keepNext w:val="true"/>
        <w:spacing w:before="160" w:after="80"/>
        <w:jc w:val="left"/>
        <w:rPr/>
      </w:pPr>
      <w:r>
        <w:rPr>
          <w:rFonts w:eastAsia="Arial" w:cs="Arial"/>
          <w:b/>
          <w:bCs/>
          <w:sz w:val="20"/>
          <w:szCs w:val="20"/>
        </w:rPr>
        <w:t>Tabelle 8.3: Auswahl der Regularienprüfung (Stand Planung 26.09.2026)</w:t>
      </w:r>
    </w:p>
    <w:tbl>
      <w:tblPr>
        <w:tblW w:w="9638" w:type="dxa"/>
        <w:jc w:val="left"/>
        <w:tblInd w:w="0" w:type="dxa"/>
        <w:tblLayout w:type="fixed"/>
        <w:tblCellMar>
          <w:top w:w="40" w:type="dxa"/>
          <w:left w:w="70" w:type="dxa"/>
          <w:bottom w:w="40" w:type="dxa"/>
          <w:right w:w="70" w:type="dxa"/>
        </w:tblCellMar>
      </w:tblPr>
      <w:tblGrid>
        <w:gridCol w:w="3276"/>
        <w:gridCol w:w="2699"/>
        <w:gridCol w:w="2313"/>
        <w:gridCol w:w="1349"/>
      </w:tblGrid>
      <w:tr>
        <w:trPr>
          <w:tblHeader w:val="true"/>
        </w:trPr>
        <w:tc>
          <w:tcPr>
            <w:tcW w:w="327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Thema</w:t>
            </w:r>
          </w:p>
        </w:tc>
        <w:tc>
          <w:tcPr>
            <w:tcW w:w="269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Anforderung (Soll)</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Ist</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Status</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Anzahl Notausgänge (MBO § 33, ASR A2.3 Abs. 4)</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2 je Stockwerk ab 200 m² oder &gt; 20 Personen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 alle in Außenwänden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Ausgangsbreite gesamt (ASR A2.3 Tab. 1)</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120 cm für 132 Personen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690 cm</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Türbreite Hauptausgang (ASR A2.3 Tab. 1)</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105 cm für 132 Personen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200 cm, zweiflügelig, Panikbeschlag</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Türbreite je Notausgang (ASR A2.3 Tab. 1)</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80 cm</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90 bis 200 cm</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Fluchtweglänge je Raum (ASR A2.3 Abs. 5)</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35 m Luftlinie zum nächsten Notausgang</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max. 21,8 m (Trainingshalle, Core &amp; Dehnen)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Gezeichnete Fluchtwege (ASR A2.3 Abs. 5 (3))</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52,5 m Lauflänge und ≤ 35 m Luftlinie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 Wege, 14,7 bis 35,2 m Lauflänge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Korridor frei, Laufwegbreite (ASR A1.8, A2.3)</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100 bis 120 cm ohne Objekte; ≥ 120 cm bis 200 Personen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 keine Engpässe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Aufschlagrichtung Notausgangstüren (ASR A2.3 Abs. 6)</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 Fluchtrichtung nach außen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 an allen 6 Türen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Löschmitteleinheiten (ASR A2.2 Tab. 3)</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60 LE für 1.975,40 m²</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21 Feuerlöscher = 126 LE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Entfernung zum Feuerlöscher (ASR A2.2 Abs. 6.2)</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20 m Luftlinie von jedem Punkt</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max. 13,2 m (Trainingshalle)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Verbandkästen (ASR A4.3, DGUV V1 § 25)</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2 kleine (DIN 13157) oder 1 großer (DIN 13169)</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AED (DGUV Information 204-010)</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vorhanden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Rettungszeichen und Sicherheitsbeleuchtung (ASR A1.3, A2.3 Abschn. 9)</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Zeichen E001/E002 und Rettungszeichenleuchte ≤ 150 cm je Notausgang</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 Schilder, 6 Leuchten in 1,11 bis 1,31 m</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Spinde / Duschen / WCs (ASR A4.1)</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126 / ≥ 9 (empfohlen 13) / ≥ 6</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178 / 18 / 11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Barrierefreies WC (ASR V3a.2, DIN 18040-1)</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 Tür ≥ 90 cm; Bewegungsfläche 150 × 150 cm</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(Objekt 150 × 220 cm)</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 Bewegungsfläche Hinweis</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Gerätefreiräume (DIN EN ISO 20957-1)</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Freiraum nach Hersteller, mind. 60 cm</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Kollisionen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 und Rettungsplan (ASR A2.3 Abs. 9, DIN ISO 23601)</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Aushang je Stockwerk</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 Aushänge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Versammlungsstättenverordnung (§ 1 MVStättVO)</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anwendbar ab 200 Personen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132 Bemessungspersonen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nicht anwendbar</w:t>
            </w:r>
          </w:p>
        </w:tc>
      </w:tr>
    </w:tbl>
    <w:p>
      <w:pPr>
        <w:pStyle w:val="Normal"/>
        <w:spacing w:before="60" w:after="200"/>
        <w:jc w:val="left"/>
        <w:rPr/>
      </w:pPr>
      <w:r>
        <w:rPr>
          <w:rFonts w:eastAsia="Arial" w:cs="Arial"/>
          <w:i/>
          <w:iCs/>
          <w:color w:val="5A5A5A"/>
          <w:sz w:val="18"/>
          <w:szCs w:val="18"/>
        </w:rPr>
        <w:t>Quelle: Rechercheprotokoll (Anhang I), GymPlanner-Dokumentation; Regelwerke ASR A1.3, A1.8, A2.2, A2.3, A4.1, A4.3, V3a.2, DGUV V1, MBO, DIN EN ISO 20957-1, DIN 18040-1.</w:t>
      </w:r>
    </w:p>
    <w:p>
      <w:pPr>
        <w:pStyle w:val="Normal"/>
        <w:keepNext w:val="true"/>
        <w:spacing w:before="160" w:after="80"/>
        <w:jc w:val="left"/>
        <w:rPr/>
      </w:pPr>
      <w:r>
        <w:rPr>
          <w:rFonts w:eastAsia="Arial" w:cs="Arial"/>
          <w:b/>
          <w:bCs/>
          <w:sz w:val="20"/>
          <w:szCs w:val="20"/>
        </w:rPr>
        <w:t>Tabelle 8.4: Gezeichnete Fluchtwege (Lauflänge, Soll ≤ 52,5 m)</w:t>
      </w:r>
    </w:p>
    <w:tbl>
      <w:tblPr>
        <w:tblW w:w="9638" w:type="dxa"/>
        <w:jc w:val="left"/>
        <w:tblInd w:w="0" w:type="dxa"/>
        <w:tblLayout w:type="fixed"/>
        <w:tblCellMar>
          <w:top w:w="40" w:type="dxa"/>
          <w:left w:w="70" w:type="dxa"/>
          <w:bottom w:w="40" w:type="dxa"/>
          <w:right w:w="70" w:type="dxa"/>
        </w:tblCellMar>
      </w:tblPr>
      <w:tblGrid>
        <w:gridCol w:w="771"/>
        <w:gridCol w:w="5397"/>
        <w:gridCol w:w="1735"/>
        <w:gridCol w:w="1734"/>
      </w:tblGrid>
      <w:tr>
        <w:trPr>
          <w:tblHeader w:val="true"/>
        </w:trPr>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Nr.</w:t>
            </w:r>
          </w:p>
        </w:tc>
        <w:tc>
          <w:tcPr>
            <w:tcW w:w="539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Fluchtweg</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Lauflänge</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Status</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Freihantel → Notausgang West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24,9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Beine → Notausgang Nord</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21,5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Cardio → Notausgang Nord-Ost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19,5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Rücken / Rack-Straße → Notausgang Nord-Ost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35,2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Schultern &amp; Arme → Notausgang Süd</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20,8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Duschen / Umkleide Damen → Notausgang Süd</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17,0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Duschen / Umkleide Herren → Notausgang Süd</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16,9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Kursraum → Notausgang Kursraum</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14,7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Büro / Personal → Haupteingang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18,6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Technik / Lager → Haupteingang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23,6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11</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Wellness → Notausgang Süd</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32,2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r>
        <w:trPr/>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w:t>
            </w:r>
          </w:p>
        </w:tc>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Kursraum → Halle → Notausgang Süd</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34,4 m</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w:t>
            </w:r>
          </w:p>
        </w:tc>
      </w:tr>
    </w:tbl>
    <w:p>
      <w:pPr>
        <w:pStyle w:val="Normal"/>
        <w:spacing w:before="60" w:after="200"/>
        <w:jc w:val="left"/>
        <w:rPr/>
      </w:pPr>
      <w:r>
        <w:rPr>
          <w:rFonts w:eastAsia="Arial" w:cs="Arial"/>
          <w:i/>
          <w:iCs/>
          <w:color w:val="5A5A5A"/>
          <w:sz w:val="18"/>
          <w:szCs w:val="18"/>
        </w:rPr>
        <w:t>Quelle: Rechercheprotokoll (Anhang I); alle Wege enden ≤ 100 cm vor einer Notausgangstür und kreuzen Wände nur in Türöffnungen (ASR A2.3 Abs. 4).</w:t>
      </w:r>
    </w:p>
    <w:p>
      <w:pPr>
        <w:pStyle w:val="Normal"/>
        <w:spacing w:lineRule="exact" w:line="276" w:before="0" w:after="120"/>
        <w:jc w:val="both"/>
        <w:rPr/>
      </w:pPr>
      <w:r>
        <w:rPr>
          <w:rFonts w:eastAsia="Arial" w:cs="Arial"/>
          <w:sz w:val="22"/>
          <w:szCs w:val="22"/>
        </w:rPr>
        <w:t>Die sechs Hinweise der Prüfung betreffen keine baulichen Mängel, sondern organisatorische Pflichten des Betreibers, die vor Eröffnung umzusetzen und laufend nachzuweisen sind. Tabelle 8.5 ordnet ihnen Maßnahmen, Verantwortliche und Termine zu. Die Beschäftigtenzahl ist in der Prüfung als Konstante mit 6 hinterlegt; tatsächlich sind bei Eröffnung 14 Personen beschäftigt (Kapitel 2, Tabelle 2.4), wovon die Quoten für Brandschutzhelfer und Ersthelfer abgeleitet werden.</w:t>
      </w:r>
    </w:p>
    <w:p>
      <w:pPr>
        <w:pStyle w:val="Normal"/>
        <w:keepNext w:val="true"/>
        <w:spacing w:before="160" w:after="80"/>
        <w:jc w:val="left"/>
        <w:rPr/>
      </w:pPr>
      <w:r>
        <w:rPr>
          <w:rFonts w:eastAsia="Arial" w:cs="Arial"/>
          <w:b/>
          <w:bCs/>
          <w:sz w:val="20"/>
          <w:szCs w:val="20"/>
        </w:rPr>
        <w:t>Tabelle 8.5: Hinweise der Regularienprüfung und Umsetzung</w:t>
      </w:r>
    </w:p>
    <w:tbl>
      <w:tblPr>
        <w:tblW w:w="9638" w:type="dxa"/>
        <w:jc w:val="left"/>
        <w:tblInd w:w="0" w:type="dxa"/>
        <w:tblLayout w:type="fixed"/>
        <w:tblCellMar>
          <w:top w:w="40" w:type="dxa"/>
          <w:left w:w="70" w:type="dxa"/>
          <w:bottom w:w="40" w:type="dxa"/>
          <w:right w:w="70" w:type="dxa"/>
        </w:tblCellMar>
      </w:tblPr>
      <w:tblGrid>
        <w:gridCol w:w="1734"/>
        <w:gridCol w:w="2699"/>
        <w:gridCol w:w="3277"/>
        <w:gridCol w:w="1927"/>
      </w:tblGrid>
      <w:tr>
        <w:trPr>
          <w:tblHeader w:val="true"/>
        </w:trPr>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Hinweis</w:t>
            </w:r>
          </w:p>
        </w:tc>
        <w:tc>
          <w:tcPr>
            <w:tcW w:w="269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Anforderung</w:t>
            </w:r>
          </w:p>
        </w:tc>
        <w:tc>
          <w:tcPr>
            <w:tcW w:w="327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Maßnahme</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Verantwortlich / Termin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Bewegungsfläche barrierefreies WC</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150 × 150 cm frei, seitlich 90 cm neben dem WC (DIN 18040-1)</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Freihaltung in Ausführungsplanung, keine Spender oder Türflügel in der Fläche</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Architekt, Ausbauplanung Monat −5</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Toiletten für Beschäftigte</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 Toilette je Geschlecht bis 5 Beschäftigte (ASR A4.1 Tab. 2)</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Mitnutzung der Mitglieds-WCs (7 WC, 4 Urinale) in Arbeitsplatznähe; Personalraum 19,30 m² angrenzend</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Erfüllt durch Planung</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Brandschutzhelfer</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5 % der Beschäftigten, mind. 1 je Schicht (ASR A2.2 Abs. 7.3, DGUV I 205-023)</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Ausbildung von Gründer, stellv. Leitung und allen Vollzeittrainern (4 Personen), Schichtplan mit Abdeckung aller Öffnungszeiten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Monat −1</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Ersthelfer</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Ersthelfer bei 2 bis 20 Versicherten, Fortbildung alle 2 Jahre (DGUV V1 § 26)</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Erste-Hilfe-Ausbildung aller Trainer und Empfangskräfte, AED-Einweisung; Kurs über die VBG kostenfrei</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Stellv. Studioleitung, Monat −1</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Legionellenprüfung (18 Duschen)</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Untersuchung alle 3 Jahre, Warmwasser ≥ 60 °C (TrinkwV § 31)</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Erstuntersuchung vor Eröffnung, Spülplan in Anlaufphase, Probenahme durch zugelassenes Labor</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TGA-Planer / Gründer, Monat −1, dann alle 3 Jahre</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Prüfung der Feuerlöscher</w:t>
            </w:r>
          </w:p>
        </w:tc>
        <w:tc>
          <w:tcPr>
            <w:tcW w:w="26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Sachkundigenprüfung alle 2 Jahre, Prüfplakette, Kennzeichnung F001 (ASR A2.2 Abs. 7.1)</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Wartungsvertrag mit Brandschutzfachbetrieb, Prüfbuch</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ab Eröffnung</w:t>
            </w:r>
          </w:p>
        </w:tc>
      </w:tr>
    </w:tbl>
    <w:p>
      <w:pPr>
        <w:pStyle w:val="Normal"/>
        <w:spacing w:before="60" w:after="200"/>
        <w:jc w:val="left"/>
        <w:rPr/>
      </w:pPr>
      <w:r>
        <w:rPr>
          <w:rFonts w:eastAsia="Arial" w:cs="Arial"/>
          <w:i/>
          <w:iCs/>
          <w:color w:val="5A5A5A"/>
          <w:sz w:val="18"/>
          <w:szCs w:val="18"/>
        </w:rPr>
        <w:t>Quelle: Rechercheprotokoll (Anhang I), ASR A2.2, ASR A4.1, DGUV Vorschrift 1, DIN 18040-1, TrinkwV.</w:t>
      </w:r>
    </w:p>
    <w:p>
      <w:pPr>
        <w:pStyle w:val="Normal"/>
        <w:spacing w:lineRule="exact" w:line="276" w:before="0" w:after="120"/>
        <w:jc w:val="both"/>
        <w:rPr/>
      </w:pPr>
      <w:r>
        <w:rPr>
          <w:rFonts w:eastAsia="Arial" w:cs="Arial"/>
          <w:sz w:val="22"/>
          <w:szCs w:val="22"/>
        </w:rPr>
        <w:t>Gerätesicherheit: Alle stationären Trainingsgeräte müssen DIN EN ISO 20957-1 (allgemeine sicherheitstechnische Anforderungen) und den gerätespezifischen Teilen der Norm entsprechen; die Planung hält die Freiräume nach Herstellerangabe ein, die Prüfung meldet keine Kollisionen (Quellen: Anhang I). Ein erheblicher Teil der Kraftgeräte stammt von den Herstellern Atlantis und Prime mit einem Importanteil von 268.570 € (Quellen: Anhang I). Für diese Geräte ist mit dem Lieferanten vertraglich sicherzustellen, dass CE-Kennzeichnung und Konformitätserklärung für den EU-Markt vorliegen; andernfalls treffen die Pflichten des Einführers nach dem Produktsicherheitsrecht die GmbH. Nach der Betriebssicherheitsverordnung sind die Geräte regelmäßig zu prüfen und zu warten; das Finanzmodell setzt hierfür 5 % des Gerätewerts je Jahr an, im dritten Betriebsjahr 31.160 €, zuzüglich Gebäudeinstandhaltung von 7.902 €.</w:t>
      </w:r>
    </w:p>
    <w:p>
      <w:pPr>
        <w:pStyle w:val="Normal"/>
        <w:spacing w:lineRule="exact" w:line="276" w:before="0" w:after="120"/>
        <w:jc w:val="both"/>
        <w:rPr/>
      </w:pPr>
      <w:r>
        <w:rPr>
          <w:rFonts w:eastAsia="Arial" w:cs="Arial"/>
          <w:sz w:val="22"/>
          <w:szCs w:val="22"/>
        </w:rPr>
        <w:t>Arbeitsschutzorganisation: Vor Betriebsbeginn erstellt die Geschäftsführung die Gefährdungsbeurteilung nach § 5 ArbSchG (Trainingsfläche, Freihantel, Sauna und Dampfbad, Reinigung, Alleinarbeit in Randzeiten) und dokumentiert die Unterweisungen nach § 12 ArbSchG. Die sicherheitstechnische und arbeitsmedizinische Betreuung erfolgt für einen Betrieb dieser Größe im Unternehmermodell der VBG (DGUV Vorschrift 2). Für die unbesetzten Randzeiten mit Zutrittssystem (28 Wochenstunden, Kapitel 3, Tabelle 3.5) sind Notrufeinrichtungen, Videoüberwachung der Trainingsfläche und eine Bereitschaftsregelung vorzusehen; für Sauna und Dampfbad gilt in diesen Zeiten eine Sperre, weil die Nutzung ohne Aufsicht ein erhöhtes Risiko darstellt [vom Gründer im Betriebskonzept festzulegen].</w:t>
      </w:r>
    </w:p>
    <w:p>
      <w:pPr>
        <w:pStyle w:val="Heading2"/>
        <w:keepNext w:val="true"/>
        <w:spacing w:before="280" w:after="120"/>
        <w:rPr/>
      </w:pPr>
      <w:bookmarkStart w:id="70" w:name="__RefHeading___Toc21241_3809407278"/>
      <w:bookmarkEnd w:id="70"/>
      <w:r>
        <w:rPr/>
        <w:t>8.4 Hygiene: Sauna, Dampfbad, Trinkwasser und Reinigung</w:t>
      </w:r>
    </w:p>
    <w:p>
      <w:pPr>
        <w:pStyle w:val="Normal"/>
        <w:spacing w:lineRule="exact" w:line="276" w:before="0" w:after="120"/>
        <w:jc w:val="both"/>
        <w:rPr/>
      </w:pPr>
      <w:r>
        <w:rPr>
          <w:rFonts w:eastAsia="Arial" w:cs="Arial"/>
          <w:sz w:val="22"/>
          <w:szCs w:val="22"/>
        </w:rPr>
        <w:t>Trinkwasser: Das Studio betreibt mit 18 Duschen, 8 Waschtischen, einer Erlebnisdusche und 10 Wasserspendern eine gewerblich genutzte Großanlage zur Trinkwassererwärmung. Nach § 31 TrinkwV ist die Trinkwasserinstallation alle drei Jahre durch ein zugelassenes Labor auf Legionellen zu untersuchen; das Warmwasser ist am Speicheraustritt auf mindestens 60 °C zu halten (Prüfhinweis). Besonders in der Anlaufphase mit noch geringer Auslastung besteht Stagnationsgefahr; deshalb wird ein Spülplan für selten genutzte Entnahmestellen geführt und die Erstuntersuchung vor Eröffnung vorgenommen. Die Wasserspender sind nach Herstellerangabe zu reinigen und die Filter zu wechseln.</w:t>
      </w:r>
    </w:p>
    <w:p>
      <w:pPr>
        <w:pStyle w:val="Normal"/>
        <w:spacing w:lineRule="exact" w:line="276" w:before="0" w:after="120"/>
        <w:jc w:val="both"/>
        <w:rPr/>
      </w:pPr>
      <w:r>
        <w:rPr>
          <w:rFonts w:eastAsia="Arial" w:cs="Arial"/>
          <w:sz w:val="22"/>
          <w:szCs w:val="22"/>
        </w:rPr>
        <w:t>Sauna, Dampfbad und Cold Plunge: Finnische Sauna (22.000 €), Dampfbad (20.000 €) und Cold Plunge sind in der Stückliste enthalten (Quellen: Anhang I). Für Sauna und Dampfbad gelten die allgemeinen Hygieneanforderungen des Infektionsschutzgesetzes und die Hygieneempfehlungen des Deutschen Sauna-Bundes: tägliche Reinigung und Desinfektion der Sitzflächen und Böden, im Dampfbad zusätzlich regelmäßige Desinfektion der Wände und Düsen, Aufgussmittel nur aus geprüften Quellen, Aushang der Baderegeln. Für das Cold-Plunge-Tauchbecken ist mit dem Gesundheitsamt zu klären, ob es als Badebecken im Sinne von § 37 Abs. 2 IfSG gilt; dann wären Wasseraufbereitung nach DIN 19643 und Überwachung durch das Gesundheitsamt erforderlich. Alternativ ist ein Frischwasserbetrieb mit täglichem Wasserwechsel möglich [vom Gründer mit Hersteller und Gesundheitsamt zu klären]. Das Hygienekonzept ist vor Inbetriebnahme mit dem Gesundheitsamt abzustimmen (Tabelle 8.13, Monat −3).</w:t>
      </w:r>
    </w:p>
    <w:p>
      <w:pPr>
        <w:pStyle w:val="Normal"/>
        <w:spacing w:lineRule="exact" w:line="276" w:before="0" w:after="120"/>
        <w:jc w:val="both"/>
        <w:rPr/>
      </w:pPr>
      <w:r>
        <w:rPr>
          <w:rFonts w:eastAsia="Arial" w:cs="Arial"/>
          <w:sz w:val="22"/>
          <w:szCs w:val="22"/>
        </w:rPr>
        <w:t>Reinigung: Der Personalplan enthält zwei Reinigungskräfte im Minijob für die Abendreinigung (je 620 € brutto); für Reinigungsmaterial, Hygieneartikel und ergänzende Fremdreinigung sind 2.200 € je Monat angesetzt, im dritten Betriebsjahr 26.400 €. Zusammen ergeben sich rechnerisch rund 3.830 € je Monat einschließlich Minijob-Pauschalabgaben, das sind etwa 1,94 €/m² Bruttofläche und damit knapp unter dem DSSV-Richtwert von 2,00 bis 3,00 €/m² und Monat (DSSV Leitfaden Kostenmanagement 04/2022). Die Tagesreinigung der Trainingsfläche (Geräte, Matten, Umkleiden) übernehmen Empfang und Trainer in den Kernzeiten; neun Desinfektionsstationen stehen den Mitgliedern für die Gerätedesinfektion zur Verfügung (Quellen: Anhang I). Das Maßnahmenpaket des pessimistischen Szenarios kürzt Reinigung und Sonstiges um 15 %; die Hygienemindeststandards in Tabelle 8.6 sind davon ausgenommen.</w:t>
      </w:r>
    </w:p>
    <w:p>
      <w:pPr>
        <w:pStyle w:val="Normal"/>
        <w:keepNext w:val="true"/>
        <w:spacing w:before="160" w:after="80"/>
        <w:jc w:val="left"/>
        <w:rPr/>
      </w:pPr>
      <w:r>
        <w:rPr>
          <w:rFonts w:eastAsia="Arial" w:cs="Arial"/>
          <w:b/>
          <w:bCs/>
          <w:sz w:val="20"/>
          <w:szCs w:val="20"/>
        </w:rPr>
        <w:t>Tabelle 8.6: Hygiene- und Reinigungsplan (Mindeststandard)</w:t>
      </w:r>
    </w:p>
    <w:tbl>
      <w:tblPr>
        <w:tblW w:w="9638" w:type="dxa"/>
        <w:jc w:val="left"/>
        <w:tblInd w:w="0" w:type="dxa"/>
        <w:tblLayout w:type="fixed"/>
        <w:tblCellMar>
          <w:top w:w="40" w:type="dxa"/>
          <w:left w:w="70" w:type="dxa"/>
          <w:bottom w:w="40" w:type="dxa"/>
          <w:right w:w="70" w:type="dxa"/>
        </w:tblCellMar>
      </w:tblPr>
      <w:tblGrid>
        <w:gridCol w:w="2120"/>
        <w:gridCol w:w="3470"/>
        <w:gridCol w:w="2120"/>
        <w:gridCol w:w="1927"/>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Bereich</w:t>
            </w:r>
          </w:p>
        </w:tc>
        <w:tc>
          <w:tcPr>
            <w:tcW w:w="347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Maßnahme</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Turnus</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Nachweis / Regelwerk</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Trainingsfläche, Geräte, Matten</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Wischdesinfektion Kontaktflächen, Bodenreinigung, Mitglieder-Desinfektion an 9 Stationen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täglich (Abend), Kontaktflächen laufend</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Reinigungsprotokoll</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Umkleiden, Duschen, WC</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Nassreinigung, Desinfektion, Verbrauchsmaterial</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täglich, Stoßzeiten zusätzlich</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Reinigungsprotokoll, ASR A4.1</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Sauna, Dampfbad, Ruheraum</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 und Desinfektion Sitzflächen, Böden, Dampfbadwände; Liegen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täglich nach Betriebsende</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Hygieneplan, Deutscher Sauna-Bund, IfSG</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Cold Plunge, Erlebnisdusche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Wasserwechsel oder Aufbereitung, Beckenreinigung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täglich bzw. nach DIN 19643 (falls Badebecken)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Abstimmung Gesundheitsamt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Trinkwasserinstallation</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Legionellenuntersuchung, Warmwasser ≥ 60 °C, Spülplan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alle 3 Jahre; Spülung wöchentlich bei Stagnation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TrinkwV § 31, Laborbefund</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Wasserspender (10)</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 Filterwechsel nach Hersteller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nach Herstellerangabe</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Wartungsprotokoll</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Lüftungsanlage (RLT)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Filterwechsel, Hygieneinspektion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nach VDI 6022, Wartungsvertrag</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Wartungsprotokoll</w:t>
            </w:r>
          </w:p>
        </w:tc>
      </w:tr>
    </w:tbl>
    <w:p>
      <w:pPr>
        <w:pStyle w:val="Normal"/>
        <w:spacing w:before="60" w:after="200"/>
        <w:jc w:val="left"/>
        <w:rPr/>
      </w:pPr>
      <w:r>
        <w:rPr>
          <w:rFonts w:eastAsia="Arial" w:cs="Arial"/>
          <w:i/>
          <w:iCs/>
          <w:color w:val="5A5A5A"/>
          <w:sz w:val="18"/>
          <w:szCs w:val="18"/>
        </w:rPr>
        <w:t>Quelle: Rechercheprotokoll (Anhang I; Ausstattung), Excel-Planrechnung (Reinigungsbudget), Rechercheprotokoll (Anhang I; DSSV-Richtwert), TrinkwV, IfSG; Turnus als Planung des Gründers.</w:t>
      </w:r>
    </w:p>
    <w:p>
      <w:pPr>
        <w:pStyle w:val="Heading2"/>
        <w:keepNext w:val="true"/>
        <w:spacing w:before="280" w:after="120"/>
        <w:rPr/>
      </w:pPr>
      <w:bookmarkStart w:id="71" w:name="__RefHeading___Toc21243_3809407278"/>
      <w:bookmarkEnd w:id="71"/>
      <w:r>
        <w:rPr/>
        <w:t>8.5 Datenschutz: Zutrittssystem, Videoüberwachung und Mitgliederdaten</w:t>
      </w:r>
    </w:p>
    <w:p>
      <w:pPr>
        <w:pStyle w:val="Normal"/>
        <w:spacing w:lineRule="exact" w:line="276" w:before="0" w:after="120"/>
        <w:jc w:val="both"/>
        <w:rPr/>
      </w:pPr>
      <w:r>
        <w:rPr>
          <w:rFonts w:eastAsia="Arial" w:cs="Arial"/>
          <w:sz w:val="22"/>
          <w:szCs w:val="22"/>
        </w:rPr>
        <w:t>Das Studio verarbeitet personenbezogene Daten in drei Bereichen: Mitgliederverwaltung mit Vertrags-, Zahlungs- und Trainingsdaten, Zutrittskontrolle über zwei Drehkreuze mit Chip oder App sowie Videoüberwachung mit fünf Kameras (Quellen: Anhang I). Für die Studiosoftware und das Zutrittssystem sind 450 € je Monat eingeplant. Die Verarbeitung der Vertragsdaten stützt sich auf Art. 6 Abs. 1 lit. b DSGVO; Zutrittsprotokolle dienen der Vertragsdurchführung und in den unbesetzten Randzeiten der Sicherheit (Art. 6 Abs. 1 lit. f DSGVO) und werden nach einer festzulegenden kurzen Frist gelöscht. Gesundheitsdaten aus Anamnesebögen, Körperanalysen oder Trainingsplänen sind besondere Kategorien nach Art. 9 DSGVO und dürfen nur mit ausdrücklicher Einwilligung verarbeitet werden; die Einwilligung wird getrennt vom Mitgliedsvertrag eingeholt und ist jederzeit widerruflich.</w:t>
      </w:r>
    </w:p>
    <w:p>
      <w:pPr>
        <w:pStyle w:val="Normal"/>
        <w:spacing w:lineRule="exact" w:line="276" w:before="0" w:after="120"/>
        <w:jc w:val="both"/>
        <w:rPr/>
      </w:pPr>
      <w:r>
        <w:rPr>
          <w:rFonts w:eastAsia="Arial" w:cs="Arial"/>
          <w:sz w:val="22"/>
          <w:szCs w:val="22"/>
        </w:rPr>
        <w:t>Videoüberwachung: Kameras sind ausschließlich für Eingang, Empfang, Kassenbereich und die Trainingsfläche vorgesehen, nicht für Umkleiden, Duschen, WC, Wellness- und Ruheräume. Rechtsgrundlage ist die Interessenabwägung nach Art. 6 Abs. 1 lit. f DSGVO (Schutz von Eigentum und Personen, insbesondere in den 28 unbesetzten Wochenstunden); § 4 BDSG regelt die Überwachung öffentlich zugänglicher Räume. Erforderlich sind Hinweisschilder mit Informationen nach Art. 13 DSGVO vor Betreten des überwachten Bereichs, eine kurze Löschfrist von wenigen Tagen ohne dokumentierten Anlass (Orientierungshilfe Videoüberwachung der Datenschutzkonferenz), eine Zugriffsbeschränkung auf Geschäftsführung und stellvertretende Leitung sowie die Prüfung, ob wegen der systematischen Überwachung eines öffentlich zugänglichen Bereichs eine Datenschutz-Folgenabschätzung nach Art. 35 DSGVO durchzuführen ist.</w:t>
      </w:r>
    </w:p>
    <w:p>
      <w:pPr>
        <w:pStyle w:val="Normal"/>
        <w:spacing w:lineRule="exact" w:line="276" w:before="0" w:after="120"/>
        <w:jc w:val="both"/>
        <w:rPr/>
      </w:pPr>
      <w:r>
        <w:rPr>
          <w:rFonts w:eastAsia="Arial" w:cs="Arial"/>
          <w:sz w:val="22"/>
          <w:szCs w:val="22"/>
        </w:rPr>
        <w:t>Organisation: Die GmbH führt ein Verzeichnis der Verarbeitungstätigkeiten (Art. 30 DSGVO), schließt mit dem Anbieter der Studiosoftware, dem Zahlungsdienstleister und dem Marketing-Dienstleister Auftragsverarbeitungsverträge (Art. 28 DSGVO) und dokumentiert technische und organisatorische Maßnahmen (Art. 32 DSGVO), darunter Rollenrechte in der Software, Verschlüsselung der SEPA-Mandate und Löschkonzept nach Vertragsende unter Beachtung der handels- und steuerrechtlichen Aufbewahrungsfristen. Ein Datenschutzbeauftragter ist nach § 38 BDSG erst zu benennen, wenn in der Regel mindestens 20 Personen ständig mit automatisierter Verarbeitung beschäftigt sind; mit 14 bis 15 Beschäftigten, von denen nur ein Teil Zugriff auf die Mitgliederdaten hat, ist dies voraussichtlich nicht der Fall [vom Gründer mit dem Datenschutzberater zu prüfen]. Beim Online-Vertragsabschluss, der in der Branche bereits 24 % der Abschlüsse ausmacht (DSSV Eckdaten 2025), gelten zusätzlich die Informationspflichten des Fernabsatzrechts (Abschnitt 8.6).</w:t>
      </w:r>
    </w:p>
    <w:p>
      <w:pPr>
        <w:pStyle w:val="Normal"/>
        <w:keepNext w:val="true"/>
        <w:spacing w:before="160" w:after="80"/>
        <w:jc w:val="left"/>
        <w:rPr/>
      </w:pPr>
      <w:r>
        <w:rPr>
          <w:rFonts w:eastAsia="Arial" w:cs="Arial"/>
          <w:b/>
          <w:bCs/>
          <w:sz w:val="20"/>
          <w:szCs w:val="20"/>
        </w:rPr>
        <w:t>Tabelle 8.7: Datenverarbeitungen und Maßnahmen</w:t>
      </w:r>
    </w:p>
    <w:tbl>
      <w:tblPr>
        <w:tblW w:w="9638" w:type="dxa"/>
        <w:jc w:val="left"/>
        <w:tblInd w:w="0" w:type="dxa"/>
        <w:tblLayout w:type="fixed"/>
        <w:tblCellMar>
          <w:top w:w="40" w:type="dxa"/>
          <w:left w:w="70" w:type="dxa"/>
          <w:bottom w:w="40" w:type="dxa"/>
          <w:right w:w="70" w:type="dxa"/>
        </w:tblCellMar>
      </w:tblPr>
      <w:tblGrid>
        <w:gridCol w:w="2891"/>
        <w:gridCol w:w="2506"/>
        <w:gridCol w:w="4241"/>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Verarbeitung</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Rechtsgrundlage</w:t>
            </w:r>
          </w:p>
        </w:tc>
        <w:tc>
          <w:tcPr>
            <w:tcW w:w="424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Maßnahme</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Mitgliedsvertrag, SEPA-Lastschrift, Rechnungen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Art. 6 Abs. 1 lit. b DSGVO</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Rollenrechte in der Studiosoftware, AV-Vertrag Software und Zahlungsdienstleister, Löschkonzept</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Gesundheits- und Trainingsdaten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Art. 9 Abs. 2 lit. a DSGVO (Einwilligung)</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Gesonderte Einwilligung, Zugriff nur Trainer, kein Export an Dritte</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Zutrittsprotokolle (2 Drehkreuze, Chip/App)</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Art. 6 Abs. 1 lit. b und f DSGVO</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Kurze Speicherfrist, Auswertung nur bei Vorfall oder Kapazitätsplanung in anonymisierter Form</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Videoüberwachung (5 Kameras)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Art. 6 Abs. 1 lit. f DSGVO, § 4 BDSG</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Kameras in Umkleide, Sanitär, Wellness; Hinweisschilder; Löschung nach wenigen Tagen; Prüfung DSFA</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Online-Abschluss, App, Newsletter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Art. 6 Abs. 1 lit. b und a DSGVO, § 7 UWG</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Double-Opt-in, Kündigungsbutton, Datenschutzerklärung, Cookie-Einwilligung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Bewerber- und Beschäftigtendaten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26 BDSG</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Getrennte Ablage, Löschung nach Ende des Verfahrens bzw. der Aufbewahrungsfristen</w:t>
            </w:r>
          </w:p>
        </w:tc>
      </w:tr>
    </w:tbl>
    <w:p>
      <w:pPr>
        <w:pStyle w:val="Normal"/>
        <w:spacing w:before="60" w:after="200"/>
        <w:jc w:val="left"/>
        <w:rPr/>
      </w:pPr>
      <w:r>
        <w:rPr>
          <w:rFonts w:eastAsia="Arial" w:cs="Arial"/>
          <w:i/>
          <w:iCs/>
          <w:color w:val="5A5A5A"/>
          <w:sz w:val="18"/>
          <w:szCs w:val="18"/>
        </w:rPr>
        <w:t>Quelle: Rechercheprotokoll (Anhang I; Kameras, Drehkreuze), Excel-Planrechnung (Software), DSGVO, BDSG; Umsetzung durch den Gründer mit externem Datenschutzberater.</w:t>
      </w:r>
    </w:p>
    <w:p>
      <w:pPr>
        <w:pStyle w:val="Heading2"/>
        <w:keepNext w:val="true"/>
        <w:spacing w:before="280" w:after="120"/>
        <w:rPr/>
      </w:pPr>
      <w:bookmarkStart w:id="72" w:name="__RefHeading___Toc21245_3809407278"/>
      <w:bookmarkEnd w:id="72"/>
      <w:r>
        <w:rPr/>
        <w:t>8.6 Mitgliedsverträge und Allgemeine Geschäftsbedingungen</w:t>
      </w:r>
    </w:p>
    <w:p>
      <w:pPr>
        <w:pStyle w:val="Normal"/>
        <w:spacing w:lineRule="exact" w:line="276" w:before="0" w:after="120"/>
        <w:jc w:val="both"/>
        <w:rPr/>
      </w:pPr>
      <w:r>
        <w:rPr>
          <w:rFonts w:eastAsia="Arial" w:cs="Arial"/>
          <w:sz w:val="22"/>
          <w:szCs w:val="22"/>
        </w:rPr>
        <w:t>Die Mitgliedsverträge sind Verbraucherverträge. Nach § 309 Nr. 9 BGB darf die Erstlaufzeit höchstens zwei Jahre betragen; eine stillschweigende Verlängerung ist nur auf unbestimmte Zeit mit einer Kündigungsfrist von höchstens einem Monat zulässig, und die Kündigungsfrist zum Ende der Erstlaufzeit darf einen Monat nicht überschreiten (Gesetz für faire Verbraucherverträge, in Kraft seit 01.03.2022). Für die Kündigung darf keine strengere Form als die Textform verlangt werden (§ 309 Nr. 13 BGB). Verträge, die online abgeschlossen werden können, müssen einen Kündigungsbutton nach § 312k BGB bereithalten; im Fernabsatz besteht ein 14-tägiges Widerrufsrecht (§§ 312g, 355 BGB). Das Tarifsystem (Kapitel 3, Tabelle 3.6) wird deshalb mit Erstlaufzeiten von 12 und 24 Monaten sowie einem monatlich kündbaren Flex-Tarif angeboten; die genaue Staffelung und der Flex-Aufpreis sind vor dem Vorverkauf festzulegen [vom Gründer zu ergänzen]. Vergleichbare Strukturen nutzen die Wettbewerber ai fitness Friedrichshafen (23 und 12 Monate sowie flex) und Happy Fit Premium Konstanz (12 und 24 Monate sowie Flex) (Quellen: Anhang I).</w:t>
      </w:r>
    </w:p>
    <w:p>
      <w:pPr>
        <w:pStyle w:val="Normal"/>
        <w:spacing w:lineRule="exact" w:line="276" w:before="0" w:after="120"/>
        <w:jc w:val="both"/>
        <w:rPr/>
      </w:pPr>
      <w:r>
        <w:rPr>
          <w:rFonts w:eastAsia="Arial" w:cs="Arial"/>
          <w:sz w:val="22"/>
          <w:szCs w:val="22"/>
        </w:rPr>
        <w:t>Preisanpassung: Das Finanzmodell rechnet ab dem dritten Jahr mit einer Beitragsanpassung von 2,0 % je Jahr. Preisanpassungsklauseln in AGB sind nur wirksam, wenn Anlass, Maßstab und Umfang der Anpassung für den Verbraucher nachvollziehbar sind und dem Mitglied bei einer Erhöhung ein Kündigungsrecht eingeräumt wird (§§ 307, 308 Nr. 4 BGB). Eine unwirksame Klausel führt zur Rückforderung der erhöhten Beiträge. Die Klausel wird deshalb anwaltlich formuliert; alternativ erfolgt die Anpassung bei Neuabschluss und Verlängerung. Die halbjährliche Servicepauschale von 24,90 € und die Aufnahmegebühr von 49 € werden in der Preisliste und im Vertrag als Effektivpreis ausgewiesen; die Kritik von Verbraucherschützern an intransparenten Pauschalen der Discount-Ketten (Arbeiterkammer 01/2025) zeigt das Reputationsrisiko versteckter Gebühren.</w:t>
      </w:r>
    </w:p>
    <w:p>
      <w:pPr>
        <w:pStyle w:val="Normal"/>
        <w:spacing w:lineRule="exact" w:line="276" w:before="0" w:after="120"/>
        <w:jc w:val="both"/>
        <w:rPr/>
      </w:pPr>
      <w:r>
        <w:rPr>
          <w:rFonts w:eastAsia="Arial" w:cs="Arial"/>
          <w:sz w:val="22"/>
          <w:szCs w:val="22"/>
        </w:rPr>
        <w:t>Weitere Regelungen: Eine außerordentliche Kündigung ist aus wichtigem Grund möglich (§ 314 BGB), etwa bei dauerhafter Erkrankung mit Attest; ein Umzug berechtigt nach der Rechtsprechung des Bundesgerichtshofs nicht zur Kündigung (BGH, Urteil vom 04.05.2016, XII ZR 62/15). Als Kulanzregel sind Ruhezeiten bei Krankheit, Schwangerschaft und längerer Abwesenheit vorgesehen; die Branche rechnet mit einer Ruhequote von 2 bis 8 % (IN-COME 2020), im Finanzmodell ist sie in der Kündigungsquote von 2,2 % je Monat enthalten. Verträge mit Minderjährigen (Tarif Student/Azubi) bedürfen der Zustimmung der Erziehungsberechtigten (§ 107 BGB). Haftungsklauseln dürfen die Haftung für Körperschäden und grobes Verschulden nicht beschränken (§ 309 Nr. 7 BGB); die Verkehrssicherungspflicht des Betreibers wird durch die Geräteeinweisung jedes Neumitglieds, die Trainerpräsenz in den Kernzeiten und die Hausordnung erfüllt. Der AGB-Entwurf wird vor Beginn des Vorverkaufs (drei Monate vor Eröffnung) anwaltlich geprüft [vom Gründer zu ergänzen: Kanzlei, Angebot].</w:t>
      </w:r>
    </w:p>
    <w:p>
      <w:pPr>
        <w:pStyle w:val="Normal"/>
        <w:keepNext w:val="true"/>
        <w:spacing w:before="160" w:after="80"/>
        <w:jc w:val="left"/>
        <w:rPr/>
      </w:pPr>
      <w:r>
        <w:rPr>
          <w:rFonts w:eastAsia="Arial" w:cs="Arial"/>
          <w:b/>
          <w:bCs/>
          <w:sz w:val="20"/>
          <w:szCs w:val="20"/>
        </w:rPr>
        <w:t>Tabelle 8.8: Vertragsrahmen für Mitgliedschaften</w:t>
      </w:r>
    </w:p>
    <w:tbl>
      <w:tblPr>
        <w:tblW w:w="9638" w:type="dxa"/>
        <w:jc w:val="left"/>
        <w:tblInd w:w="0" w:type="dxa"/>
        <w:tblLayout w:type="fixed"/>
        <w:tblCellMar>
          <w:top w:w="40" w:type="dxa"/>
          <w:left w:w="70" w:type="dxa"/>
          <w:bottom w:w="40" w:type="dxa"/>
          <w:right w:w="70" w:type="dxa"/>
        </w:tblCellMar>
      </w:tblPr>
      <w:tblGrid>
        <w:gridCol w:w="2505"/>
        <w:gridCol w:w="4241"/>
        <w:gridCol w:w="2892"/>
      </w:tblGrid>
      <w:tr>
        <w:trPr>
          <w:tblHeader w:val="true"/>
        </w:trPr>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Regelungspunkt</w:t>
            </w:r>
          </w:p>
        </w:tc>
        <w:tc>
          <w:tcPr>
            <w:tcW w:w="424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Geplante Regelung</w:t>
            </w:r>
          </w:p>
        </w:tc>
        <w:tc>
          <w:tcPr>
            <w:tcW w:w="289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Rechtsgrundlage</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Erstlaufzeit</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 oder 24 Monate; Flex monatlich kündbar</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309 Nr. 9 lit. a BGB (max. 2 Jahre)</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Verlängerung</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 unbestimmte Zeit, jederzeit mit 1 Monat Frist kündbar</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309 Nr. 9 lit. b BGB</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Kündigung</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Textform (E-Mail, App), Kündigungsbutton online</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309 Nr. 13, § 312k BGB</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Widerruf</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14 Tage bei Online- und Haustürabschluss</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312g, 355 BGB</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Beitrag, Servicepauschale, Aufnahmegebühr</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44,90 / 59,90 / 34,90 € brutto; 24,90 € je Halbjahr; 49 € einmalig; Effektivpreis ausgewiesen</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Preisangabenverordnung, § 307 BGB</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Preisanpassung</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2,0 % p. a. mit transparenter Klausel und Sonderkündigungsrecht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307, 308 Nr. 4 BGB</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Ruhezeit, Sonderkündigung</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Attest, Schwangerschaft; wichtiger Grund</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314 BGB; BGH XII ZR 62/15</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Minderjährige</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Zustimmung der Erziehungsberechtigten, Tarif Student/Azubi</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107 BGB</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Haftung, Hausordnung</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Beschränkung bei Körperschäden; Einweisungspflicht; Sauna-Baderegeln</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309 Nr. 7 BGB, § 823 BGB</w:t>
            </w:r>
          </w:p>
        </w:tc>
      </w:tr>
    </w:tbl>
    <w:p>
      <w:pPr>
        <w:pStyle w:val="Normal"/>
        <w:spacing w:before="60" w:after="200"/>
        <w:jc w:val="left"/>
        <w:rPr/>
      </w:pPr>
      <w:r>
        <w:rPr>
          <w:rFonts w:eastAsia="Arial" w:cs="Arial"/>
          <w:i/>
          <w:iCs/>
          <w:color w:val="5A5A5A"/>
          <w:sz w:val="18"/>
          <w:szCs w:val="18"/>
        </w:rPr>
        <w:t>Quelle: Excel-Planrechnung (Tarife), BGB; Vertragsstaffel als Planung, anwaltliche Prüfung vor Vorverkauf.</w:t>
      </w:r>
    </w:p>
    <w:p>
      <w:pPr>
        <w:pStyle w:val="Heading2"/>
        <w:keepNext w:val="true"/>
        <w:spacing w:before="280" w:after="120"/>
        <w:rPr/>
      </w:pPr>
      <w:bookmarkStart w:id="73" w:name="__RefHeading___Toc21247_3809407278"/>
      <w:bookmarkEnd w:id="73"/>
      <w:r>
        <w:rPr/>
        <w:t>8.7 GEMA, GVL und Rundfunkbeitrag</w:t>
      </w:r>
    </w:p>
    <w:p>
      <w:pPr>
        <w:pStyle w:val="Normal"/>
        <w:spacing w:lineRule="exact" w:line="276" w:before="0" w:after="120"/>
        <w:jc w:val="both"/>
        <w:rPr/>
      </w:pPr>
      <w:r>
        <w:rPr>
          <w:rFonts w:eastAsia="Arial" w:cs="Arial"/>
          <w:sz w:val="22"/>
          <w:szCs w:val="22"/>
        </w:rPr>
        <w:t>Für die Musikwiedergabe auf der Trainingsfläche gilt der GEMA-Tarif M-U Abschnitt III 5 b (Tonträgerwiedergabe in Fitness- und Sportstudios). Nach dem seit 01.01.2026 gültigen Tarifblatt betragen die Vergütungssätze 465,30 € je Jahr bis 200 m² beschallter Fläche zuzüglich 169,20 € je weitere angefangene 200 m²; für 2.000 m² ergeben sich 1.988,10 € je Jahr bei Jahreszahlung, das sind 165,68 € je Monat, bei Monatszahlung 198,81 € (GEMA Tarif M-U Version 92). Hinzu kommt der GVL-Anteil für die Leistungsschutzrechte, der nach dem Abgleich mit Sekundärquellen etwa 20 % beträgt, sodass rund 239 € je Monat netto anfallen (Purelicence 07/2026). Kurse auf der bereits lizenzierten, beschallten Studiofläche werden nach der Vereinbarung zwischen GEMA und DSSV nicht zusätzlich vergütet (fitness MANAGEMENT 08/2018); für Kurse in einem gesondert abgeschlossenen Kursraum gilt der Tarif WR-KS-F mit 0,56 bis 2,52 € je Kursstunde, im Rechenbeispiel eines Premiumstudios mit 15 Teilnehmern und 40 Kursstunden je Monat rund 202 € je Monat (GEMA WR-KS-F 2026). Musik in Sauna und Ruheraum wird gesondert nach dem Saunatarif vergütet (bis 100 m²: 259,50 € je Jahr, Tarifstand 2026).</w:t>
      </w:r>
    </w:p>
    <w:p>
      <w:pPr>
        <w:pStyle w:val="Normal"/>
        <w:spacing w:lineRule="exact" w:line="276" w:before="0" w:after="120"/>
        <w:jc w:val="both"/>
        <w:rPr/>
      </w:pPr>
      <w:r>
        <w:rPr>
          <w:rFonts w:eastAsia="Arial" w:cs="Arial"/>
          <w:sz w:val="22"/>
          <w:szCs w:val="22"/>
        </w:rPr>
        <w:t>Das Finanzmodell setzt für GEMA und GVL 350 € je Monat, also 4.200 € je Jahr an. Damit sind Trainingsfläche, GVL-Anteil, Sauna und Rundfunkbeitrag abgedeckt; kommt für den gesondert abgeschlossenen Kursraum der Tarif WR-KS-F hinzu (Rechenbeispiel rund 202 € je Monat, Tabelle 8.9), wird der Planansatz überschritten. Die Differenz ist über den Gesamtvertragsnachlass für DSSV-Mitglieder, dessen Höhe für diesen Tarif nicht öffentlich belegt ist (Quellen: Anhang I), über die Zahl der Kursstunden im Kursraum zu begrenzen oder aus der Position Sonstiges zu decken [vom Gründer vor Eröffnung mit GEMA und DSSV zu klären]. Alternativ bietet die GEMA Pakete für Fitnessstudios mit Radio, Streaming und TV ab 84,23, 121,85 und 188,88 € je Monat an (gema.de 2026). Für die Wiedergabe über Streamingdienste ist ein Geschäftskundenvertrag erforderlich, da Privatabonnements die öffentliche Wiedergabe nicht abdecken. Der Rundfunkbeitrag für die Betriebsstätte beträgt bei 9 bis 19 Beschäftigten 18,36 € je Monat, zuzüglich 6,12 € je betrieblichem Kfz (rundfunkbeitrag.de 2026); er ist in der Position Sonstiges enthalten.</w:t>
      </w:r>
    </w:p>
    <w:p>
      <w:pPr>
        <w:pStyle w:val="Normal"/>
        <w:keepNext w:val="true"/>
        <w:spacing w:before="160" w:after="80"/>
        <w:jc w:val="left"/>
        <w:rPr/>
      </w:pPr>
      <w:r>
        <w:rPr>
          <w:rFonts w:eastAsia="Arial" w:cs="Arial"/>
          <w:b/>
          <w:bCs/>
          <w:sz w:val="20"/>
          <w:szCs w:val="20"/>
        </w:rPr>
        <w:t>Tabelle 8.9: Musiknutzung und Rundfunkbeitrag (netto, Tarifstand 2026)</w:t>
      </w:r>
    </w:p>
    <w:tbl>
      <w:tblPr>
        <w:tblW w:w="9638" w:type="dxa"/>
        <w:jc w:val="left"/>
        <w:tblInd w:w="0" w:type="dxa"/>
        <w:tblLayout w:type="fixed"/>
        <w:tblCellMar>
          <w:top w:w="40" w:type="dxa"/>
          <w:left w:w="70" w:type="dxa"/>
          <w:bottom w:w="40" w:type="dxa"/>
          <w:right w:w="70" w:type="dxa"/>
        </w:tblCellMar>
      </w:tblPr>
      <w:tblGrid>
        <w:gridCol w:w="3662"/>
        <w:gridCol w:w="2891"/>
        <w:gridCol w:w="1542"/>
        <w:gridCol w:w="1542"/>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Tarif</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Je Jahr</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Je Monat</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Trainingsfläche 2.000 m²</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 M-U III 5 b, Jahreszahlung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1.988,10 €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165,68 €</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GVL-Anteil (ca. 20 %)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 GEMA-Vergütung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398 €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33 €</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Kurse auf beschallter Fläche</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DSSV-Vereinbarung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0 €</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Kurse im separaten Kursraum (Beispiel 40 Std./Monat, 15 TN)</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 WR-KS-F 2026</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2.424 €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202 €</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Sauna/Ruheraum bis 100 m²</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 Saunatarif 2026</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259,50 €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21,63 €</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Rundfunkbeitrag Betriebsstätte 9–19 Beschäftigte</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Rundfunkbeitragsstaatsvertrag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220,32 €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18,36 €</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Planansatz GEMA/GVL im Finanzmodell</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4.200 €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350 €</w:t>
            </w:r>
          </w:p>
        </w:tc>
      </w:tr>
    </w:tbl>
    <w:p>
      <w:pPr>
        <w:pStyle w:val="Normal"/>
        <w:spacing w:before="60" w:after="200"/>
        <w:jc w:val="left"/>
        <w:rPr/>
      </w:pPr>
      <w:r>
        <w:rPr>
          <w:rFonts w:eastAsia="Arial" w:cs="Arial"/>
          <w:i/>
          <w:iCs/>
          <w:color w:val="5A5A5A"/>
          <w:sz w:val="18"/>
          <w:szCs w:val="18"/>
        </w:rPr>
        <w:t>Quelle: GEMA Tarif M-U (Version 92, gültig ab 01.01.2026), GEMA Tarif WR-KS-F 2026, Purelicence 22.07.2026 (GVL-Anteil), rundfunkbeitrag.de, Excel-Planrechnung; Beträge je Monat rechnerisch.</w:t>
      </w:r>
    </w:p>
    <w:p>
      <w:pPr>
        <w:pStyle w:val="Heading2"/>
        <w:keepNext w:val="true"/>
        <w:spacing w:before="280" w:after="120"/>
        <w:rPr/>
      </w:pPr>
      <w:bookmarkStart w:id="74" w:name="__RefHeading___Toc21249_3809407278"/>
      <w:bookmarkEnd w:id="74"/>
      <w:r>
        <w:rPr/>
        <w:t>8.8 Versicherungen</w:t>
      </w:r>
    </w:p>
    <w:p>
      <w:pPr>
        <w:pStyle w:val="Normal"/>
        <w:spacing w:lineRule="exact" w:line="276" w:before="0" w:after="120"/>
        <w:jc w:val="both"/>
        <w:rPr/>
      </w:pPr>
      <w:r>
        <w:rPr>
          <w:rFonts w:eastAsia="Arial" w:cs="Arial"/>
          <w:sz w:val="22"/>
          <w:szCs w:val="22"/>
        </w:rPr>
        <w:t>Das Versicherungsprogramm deckt die Haftung gegenüber Mitgliedern und Dritten, den Sachwert von Geräten und Mietereinbauten sowie den Ertragsausfall bei Betriebsunterbrechung ab. Der zu versichernde Sachwert ergibt sich aus dem Investitionsplan: Geräte 590.968 €, Import-Nebenkosten 32.228 €, Ausbau 851.788 € und Sanitär 39.800 €, zusammen rund 1,5 Mio. € netto. Öffentlich belegte Prämien liegen nur für kleine Studios vor: Komplettpakete mit Haftpflicht, Inhalt, Betriebsunterbrechung, Elektronik und Glas kosten 39 bis 79 € je Monat bis 400 m² (ODV 2024), eine Betriebshaftpflicht ab 285 € je Jahr bei 100.000 € Umsatz, eine Inhaltsversicherung mit 100.000 € Versicherungssumme rund 400 bis 600 € je Jahr (Quellen: Anhang I). Für ein Studio mit 2.000 m² und 1,5 Mio. € Sachwert nennen Branchenquellen 500 bis 1.500 € je Monat (GymAccess 2026) bzw. 300 bis 800 € je Monat für mittelgroße Studios (Virtuagym 05/2026); der DSSV-Richtwert für ein Durchschnittsstudio beträgt 250 bis 280 € je Monat (DSSV 04/2022). Das Finanzmodell setzt 900 € je Monat, also 10.800 € je Jahr an; der Ansatz liegt über der Spanne für mittelgroße Studios und innerhalb der Spanne für große Studios, ist aber mangels belegbarer Prämien für diese Größe eine Planannahme. Ein verbindliches Angebot eines auf Fitnessbetriebe spezialisierten Maklers ist vor dem Bankgespräch einzuholen [vom Gründer zu ergänzen].</w:t>
      </w:r>
    </w:p>
    <w:p>
      <w:pPr>
        <w:pStyle w:val="Normal"/>
        <w:keepNext w:val="true"/>
        <w:spacing w:before="160" w:after="80"/>
        <w:jc w:val="left"/>
        <w:rPr/>
      </w:pPr>
      <w:r>
        <w:rPr>
          <w:rFonts w:eastAsia="Arial" w:cs="Arial"/>
          <w:b/>
          <w:bCs/>
          <w:sz w:val="20"/>
          <w:szCs w:val="20"/>
        </w:rPr>
        <w:t>Tabelle 8.10: Versicherungsprogramm</w:t>
      </w:r>
    </w:p>
    <w:tbl>
      <w:tblPr>
        <w:tblW w:w="9638" w:type="dxa"/>
        <w:jc w:val="left"/>
        <w:tblInd w:w="0" w:type="dxa"/>
        <w:tblLayout w:type="fixed"/>
        <w:tblCellMar>
          <w:top w:w="40" w:type="dxa"/>
          <w:left w:w="70" w:type="dxa"/>
          <w:bottom w:w="40" w:type="dxa"/>
          <w:right w:w="70" w:type="dxa"/>
        </w:tblCellMar>
      </w:tblPr>
      <w:tblGrid>
        <w:gridCol w:w="2698"/>
        <w:gridCol w:w="4434"/>
        <w:gridCol w:w="2506"/>
      </w:tblGrid>
      <w:tr>
        <w:trPr>
          <w:tblHeader w:val="true"/>
        </w:trPr>
        <w:tc>
          <w:tcPr>
            <w:tcW w:w="269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Sparte</w:t>
            </w:r>
          </w:p>
        </w:tc>
        <w:tc>
          <w:tcPr>
            <w:tcW w:w="44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Deckung / Zweck</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Status</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Betriebshaftpflicht</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Personen-, Sach- und Vermögensschäden von Mitgliedern und Dritten, Trainingsbetrieb, Sauna, Veranstaltungen; Deckungssumme nach Angebot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Pflichtbaustein, Angebot einholen</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Geschäftsinhalt (Feuer, Leitungswasser, Sturm, Einbruchdiebstahl)</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590.968 €, Mietereinbauten 851.788 €, Sanitär 39.800 €; Neuwert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Pflichtbaustein, Versicherungssumme ca. 1,5 Mio. €</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Elektronik</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Cardiogeräte, Zutrittssystem, IT, Musikanlage, Kameras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Empfohlen</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Betriebsunterbrechung / Ertragsausfall</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Fixkosten und entgangener Gewinn nach Sachschaden; Haftzeit 12 bis 24 Monate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Von Banken üblicherweise verlangt</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Glas</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13 Fenster, 13 Spiegel, Spiegelwände 32,9 m</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Empfohlen</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Gesetzliche Unfallversicherung (VBG)</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Beschäftigte; Beitrag nach Entgeltsumme und Gefahrklasse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Pflicht</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Rechtsschutz (Arbeits-, Vertrags-, Steuerrecht)</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Streitigkeiten mit Mitgliedern, Beschäftigten, Vermieter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Optional</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Vermögensschadenhaftpflicht / D&amp;O Geschäftsführer</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Organhaftung des Gründers als Geschäftsführer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Optional</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Cyber</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Ausfall Studiosoftware, Datenverlust, Erpressung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Optional</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Risikolebens- / Berufsunfähigkeitsversicherung Gründer</w:t>
            </w:r>
          </w:p>
        </w:tc>
        <w:tc>
          <w:tcPr>
            <w:tcW w:w="44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Absicherung der Finanzierung bei Tod oder Ausfall; Abtretung an Bank möglich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Von Banken häufig verlangt [vom Gründer zu ergänzen]</w:t>
            </w:r>
          </w:p>
        </w:tc>
      </w:tr>
    </w:tbl>
    <w:p>
      <w:pPr>
        <w:pStyle w:val="Normal"/>
        <w:spacing w:before="60" w:after="200"/>
        <w:jc w:val="left"/>
        <w:rPr/>
      </w:pPr>
      <w:r>
        <w:rPr>
          <w:rFonts w:eastAsia="Arial" w:cs="Arial"/>
          <w:i/>
          <w:iCs/>
          <w:color w:val="5A5A5A"/>
          <w:sz w:val="18"/>
          <w:szCs w:val="18"/>
        </w:rPr>
        <w:t>Quelle: Excel-Planrechnung (Sachwerte, Planansatz 900 €/Monat), Rechercheprotokoll (Anhang I; Fenster, Spiegel; ODV, GymAccess, Virtuagym, DSSV).</w:t>
      </w:r>
    </w:p>
    <w:p>
      <w:pPr>
        <w:pStyle w:val="Heading2"/>
        <w:keepNext w:val="true"/>
        <w:spacing w:before="280" w:after="120"/>
        <w:rPr/>
      </w:pPr>
      <w:bookmarkStart w:id="75" w:name="__RefHeading___Toc21251_3809407278"/>
      <w:bookmarkEnd w:id="75"/>
      <w:r>
        <w:rPr/>
        <w:t>8.9 Steuern: Umsatzsteuer, Vorsteuer, Gewerbe- und Körperschaftsteuer</w:t>
      </w:r>
    </w:p>
    <w:p>
      <w:pPr>
        <w:pStyle w:val="Normal"/>
        <w:spacing w:lineRule="exact" w:line="276" w:before="0" w:after="120"/>
        <w:jc w:val="both"/>
        <w:rPr/>
      </w:pPr>
      <w:r>
        <w:rPr>
          <w:rFonts w:eastAsia="Arial" w:cs="Arial"/>
          <w:sz w:val="22"/>
          <w:szCs w:val="22"/>
        </w:rPr>
        <w:t>Umsatzsteuer: Mitgliedsbeiträge, Servicepauschalen, Aufnahmegebühren, Kurse, Personal Training, Solarium und Sauna unterliegen dem Regelsteuersatz von 19 % (§ 12 UStG); der ermäßigte Satz für Schwimm- und Heilbäder (§ 12 Abs. 2 Nr. 9 UStG) gilt nicht für Saunen (Quellen: Anhang I). Der ermäßigte Satz von 7 % kommt nur für Lieferungen nach Anlage 2 in Betracht, etwa Milchmischgetränke mit mindestens 75 % Milchanteil zum Mitnehmen; Mineralwasser, Säfte, isotonische Getränke und Shakes zum Verzehr vor Ort werden mit 19 % besteuert (hashtag-fitness 09/2024). Das Finanzmodell rechnet vereinfachend alle Umsätze mit 19 % und ist damit konservativ. Alle Beiträge in diesem Plan sind Bruttopreise; aus dem Bruttobeitrag von durchschnittlich 50,15 € je Mitglied und Monat verbleiben netto 42,14 €.</w:t>
      </w:r>
    </w:p>
    <w:p>
      <w:pPr>
        <w:pStyle w:val="Normal"/>
        <w:spacing w:lineRule="exact" w:line="276" w:before="0" w:after="120"/>
        <w:jc w:val="both"/>
        <w:rPr/>
      </w:pPr>
      <w:r>
        <w:rPr>
          <w:rFonts w:eastAsia="Arial" w:cs="Arial"/>
          <w:sz w:val="22"/>
          <w:szCs w:val="22"/>
        </w:rPr>
        <w:t>Vorsteuer: Da alle Ausgangsumsätze steuerpflichtig sind, ist die GmbH in vollem Umfang zum Vorsteuerabzug berechtigt (§ 15 UStG). Auf die Investition von 1.912.583 € netto entfällt eine abziehbare Vorsteuer von 340.941 € (Kaution und Import-Nebenkosten ohne Vorsteuer angesetzt). Die Vorsteuer ist bis zur Erstattung durch das Finanzamt zwischenzufinanzieren; der Liquiditätsplan berücksichtigt eine Verzögerung von einem Monat und weist im Basisszenario eine maximale Zwischenfinanzierung von 366.018 € aus. Diese Summe ist kein zusätzlicher Kapitalbedarf; sie wird im Liquiditätsplan aus dem Kassenbestand nach Auszahlung der Darlehen gedeckt, als Sicherheitslinie für eine verzögerte Erstattung dient der Kontokorrentrahmen von 200.000 € (Kapitel 10, Abschnitte 10.2 und 10.7). Voraussetzung sind monatliche Umsatzsteuer-Voranmeldungen ab dem ersten Vorlaufmonat und ordnungsgemäße Rechnungen der Bau- und Gerätelieferanten. Bei Importgeräten ist die Einfuhrumsatzsteuer nur mit den Zollbelegen abziehbar; das Modell setzt sie vorsichtig als Teil der Import-Nebenkosten ohne Vorsteuerabzug an. Die Miete ist im Modell mit Umsatzsteuer geplant (Option des Vermieters nach § 9 UStG); sie ist für die GmbH wegen des vollen Vorsteuerabzugs ergebnisneutral.</w:t>
      </w:r>
    </w:p>
    <w:p>
      <w:pPr>
        <w:pStyle w:val="Normal"/>
        <w:spacing w:lineRule="exact" w:line="276" w:before="0" w:after="120"/>
        <w:jc w:val="both"/>
        <w:rPr/>
      </w:pPr>
      <w:r>
        <w:rPr>
          <w:rFonts w:eastAsia="Arial" w:cs="Arial"/>
          <w:sz w:val="22"/>
          <w:szCs w:val="22"/>
        </w:rPr>
        <w:t>Gewerbesteuer: Die Gewerbesteuer ergibt sich aus dem Gewerbeertrag, der Steuermesszahl von 3,5 % und dem Hebesatz der Standortgemeinde; für Kapitalgesellschaften gibt es keinen Freibetrag (§ 11 GewStG). Tabelle 8.11 zeigt die Hebesätze der Kandidatenstädte. Das Finanzmodell rechnet mit 390 %, was zusammen mit Körperschaftsteuer von 15 % und Solidaritätszuschlag von 5,5 % darauf eine Gesamtbelastung von 29,47 % des Gewinns ergibt. Am günstigsten wäre Friedrichshafen mit 350 % (28,08 %), am teuersten Stuttgart mit 430 % (30,88 %); für Ludwigsburg ist eine Erhöhung von 400 auf 420 % rückwirkend zum 01.01.2026 in der Diskussion (IHK Region Stuttgart 30.04.2026). Hinzurechnungen nach § 8 Nr. 1 GewStG für Zinsen und Mieten können auch in Verlustjahren einen Gewerbeertrag entstehen lassen; wegen des Freibetrags von 200.000 € und der gewerbesteuerlichen Verlustvorträge ist die Wirkung in den Planjahren nach Einschätzung gering und vom Steuerberater zu bestätigen.</w:t>
      </w:r>
    </w:p>
    <w:p>
      <w:pPr>
        <w:pStyle w:val="Normal"/>
        <w:keepNext w:val="true"/>
        <w:spacing w:before="160" w:after="80"/>
        <w:jc w:val="left"/>
        <w:rPr/>
      </w:pPr>
      <w:r>
        <w:rPr>
          <w:rFonts w:eastAsia="Arial" w:cs="Arial"/>
          <w:b/>
          <w:bCs/>
          <w:sz w:val="20"/>
          <w:szCs w:val="20"/>
        </w:rPr>
        <w:t>Tabelle 8.11: Gewerbesteuer-Hebesätze der Kandidatenstädte und Gesamtsteuerlast einer GmbH</w:t>
      </w:r>
    </w:p>
    <w:tbl>
      <w:tblPr>
        <w:tblW w:w="9638" w:type="dxa"/>
        <w:jc w:val="left"/>
        <w:tblInd w:w="0" w:type="dxa"/>
        <w:tblLayout w:type="fixed"/>
        <w:tblCellMar>
          <w:top w:w="40" w:type="dxa"/>
          <w:left w:w="70" w:type="dxa"/>
          <w:bottom w:w="40" w:type="dxa"/>
          <w:right w:w="70" w:type="dxa"/>
        </w:tblCellMar>
      </w:tblPr>
      <w:tblGrid>
        <w:gridCol w:w="2505"/>
        <w:gridCol w:w="2121"/>
        <w:gridCol w:w="2698"/>
        <w:gridCol w:w="2313"/>
      </w:tblGrid>
      <w:tr>
        <w:trPr>
          <w:tblHeader w:val="true"/>
        </w:trPr>
        <w:tc>
          <w:tcPr>
            <w:tcW w:w="25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Stadt</w:t>
            </w:r>
          </w:p>
        </w:tc>
        <w:tc>
          <w:tcPr>
            <w:tcW w:w="212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Hebesatz</w:t>
            </w:r>
          </w:p>
        </w:tc>
        <w:tc>
          <w:tcPr>
            <w:tcW w:w="269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Stand</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Gesamtlast GmbH (rechnerisch)</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Friedrichshafen</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Haushalt 2025/2026</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28,08 %</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Überlingen</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370 %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2025 (Sekundärquelle)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28,78 %</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Böblingen</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380 %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IHK-Liste 08/2026</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29,13 %</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Ravensburg</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390 %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Satzung ab 01.01.2025</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29,47 %</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Ludwigsburg</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400 % (420 % geplant)</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2026, Erhöhung rückwirkend in Diskussion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29,83 % (30,53 %)</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Esslingen am Neckar</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IHK-Liste 08/2026</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29,83 %</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Konstanz</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410 %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Satzung ab 01.01.2023</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30,18 %</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Stuttgart</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430 %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Doppelhaushalt 2026/2027</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30,88 %</w:t>
            </w:r>
          </w:p>
        </w:tc>
      </w:tr>
      <w:tr>
        <w:trPr/>
        <w:tc>
          <w:tcPr>
            <w:tcW w:w="25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Planansatz Finanzmodell</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390 %</w:t>
            </w:r>
          </w:p>
        </w:tc>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Excel-Planrechnung</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29,47 %</w:t>
            </w:r>
          </w:p>
        </w:tc>
      </w:tr>
    </w:tbl>
    <w:p>
      <w:pPr>
        <w:pStyle w:val="Normal"/>
        <w:spacing w:before="60" w:after="200"/>
        <w:jc w:val="left"/>
        <w:rPr/>
      </w:pPr>
      <w:r>
        <w:rPr>
          <w:rFonts w:eastAsia="Arial" w:cs="Arial"/>
          <w:i/>
          <w:iCs/>
          <w:color w:val="5A5A5A"/>
          <w:sz w:val="18"/>
          <w:szCs w:val="18"/>
        </w:rPr>
        <w:t>Quelle: Rechercheprotokoll (Anhang I; Stadt Friedrichshafen, Stadt Konstanz, Stadt Ravensburg, Stadt Stuttgart, Stadt Ludwigsburg, IHK Region Stuttgart Hebesatzliste 13.08.2026, gewerbesteuer.net); Gesamtlast = KSt 15 % + Soli 0,825 % + 3,5 % × Hebesatz; bei 390 % rechnerisch 29,475 %, im Finanzmodell mit 29,47 % angesetzt (Excel-Planrechnung).</w:t>
      </w:r>
    </w:p>
    <w:p>
      <w:pPr>
        <w:pStyle w:val="Normal"/>
        <w:spacing w:lineRule="exact" w:line="276" w:before="0" w:after="120"/>
        <w:jc w:val="both"/>
        <w:rPr/>
      </w:pPr>
      <w:r>
        <w:rPr>
          <w:rFonts w:eastAsia="Arial" w:cs="Arial"/>
          <w:sz w:val="22"/>
          <w:szCs w:val="22"/>
        </w:rPr>
        <w:t>Körperschaftsteuer und Verlustvortrag: Die Körperschaftsteuer beträgt 2026 und 2027 15 % und sinkt ab 2028 jährlich um einen Prozentpunkt auf 10 % im Jahr 2032 (IHK zu Essen 01/2026); der Solidaritätszuschlag von 5,5 % auf die Körperschaftsteuer fällt für Kapitalgesellschaften ohne Freigrenze an. Das Finanzmodell rechnet konservativ durchgehend mit 15 %. Wegen der Anlaufverluste von 798.519 € im ersten und 209.477 € im zweiten Jahr entstehen im Basisszenario in den ersten fünf Jahren keine Ertragsteuerzahlungen; der Verlustvortrag beträgt zu Beginn des fünften Jahres noch 910.613 €. Handelsrechtlich schreibt das Modell Geräte und Import-Nebenkosten über 8 Jahre, Ausbau, Sanitär, Planung und Unvorhergesehenes über 10 Jahre und Sonstiges über 5 Jahre ab, zusammen 200.695 € je Jahr. Steuerlich sieht die AfA-Tabelle für Fitnessgeräte 5 Jahre vor, und für bewegliche Wirtschaftsgüter mit Anschaffung bis 31.12.2027 ist eine degressive Abschreibung von bis zu 30 % möglich (§ 7 Abs. 2 EStG); die Gerätelieferung im August 2027 fällt in diesen Zeitraum. Eine schnellere steuerliche Abschreibung erhöht den Verlustvortrag, ändert in den Planjahren aber weder Liquidität noch Kapitaldienstfähigkeit.</w:t>
      </w:r>
    </w:p>
    <w:p>
      <w:pPr>
        <w:pStyle w:val="Heading2"/>
        <w:keepNext w:val="true"/>
        <w:spacing w:before="280" w:after="120"/>
        <w:rPr/>
      </w:pPr>
      <w:bookmarkStart w:id="76" w:name="__RefHeading___Toc21253_3809407278"/>
      <w:bookmarkEnd w:id="76"/>
      <w:r>
        <w:rPr/>
        <w:t>8.10 Arbeitsrecht und Beschäftigung</w:t>
      </w:r>
    </w:p>
    <w:p>
      <w:pPr>
        <w:pStyle w:val="Normal"/>
        <w:spacing w:lineRule="exact" w:line="276" w:before="0" w:after="120"/>
        <w:jc w:val="both"/>
        <w:rPr/>
      </w:pPr>
      <w:r>
        <w:rPr>
          <w:rFonts w:eastAsia="Arial" w:cs="Arial"/>
          <w:sz w:val="22"/>
          <w:szCs w:val="22"/>
        </w:rPr>
        <w:t>Bei Eröffnung beschäftigt die GmbH 14 Personen: den Gründer als Geschäftsführer, die stellvertretende Studioleitung, zwei Vollzeittrainer, zwei Kursleiter und zwei Empfangskräfte in Teilzeit sowie vier Empfangs- und zwei Reinigungs-Minijobs; ab dem zweiten Jahr kommt ein dritter Vollzeittrainer hinzu (Kapitel 2, Tabelle 2.4). Die Personalkosten betragen im ersten Betriebsjahr 28.533 € und im dritten 33.801 € je Monat einschließlich Arbeitgeberabgaben von 21,3 % für sozialversicherungspflichtige Beschäftigte und 31,17 % Pauschalabgaben für Minijobs (Minijob-Zentrale 12/2025, lohn-info 2026).</w:t>
      </w:r>
    </w:p>
    <w:p>
      <w:pPr>
        <w:pStyle w:val="Normal"/>
        <w:spacing w:lineRule="exact" w:line="276" w:before="0" w:after="120"/>
        <w:jc w:val="both"/>
        <w:rPr/>
      </w:pPr>
      <w:r>
        <w:rPr>
          <w:rFonts w:eastAsia="Arial" w:cs="Arial"/>
          <w:sz w:val="22"/>
          <w:szCs w:val="22"/>
        </w:rPr>
        <w:t>Lohnuntergrenzen: Der gesetzliche Mindestlohn beträgt 2026 13,90 € und ab 01.01.2027 14,60 € je Stunde (Bundesregierung 21.09.2026); die Minijob-Verdienstgrenze steigt entsprechend von 603 € (2026) auf 633 € je Monat (2027) (Minijob-Zentrale). Der Planansatz von 620 € brutto je Minijob liegt unter der ab Eröffnung geltenden Grenze von 633 € und erlaubt bei 14,60 € rechnerisch bis zu 42,5 Arbeitsstunden je Monat; die Einsatzpläne für Empfang und Reinigung werden darauf begrenzt, damit die Minijobs nicht in die Sozialversicherungspflicht wachsen. Die Vollzeittrainer sind mit 3.000 € brutto je Monat geplant, nahe dem Median für Baden-Württemberg von 3.081 € (GEHALT.de 2026); die stellvertretende Studioleitung mit 3.600 € liegt unter dem unteren Quartil branchenübergreifender Studioleiter von 4.685 € (Kapitel 2). Alle Gehälter steigen im Modell um 2,5 % je Jahr.</w:t>
      </w:r>
    </w:p>
    <w:p>
      <w:pPr>
        <w:pStyle w:val="Normal"/>
        <w:spacing w:lineRule="exact" w:line="276" w:before="0" w:after="120"/>
        <w:jc w:val="both"/>
        <w:rPr/>
      </w:pPr>
      <w:r>
        <w:rPr>
          <w:rFonts w:eastAsia="Arial" w:cs="Arial"/>
          <w:sz w:val="22"/>
          <w:szCs w:val="22"/>
        </w:rPr>
        <w:t>Arbeitszeit und Vertragsgestaltung: Sonn- und Feiertagsarbeit ist in Sport- und Freizeiteinrichtungen zulässig (§ 10 Abs. 1 Nr. 7 ArbZG); die Beschäftigten erhalten Ersatzruhetage (§ 11 ArbZG), und die Arbeitszeiten werden im Dienstplan der Studiosoftware dokumentiert (§ 16 ArbZG). Alle Arbeitsverträge enthalten die wesentlichen Vertragsbedingungen nach dem Nachweisgesetz; Teilzeit- und Minijobverträge folgen dem Teilzeit- und Befristungsgesetz. Kursleiter, die auf Honorarbasis einzelne Kurse geben, werden auf Scheinselbständigkeit geprüft (Statusfeststellung bei der Deutschen Rentenversicherung), da sie in den Kursplan eingebunden sind; im Finanzmodell sind die Kursleiter deshalb als Teilzeitbeschäftigte angesetzt. Trainer benötigen eine anerkannte Fitnesstrainer-Lizenz (B oder A) und eine Erste-Hilfe-Ausbildung; die Branche investiert breit in Weiterbildung, 95,3 % der Anlagen haben 2025 Fortbildungen finanziert (DSSV Eckdaten 2026). Die Beschäftigten werden vor Aufnahme der Tätigkeit nach § 12 ArbSchG unterwiesen (Geräte, Notfall, Sauna, Hygiene, Datenschutz).</w:t>
      </w:r>
    </w:p>
    <w:p>
      <w:pPr>
        <w:pStyle w:val="Normal"/>
        <w:keepNext w:val="true"/>
        <w:spacing w:before="160" w:after="80"/>
        <w:jc w:val="left"/>
        <w:rPr/>
      </w:pPr>
      <w:r>
        <w:rPr>
          <w:rFonts w:eastAsia="Arial" w:cs="Arial"/>
          <w:b/>
          <w:bCs/>
          <w:sz w:val="20"/>
          <w:szCs w:val="20"/>
        </w:rPr>
        <w:t>Tabelle 8.12: Lohnuntergrenzen und Arbeitgeberabgaben 2026/2027</w:t>
      </w:r>
    </w:p>
    <w:tbl>
      <w:tblPr>
        <w:tblW w:w="9638" w:type="dxa"/>
        <w:jc w:val="left"/>
        <w:tblInd w:w="0" w:type="dxa"/>
        <w:tblLayout w:type="fixed"/>
        <w:tblCellMar>
          <w:top w:w="40" w:type="dxa"/>
          <w:left w:w="70" w:type="dxa"/>
          <w:bottom w:w="40" w:type="dxa"/>
          <w:right w:w="70" w:type="dxa"/>
        </w:tblCellMar>
      </w:tblPr>
      <w:tblGrid>
        <w:gridCol w:w="3276"/>
        <w:gridCol w:w="1543"/>
        <w:gridCol w:w="1927"/>
        <w:gridCol w:w="2891"/>
      </w:tblGrid>
      <w:tr>
        <w:trPr>
          <w:tblHeader w:val="true"/>
        </w:trPr>
        <w:tc>
          <w:tcPr>
            <w:tcW w:w="327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Kennzahl</w:t>
            </w:r>
          </w:p>
        </w:tc>
        <w:tc>
          <w:tcPr>
            <w:tcW w:w="154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2026</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2027 (ab Eröffnung)</w:t>
            </w:r>
          </w:p>
        </w:tc>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Planansatz</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Gesetzlicher Mindestlohn je Stunde</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13,90 €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14,60 €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Trainer 3.000 € brutto ≈ 17,3 €/h bei 173 h</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Minijob-Verdienstgrenze je Monat</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603 €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633 €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620 € je Minijob (max. 42,5 h/Monat bei 14,60 €)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Arbeitgeberabgaben sozialversicherungspflichtig</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21,3 %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21,3 % (Annahme)</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21,3 %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Pauschalabgaben Minijob (RV, KV, Pauschsteuer, Umlagen)</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31,17 %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31,17 % (Annahme)</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31,17 %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Gebäudereinigung Tariflohn Lohngruppe 1</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15,00 €/h</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[nach Tarifabschluss]</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Reinigungs-Minijobs plus Fremdreinigung</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Gehaltssteigerung</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2,5 % je Jahr</w:t>
            </w:r>
          </w:p>
        </w:tc>
      </w:tr>
    </w:tbl>
    <w:p>
      <w:pPr>
        <w:pStyle w:val="Normal"/>
        <w:spacing w:before="60" w:after="200"/>
        <w:jc w:val="left"/>
        <w:rPr/>
      </w:pPr>
      <w:r>
        <w:rPr>
          <w:rFonts w:eastAsia="Arial" w:cs="Arial"/>
          <w:i/>
          <w:iCs/>
          <w:color w:val="5A5A5A"/>
          <w:sz w:val="18"/>
          <w:szCs w:val="18"/>
        </w:rPr>
        <w:t>Quelle: Bundesregierung (Mindestlohn 2026/2027, 21.09.2026), Minijob-Zentrale (12/2025), lohn-info.de (SV-Sätze 2026), BIV/CleanCalc (Gebäudereiniger-Tarif 2026), Excel-Planrechnung; Stundenwerte rechnerisch.</w:t>
      </w:r>
    </w:p>
    <w:p>
      <w:pPr>
        <w:pStyle w:val="Heading2"/>
        <w:keepNext w:val="true"/>
        <w:spacing w:before="280" w:after="120"/>
        <w:rPr/>
      </w:pPr>
      <w:bookmarkStart w:id="77" w:name="__RefHeading___Toc21255_3809407278"/>
      <w:bookmarkEnd w:id="77"/>
      <w:r>
        <w:rPr/>
        <w:t>8.11 Genehmigungs- und Nachweisplan bis zur Eröffnung</w:t>
      </w:r>
    </w:p>
    <w:p>
      <w:pPr>
        <w:pStyle w:val="Normal"/>
        <w:spacing w:lineRule="exact" w:line="276" w:before="0" w:after="120"/>
        <w:jc w:val="both"/>
        <w:rPr/>
      </w:pPr>
      <w:r>
        <w:rPr>
          <w:rFonts w:eastAsia="Arial" w:cs="Arial"/>
          <w:sz w:val="22"/>
          <w:szCs w:val="22"/>
        </w:rPr>
        <w:t>Tabelle 8.13 fasst alle Genehmigungen, Anmeldungen und Nachweise zusammen, die vor der Eröffnung am 01.09.2027 vorliegen müssen, und ordnet sie dem Vorlauf des Finanzmodells zu (Kaution und Planung ab Monat −5, Ausbau Monate −4 bis −1, Gerätelieferung Monat −1, Vorverkauf in den letzten drei Monaten). Der kritische Pfad ist die Baugenehmigung: Sie muss vor Beginn des Ausbaus im Mai 2027 (Monat −4) vorliegen, sodass der Bauantrag mit Brandschutzkonzept im Dezember 2026 einzureichen ist (Kapitel 5, Tabelle 5.9; Kapitel 7, Tabelle 7.8). Der zweite zeitkritische Punkt sind die anwaltlich geprüften AGB, weil der Vorverkauf drei Monate vor Eröffnung beginnt.</w:t>
      </w:r>
    </w:p>
    <w:p>
      <w:pPr>
        <w:pStyle w:val="Normal"/>
        <w:keepNext w:val="true"/>
        <w:spacing w:before="160" w:after="80"/>
        <w:jc w:val="left"/>
        <w:rPr/>
      </w:pPr>
      <w:r>
        <w:rPr>
          <w:rFonts w:eastAsia="Arial" w:cs="Arial"/>
          <w:b/>
          <w:bCs/>
          <w:sz w:val="20"/>
          <w:szCs w:val="20"/>
        </w:rPr>
        <w:t>Tabelle 8.13: Genehmigungen, Anmeldungen und Nachweise vor Eröffnung</w:t>
      </w:r>
    </w:p>
    <w:tbl>
      <w:tblPr>
        <w:tblW w:w="9638" w:type="dxa"/>
        <w:jc w:val="left"/>
        <w:tblInd w:w="0" w:type="dxa"/>
        <w:tblLayout w:type="fixed"/>
        <w:tblCellMar>
          <w:top w:w="40" w:type="dxa"/>
          <w:left w:w="70" w:type="dxa"/>
          <w:bottom w:w="40" w:type="dxa"/>
          <w:right w:w="70" w:type="dxa"/>
        </w:tblCellMar>
      </w:tblPr>
      <w:tblGrid>
        <w:gridCol w:w="3662"/>
        <w:gridCol w:w="2120"/>
        <w:gridCol w:w="2313"/>
        <w:gridCol w:w="1542"/>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Nachweis</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Zuständige Stelle</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Spätester Zeitpunkt</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Status</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Bauvoranfrage zur Genehmigungsfähigkeit des Objekts</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Untere Baurechtsbehörde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Oktober bis November 2026, vor Mietvertragsabschluss (Monat −11 bis −10)</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 mit Objektwahl</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Baugenehmigung Nutzungsänderung inkl. Brandschutz-, Stellplatz-, Schallschutznachweis</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Untere Baurechtsbehörde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Antrag Dezember 2026 (Monat −9), Genehmigungsverfahren Januar bis März 2027, Bescheid vor Ausbaubeginn Monat −4</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GmbH-Gründung, Handelsregister, Gewerbeanmeldung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Notar, Amtsgericht, Gemeinde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Januar bis März 2027 (Monat −8 bis −6)</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Steuerliche Erfassung, USt-Voranmeldung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Finanzamt</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−6</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Anmeldung VBG, Betriebsnummer, Krankenkassen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VBG, Agentur für Arbeit</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−3 (erste Einstellung)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AGB, Mitgliedsvertrag, Datenschutzerklärung, Widerrufsbelehrung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Rechtsanwalt</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−3 (vor Vorverkauf)</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 [Kanzlei zu ergänzen]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Hygienekonzept Sauna, Dampfbad, Cold Plunge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Gesundheitsamt</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−3</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Verzeichnis Verarbeitungstätigkeiten, AV-Verträge, Videohinweise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Datenschutzberater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−2</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Versicherungen (Inhalt ab Gerätelieferung, Haftpflicht ab Eröffnung)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Versicherungsmakler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Angebot einholen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GEMA/GVL-Anmeldung, Rundfunkbeitrag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 Beitragsservice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Abnahmen Elektro, RLT, Sicherheitsbeleuchtung, Brandschutz</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Fachunternehmen, Prüfsachverständige, Baurechtsbehörde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Legionellen-Erstuntersuchung, Spülprotokoll</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Zugelassenes Labor</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Gefährdungsbeurteilung, Unterweisungen, Brandschutzhelfer, Ersthelfer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Geschäftsführung, VBG-Kurse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offen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 und Rettungspläne (4 Aushänge), Feuerlöscher-Prüfplaketten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Brandschutzfachbetrieb</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Monat −1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 Planung enthalten</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Konformitätserklärungen und CE-Nachweise der Importgeräte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Lieferant Atlantis/Prime</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 Lieferung Monat −1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vertraglich vereinbaren</w:t>
            </w:r>
          </w:p>
        </w:tc>
      </w:tr>
    </w:tbl>
    <w:p>
      <w:pPr>
        <w:pStyle w:val="Normal"/>
        <w:spacing w:before="60" w:after="200"/>
        <w:jc w:val="left"/>
        <w:rPr/>
      </w:pPr>
      <w:r>
        <w:rPr>
          <w:rFonts w:eastAsia="Arial" w:cs="Arial"/>
          <w:i/>
          <w:iCs/>
          <w:color w:val="5A5A5A"/>
          <w:sz w:val="18"/>
          <w:szCs w:val="18"/>
        </w:rPr>
        <w:t>Quelle: Excel-Planrechnung (Zahlungsplan Vorlauf), Rechercheprotokoll (Anhang I; Genehmigungsdauer; Sicherheitsausstattung); Zeitpunkte als Planung des Gründers.</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Vor dem Bankgespräch zu ergänzen: schriftliche Bauvoranfrage oder Stellungnahme der Baurechtsbehörde zum Wunschobjekt (Zulässigkeit, Sonderbau-Einstufung, Stellplätze), Angebot eines Brandschutzplaners, Angebot eines Versicherungsmaklers für Haftpflicht, Inhalt und Betriebsunterbrechung, Angebot einer Kanzlei für AGB und Datenschutz sowie die Bestätigung des Steuerberaters zu Vorsteuererstattung und Gewerbesteuer. Diese Unterlagen belegen der Bank, dass die rechtlichen Voraussetzungen des Vorhabens geprüft sind.</w:t>
      </w:r>
      <w:r>
        <w:br w:type="page"/>
      </w:r>
    </w:p>
    <w:p>
      <w:pPr>
        <w:pStyle w:val="Heading1"/>
        <w:spacing w:before="360" w:after="200"/>
        <w:rPr/>
      </w:pPr>
      <w:bookmarkStart w:id="78" w:name="__RefHeading___Toc21257_3809407278"/>
      <w:bookmarkEnd w:id="78"/>
      <w:r>
        <w:rPr/>
        <w:t>9 Chancen und Risiken</w:t>
      </w:r>
    </w:p>
    <w:p>
      <w:pPr>
        <w:pStyle w:val="Normal"/>
        <w:spacing w:lineRule="exact" w:line="276" w:before="0" w:after="120"/>
        <w:jc w:val="both"/>
        <w:rPr/>
      </w:pPr>
      <w:r>
        <w:rPr>
          <w:rFonts w:eastAsia="Arial" w:cs="Arial"/>
          <w:sz w:val="22"/>
          <w:szCs w:val="22"/>
        </w:rPr>
        <w:t>Dieses Kapitel bewertet das Vorhaben aus Sicht der Bank: Welche Stärken und Chancen tragen den Plan, welche Schwächen und Risiken können ihn gefährden, und wie robust ist die Kapitaldienstfähigkeit, wenn einzelne Annahmen nicht eintreten. Grundlage sind die SWOT-Analyse, eine Risikomatrix mit Gegenmaßnahmen und Frühindikatoren sowie die Sensitivitäts- und Szenariorechnungen des Finanzmodells. Alle Ergebniszahlen sind netto; Beiträge sind brutto inklusive 19 % Umsatzsteuer.</w:t>
      </w:r>
    </w:p>
    <w:p>
      <w:pPr>
        <w:pStyle w:val="Heading2"/>
        <w:keepNext w:val="true"/>
        <w:spacing w:before="280" w:after="120"/>
        <w:rPr/>
      </w:pPr>
      <w:bookmarkStart w:id="79" w:name="__RefHeading___Toc21259_3809407278"/>
      <w:bookmarkEnd w:id="79"/>
      <w:r>
        <w:rPr/>
        <w:t>9.1 SWOT-Analyse</w:t>
      </w:r>
    </w:p>
    <w:p>
      <w:pPr>
        <w:pStyle w:val="Normal"/>
        <w:spacing w:lineRule="exact" w:line="276" w:before="0" w:after="120"/>
        <w:jc w:val="both"/>
        <w:rPr/>
      </w:pPr>
      <w:r>
        <w:rPr>
          <w:rFonts w:eastAsia="Arial" w:cs="Arial"/>
          <w:sz w:val="22"/>
          <w:szCs w:val="22"/>
        </w:rPr>
        <w:t>Die Stärken des Konzepts liegen in der Kombination aus betreutem Premiumangebot, HYROX-Zone und Wellness auf einer durchgeplanten Fläche von 1.975,40 m², für die die Regularienprüfung 114 von 121 Prüfpunkten als erfüllt ausweist und keine baulichen Mängel, sondern nur sechs organisatorische Hinweise offen lässt (Kapitel 8). Die Schwächen sind die fehlende Betriebserfahrung des Gründers, die hohe Fremdkapitalquote und die dünne Marge zwischen Break-even und Kapazität. Chancen ergeben sich aus dem wachsenden Markt, dem HYROX-Trend, Firmenfitness und Zusatzumsätzen; die Risiken konzentrieren sich auf den Mitgliederaufbau in den ersten 24 Monaten.</w:t>
      </w:r>
    </w:p>
    <w:p>
      <w:pPr>
        <w:pStyle w:val="Normal"/>
        <w:keepNext w:val="true"/>
        <w:spacing w:before="160" w:after="80"/>
        <w:jc w:val="left"/>
        <w:rPr/>
      </w:pPr>
      <w:r>
        <w:rPr>
          <w:rFonts w:eastAsia="Arial" w:cs="Arial"/>
          <w:b/>
          <w:bCs/>
          <w:sz w:val="20"/>
          <w:szCs w:val="20"/>
        </w:rPr>
        <w:t>Tabelle 9.1: Stärken und Schwächen (interne Faktoren)</w:t>
      </w:r>
    </w:p>
    <w:tbl>
      <w:tblPr>
        <w:tblW w:w="9638" w:type="dxa"/>
        <w:jc w:val="left"/>
        <w:tblInd w:w="0" w:type="dxa"/>
        <w:tblLayout w:type="fixed"/>
        <w:tblCellMar>
          <w:top w:w="40" w:type="dxa"/>
          <w:left w:w="70" w:type="dxa"/>
          <w:bottom w:w="40" w:type="dxa"/>
          <w:right w:w="70" w:type="dxa"/>
        </w:tblCellMar>
      </w:tblPr>
      <w:tblGrid>
        <w:gridCol w:w="4819"/>
        <w:gridCol w:w="4818"/>
      </w:tblGrid>
      <w:tr>
        <w:trPr>
          <w:tblHeader w:val="true"/>
        </w:trPr>
        <w:tc>
          <w:tcPr>
            <w:tcW w:w="481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Stärken</w:t>
            </w:r>
          </w:p>
        </w:tc>
        <w:tc>
          <w:tcPr>
            <w:tcW w:w="481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Schwächen</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Vollständig geplantes Studio mit 1.138,58 m² Trainingsfläche, 126 Trainingsplätzen, 178 Spinden, 18 Duschen (Quellen: Anhang I); Regularienprüfung ohne offene Mängel</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Gründer ohne Führungs- und Betriebserfahrung im Studiobetrieb; Alter ca. 20 Jahre (Kapitel 2)</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Differenzierung: HYROX-Zone (8 Stationen), Wellness mit Sauna, Dampfbad und Cold Plunge, betreutes Training; Premiumanteil 45 % im Tarifmix</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Eigenkapitalquote 15,1 % einschließlich stiller Beteiligung; Fremdkapital 2.502.583 €</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Konservative Kostenannahmen: Miete 8,50 €/m² über den IHK-Hallenmieten am Bodensee, 10 % Unvorhergesehenes, 24-Monats-Reserve 740.000 €</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Break-even bei 2.018 Mitgliedern entspricht 92 % der Kapazität von 2.200; kein Spielraum bei Beitragsniveau −10 % (Break-even 2.204, über der Kapazität)</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Kapazitätsreserve: Spitzenlast 5,5 % von 2.200 Mitgliedern = 121 Personen unter den 126 Trainingsplätzen</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Hohe Fixkosten: Raumkosten 359.761 € und Personal 405.609 € im dritten Jahr</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Digitaler Vertrieb (Online-Abschluss, App, Zutrittssystem) und lange Öffnungszeiten (111 Wochenstunden) bei begrenztem Personal</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Abhängigkeit vom Vorverkauf (350 Mitglieder bei Eröffnung) und vom Standort, der noch nicht gesichert ist</w:t>
            </w:r>
          </w:p>
        </w:tc>
      </w:tr>
      <w:tr>
        <w:trPr/>
        <w:tc>
          <w:tcPr>
            <w:tcW w:w="481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Gesamtinvestition mit Stückliste, Geräteangeboten und Flächenkalkulation belegt (Kapitel 3, Anhang A)</w:t>
            </w:r>
          </w:p>
        </w:tc>
        <w:tc>
          <w:tcPr>
            <w:tcW w:w="481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Import-Kraftgeräte (268.570 €) mit Lieferzeit- und Konformitätsrisiko; 82 Positionen mit geschätzten Preisen (196.069 €)</w:t>
            </w:r>
          </w:p>
        </w:tc>
      </w:tr>
    </w:tbl>
    <w:p>
      <w:pPr>
        <w:pStyle w:val="Normal"/>
        <w:spacing w:before="60" w:after="200"/>
        <w:jc w:val="left"/>
        <w:rPr/>
      </w:pPr>
      <w:r>
        <w:rPr>
          <w:rFonts w:eastAsia="Arial" w:cs="Arial"/>
          <w:i/>
          <w:iCs/>
          <w:color w:val="5A5A5A"/>
          <w:sz w:val="18"/>
          <w:szCs w:val="18"/>
        </w:rPr>
        <w:t>Quelle: Rechercheprotokoll (Anhang I), Excel-Planrechnung, Kapitel 2 bis 5.</w:t>
      </w:r>
    </w:p>
    <w:p>
      <w:pPr>
        <w:pStyle w:val="Normal"/>
        <w:keepNext w:val="true"/>
        <w:spacing w:before="160" w:after="80"/>
        <w:jc w:val="left"/>
        <w:rPr/>
      </w:pPr>
      <w:r>
        <w:rPr>
          <w:rFonts w:eastAsia="Arial" w:cs="Arial"/>
          <w:b/>
          <w:bCs/>
          <w:sz w:val="20"/>
          <w:szCs w:val="20"/>
        </w:rPr>
        <w:t>Tabelle 9.2: Chancen und Risiken (externe Faktoren)</w:t>
      </w:r>
    </w:p>
    <w:tbl>
      <w:tblPr>
        <w:tblW w:w="9638" w:type="dxa"/>
        <w:jc w:val="left"/>
        <w:tblInd w:w="0" w:type="dxa"/>
        <w:tblLayout w:type="fixed"/>
        <w:tblCellMar>
          <w:top w:w="40" w:type="dxa"/>
          <w:left w:w="70" w:type="dxa"/>
          <w:bottom w:w="40" w:type="dxa"/>
          <w:right w:w="70" w:type="dxa"/>
        </w:tblCellMar>
      </w:tblPr>
      <w:tblGrid>
        <w:gridCol w:w="4819"/>
        <w:gridCol w:w="4818"/>
      </w:tblGrid>
      <w:tr>
        <w:trPr>
          <w:tblHeader w:val="true"/>
        </w:trPr>
        <w:tc>
          <w:tcPr>
            <w:tcW w:w="481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Chancen</w:t>
            </w:r>
          </w:p>
        </w:tc>
        <w:tc>
          <w:tcPr>
            <w:tcW w:w="481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Risiken</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Wachsender Markt: 12,36 Mio. Mitglieder (+5,6 %), 6,25 Mrd. € Umsatz (+7,4 %), Penetration 14,8 % (DSSV Eckdaten 2026)</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Mitgliederaufbau langsamer als geplant: bei −20 % Neuzugängen sinkt der DSCR im dritten Jahr auf 0,92</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HYROX: ca. 900.000 Athleten 2025, über 1,5 Mio. Teilnehmer in der Saison 2025/26, 15.000 Partnerstudios (BODYMEDIA 05/2026, endurance.biz 07/2026)</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Preisdruck durch Discounter mit 31 bis 36 € effektiv (fair-for-fitness 09/2026) und regionale Ketten mit Sauna ab 34,95 € (ai fitness Friedrichshafen)</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Firmenfitness: ZF ca. 10.000, Rolls-Royce Power Systems 6.300, Airbus ca. 2.150 Beschäftigte im Raum Friedrichshafen; 43,3 % der Anlagen bieten BGM (DSSV 2025)</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Konjunktur und Kurzarbeit bei Großarbeitgebern (ZF Transformationsrisiko)</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Wellness-Upgrades: Beispiel Elixia mit 30 € Aufpreis und 900 Verträgen in 24 Monaten = 324.000 € brutto je Jahr (BODYMEDIA 2020)</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Wettbewerbereintritt: Kettenanlagen +12,6 % im Jahr 2025 (DSSV 2026); HYROX-Angebote bereits bei ai fitness FN und JONNY M. Böblingen</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Aggregatoren (Wellpass, Urban Sports) mit 1,47 Mio. Mitgliederäquivalenten, 76,1 % der Anlagen angebunden (DSSV 2026)</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Kostensteigerungen: Energie, Mindestlohn 14,60 € ab 2027, Gewerbesteuer-Hebesätze bis 430 %</w:t>
            </w:r>
          </w:p>
        </w:tc>
      </w:tr>
      <w:tr>
        <w:trPr/>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Kaufkraft Bodenseekreis 36.069 € je Einwohner, rund 107 % des Landeswerts von 33.643 € (MB Research 2026), Arbeitslosenquote 3,5 % (WF Bodenseekreis)</w:t>
            </w:r>
          </w:p>
        </w:tc>
        <w:tc>
          <w:tcPr>
            <w:tcW w:w="481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Bauverzug und Genehmigungsdauer 3 bis 6 Monate (Quellen: Anhang I); Zinsänderung bei Anschlussfinanzierung</w:t>
            </w:r>
          </w:p>
        </w:tc>
      </w:tr>
    </w:tbl>
    <w:p>
      <w:pPr>
        <w:pStyle w:val="Normal"/>
        <w:spacing w:before="60" w:after="200"/>
        <w:jc w:val="left"/>
        <w:rPr/>
      </w:pPr>
      <w:r>
        <w:rPr>
          <w:rFonts w:eastAsia="Arial" w:cs="Arial"/>
          <w:i/>
          <w:iCs/>
          <w:color w:val="5A5A5A"/>
          <w:sz w:val="18"/>
          <w:szCs w:val="18"/>
        </w:rPr>
        <w:t>Quelle: Rechercheprotokoll (Anhang I), Excel-Planrechnung.</w:t>
      </w:r>
    </w:p>
    <w:p>
      <w:pPr>
        <w:pStyle w:val="Heading2"/>
        <w:keepNext w:val="true"/>
        <w:spacing w:before="280" w:after="120"/>
        <w:rPr/>
      </w:pPr>
      <w:bookmarkStart w:id="80" w:name="__RefHeading___Toc21261_3809407278"/>
      <w:bookmarkEnd w:id="80"/>
      <w:r>
        <w:rPr/>
        <w:t>9.2 Risikoanalyse</w:t>
      </w:r>
    </w:p>
    <w:p>
      <w:pPr>
        <w:pStyle w:val="Normal"/>
        <w:spacing w:lineRule="exact" w:line="276" w:before="0" w:after="120"/>
        <w:jc w:val="both"/>
        <w:rPr/>
      </w:pPr>
      <w:r>
        <w:rPr>
          <w:rFonts w:eastAsia="Arial" w:cs="Arial"/>
          <w:sz w:val="22"/>
          <w:szCs w:val="22"/>
        </w:rPr>
        <w:t>Tabelle 9.3 bewertet die wesentlichen Risiken nach Eintrittswahrscheinlichkeit (gering, mittel, hoch) und Auswirkung auf EBITDA, Kapitaldienstfähigkeit (DSCR) und Liquidität. Wo das Finanzmodell eine Sensitivität enthält, ist die Auswirkung quantifiziert (Abschnitt 9.3). Jedem Risiko sind Gegenmaßnahmen und ein Frühindikator zugeordnet, der im monatlichen Controlling überwacht wird und bei Überschreiten die Maßnahme auslöst. Die Referenzwerte des Basisszenarios: 100 Neuzugänge je Monat in den Monaten 4 bis 12, Kündigungsquote 2,2 % je Monat, 1.429 Mitglieder nach 12 und 2.053 nach 24 Monaten, DSCR 2,12 im dritten Jahr, Kassenminimum 107.975 € im Monat 18.</w:t>
      </w:r>
    </w:p>
    <w:p>
      <w:pPr>
        <w:pStyle w:val="Normal"/>
        <w:keepNext w:val="true"/>
        <w:spacing w:before="160" w:after="80"/>
        <w:jc w:val="left"/>
        <w:rPr/>
      </w:pPr>
      <w:r>
        <w:rPr>
          <w:rFonts w:eastAsia="Arial" w:cs="Arial"/>
          <w:b/>
          <w:bCs/>
          <w:sz w:val="20"/>
          <w:szCs w:val="20"/>
        </w:rPr>
        <w:t>Tabelle 9.3: Risikomatrix mit Gegenmaßnahmen und Frühindikatoren</w:t>
      </w:r>
    </w:p>
    <w:tbl>
      <w:tblPr>
        <w:tblW w:w="9638" w:type="dxa"/>
        <w:jc w:val="left"/>
        <w:tblInd w:w="0" w:type="dxa"/>
        <w:tblLayout w:type="fixed"/>
        <w:tblCellMar>
          <w:top w:w="40" w:type="dxa"/>
          <w:left w:w="70" w:type="dxa"/>
          <w:bottom w:w="40" w:type="dxa"/>
          <w:right w:w="70" w:type="dxa"/>
        </w:tblCellMar>
      </w:tblPr>
      <w:tblGrid>
        <w:gridCol w:w="1542"/>
        <w:gridCol w:w="866"/>
        <w:gridCol w:w="2411"/>
        <w:gridCol w:w="2891"/>
        <w:gridCol w:w="1928"/>
      </w:tblGrid>
      <w:tr>
        <w:trPr>
          <w:tblHeader w:val="true"/>
        </w:trPr>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Risiko</w:t>
            </w:r>
          </w:p>
        </w:tc>
        <w:tc>
          <w:tcPr>
            <w:tcW w:w="86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Wahrsch.</w:t>
            </w:r>
          </w:p>
        </w:tc>
        <w:tc>
          <w:tcPr>
            <w:tcW w:w="241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Auswirkung</w:t>
            </w:r>
          </w:p>
        </w:tc>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Gegenmaßnahme</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Frühindikator</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Mitgliederwachstum unter Plan</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hoch: −20 % Neuzugänge → DSCR J3 0,92, Kasse −202.288 €; −30 % → DSCR 0,19, Kasse −613.657 €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Vorverkauf ≥ 350, Firmenfitness und Aggregatoren, Maßnahmenpaket Kosten, Kontokorrent 200.000 €, Tilgungsstreckung mit Bank</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Vorverkauf unter 280 (80 % des Ziels) einen Monat vor Eröffnung; Neuzugänge unter 80 % des Plans in drei Folgemonaten; Bestand Monat 12 unter 1.286 (90 %)</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Höhere Kündigungsquote</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 3,0 % statt 2,2 % → DSCR J3 1,57, Ergebnis J3 −68.514 €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Onboarding mit Trainingsplan, 2 Trainerkontakte je Monat, Kursbindung, Ruhezeit statt Kündigung, Exit-Gespräch</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Kündigungen über 2,6 % im Quartalsmittel; Check-ins je Mitglied sinken</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Preisdruck durch Discounter</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 Beiträge −10 % → DSCR J3 1,53, Break-even 2.204 Mitglieder</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Preiskämpfe im Basic-Tarif, Wert über Wellness, HYROX und Betreuung, Tarifmix mit 45 % Premium halten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Konversion Probetraining sinkt; Neueröffnung Discounter im 15-Minuten-Radius; Premiumanteil &lt; 40 %</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Investitionsmehrkosten</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 Puffer 165.378 € (10 %); Schätzpreise 196.069 €; Import-Nebenkosten 32.228 €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Festpreisangebote vor Kreditzusage, Generalunternehmer, Bauleitung, Alternativgeräte, Leasing als Reserve</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Angebote &gt; Budget je Gewerk; Nachträge &gt; 5 % der Auftragssumme</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Bauverzug, Eröffnungsverschiebung</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 ca. 58.000 € je Monat (Miete/NK 28.643 €, Vorlaufpersonal ca. 15.900 €, Zinsen 13.514 €)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Baugenehmigung vor Ausbaubeginn, Bauzeitenplan mit Meilensteinen und Vertragsstrafe, mietfreie Zeit 3 Monate, Vorverkauf mit Eröffnungsgarantie-Bonus</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Genehmigung nicht bis Monat −5; Gewerke &gt; 2 Wochen hinter Plan</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Energiekosten</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gering: 5,50 statt 4,00 €/m² → DSCR J3 1,93, Kasse 51.441 €</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Festpreisvertrag Strom/Wärme, Wärmerückgewinnung RLT, Saunasteuerung nach Belegung, LED, Lastmanagement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Verbrauch je m² über Planwert in zwei Monaten; Strompreis &gt; 25 ct/kWh netto</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Zinsänderung +1,5 Prozentpunkte</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gering</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gering: Ergebnis J3 −1.270 €, DSCR J3 1,77, J4 1,41</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Zinsbindung 10 Jahre (KfW 077, L-Bank), Sondertilgungen ab Jahr 4, Anschlussfinanzierung ab Jahr 8 vorbereiten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Bundesbank-Zinsstatistik; Nutzung Kontokorrent (9 %) über 2 Monate</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Personalengpass, Lohnkosten</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 Personal +10 % → DSCR J3 1,91; Vakanzen mindern Betreuung</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Gehälter am BW-Median (3.081 €), Ausbildung (Lizenz B/A), Studenten- und Minijob-Pool, Weiterbildungsbudget, Beteiligung am Erfolg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Vakanz &gt; 8 Wochen; Überstunden &gt; 10 %; Bewerbungen je Ausschreibung &lt; 5</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Ausfall des Gründers</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gering</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hoch: Führungslücke, Bankvertrauen</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Stellv. Studioleitung ab Monat −2 mit Handlungsvollmacht, Notfallordner, Beirat/Mentor, Risikolebens- und BU-Versicherung, Nachfolgeklausel im Gesellschaftsvertrag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Krankheitstage; Vertretungsplan jährlich getestet</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Konjunktur, Kurzarbeit (ZF)</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 Kündigungen aus finanziellen Gründen, Rückgang Premium</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Einzugsgebiet 149.548 Einwohner statt Einzelbetrieb, Tarif Student/Azubi/Senior, Ruheoption, Firmenfitness mit mehreren Arbeitgebern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Kurzarbeitsanzeigen im Bodenseekreis; Kündigungsgrund „finanziell“ &gt; 20 %</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Wettbewerbereintritt</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mittel: langsamere Neuzugänge, Preisdruck</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Standortentscheidung mit Wettbewerbsradius, 10-Jahres-Mietvertrag mit Konkurrenzschutz, Community (HYROX-Events, Kurse), Mitarbeiterbindung</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Bauanträge und Presse zu Neueröffnungen; Abwerbeversuche</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Rechts- und Regulierungsrisiken</w:t>
            </w:r>
          </w:p>
        </w:tc>
        <w:tc>
          <w:tcPr>
            <w:tcW w:w="86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gering</w:t>
            </w:r>
          </w:p>
        </w:tc>
        <w:tc>
          <w:tcPr>
            <w:tcW w:w="241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gering: unwirksame AGB-Klauseln, Hebesatzerhöhung, Sonderbau-Auflagen</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Anwaltlich geprüfte AGB, Bauvoranfrage, Brandschutzkonzept, Hebesatz 390 % im Plan (Spanne 350 bis 430 %)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Gemeinderatsbeschlüsse; Abmahnungen; Auflagen im Genehmigungsbescheid</w:t>
            </w:r>
          </w:p>
        </w:tc>
      </w:tr>
    </w:tbl>
    <w:p>
      <w:pPr>
        <w:pStyle w:val="Normal"/>
        <w:spacing w:before="60" w:after="200"/>
        <w:jc w:val="left"/>
        <w:rPr/>
      </w:pPr>
      <w:r>
        <w:rPr>
          <w:rFonts w:eastAsia="Arial" w:cs="Arial"/>
          <w:i/>
          <w:iCs/>
          <w:color w:val="5A5A5A"/>
          <w:sz w:val="18"/>
          <w:szCs w:val="18"/>
        </w:rPr>
        <w:t>Quelle: Excel-Planrechnung, Rechercheprotokoll (Anhang I); Wahrscheinlichkeiten als Einschätzung des Gründers; Verzugskosten je Monat rechnerisch aus Excel-Planrechnung.</w:t>
      </w:r>
    </w:p>
    <w:p>
      <w:pPr>
        <w:pStyle w:val="Heading3"/>
        <w:keepNext w:val="true"/>
        <w:spacing w:before="200" w:after="80"/>
        <w:rPr/>
      </w:pPr>
      <w:r>
        <w:rPr/>
        <w:t>9.2.1 Mitgliederwachstum und Kündigungsquote</w:t>
      </w:r>
    </w:p>
    <w:p>
      <w:pPr>
        <w:pStyle w:val="Normal"/>
        <w:spacing w:lineRule="exact" w:line="276" w:before="0" w:after="120"/>
        <w:jc w:val="both"/>
        <w:rPr/>
      </w:pPr>
      <w:r>
        <w:rPr>
          <w:rFonts w:eastAsia="Arial" w:cs="Arial"/>
          <w:sz w:val="22"/>
          <w:szCs w:val="22"/>
        </w:rPr>
        <w:t>Das größte Risiko ist ein langsamerer Mitgliederaufbau. Der Basisplan unterstellt 350 Mitglieder aus dem Vorverkauf, 140 Neuzugänge je Monat in den ersten drei Monaten, danach 100 je Monat bis zum zwölften Monat und 90 je Monat im zweiten Jahr bei einer Kündigungsquote von 2,2 % je Monat. Bleiben die Neuzugänge um 20 % unter Plan, erreicht das Studio nach 24 Monaten 1.642 statt 2.053 Mitglieder; das EBITDA des dritten Jahres sinkt von 398.960 € auf 173.665 €, der DSCR fällt auf 0,92 und die Kasse wird im Tiefpunkt mit −202.288 € negativ, der Reservebedarf für 24 Monate steigt auf 1.074.527 €. Bei −30 % beträgt das Kassenminimum −613.657 € und der DSCR 0,19. Der Kontokorrentrahmen von 200.000 € deckt den Fall −20 % nahezu ab; zusätzlich greift das Maßnahmenpaket aus Abschnitt 9.3, das jährlich zwischen 41.619 € und 86.623 € einspart, und mit der Hausbank wäre eine Streckung der Tilgung zu vereinbaren, die im dritten Geschäftsjahr erst 25.773 € und im vierten 103.093 € beträgt (Kapitel 10, Tabelle 10.12). Der Fall −30 % ist aus eigener Kraft nicht mehr aufzufangen; er muss durch den Frühindikator so rechtzeitig erkannt werden, dass Vertriebsmaßnahmen (Firmenfitness, Aggregatoren, Aktionen) greifen, bevor die Reserve aufgebraucht ist.</w:t>
      </w:r>
    </w:p>
    <w:p>
      <w:pPr>
        <w:pStyle w:val="Normal"/>
        <w:spacing w:lineRule="exact" w:line="276" w:before="0" w:after="120"/>
        <w:jc w:val="both"/>
        <w:rPr/>
      </w:pPr>
      <w:r>
        <w:rPr>
          <w:rFonts w:eastAsia="Arial" w:cs="Arial"/>
          <w:sz w:val="22"/>
          <w:szCs w:val="22"/>
        </w:rPr>
        <w:t>Die Kündigungsquote von 2,2 % je Monat entspricht kumuliert 23,4 % je Jahr (Kapitel 4, Tabelle 4.11) und liegt damit auf dem Niveau des Branchendurchschnitts von 25 % (DSSV 2019, 13 % inhabergeführt bis 40 % Ketten) und der 21 bis 25 % für Einzelstudios (Bechler/DSSV); im Eröffnungsjahr rechnen Berater sogar nur mit 5 bis 10 % (IN-COME 2020). Die Annahme ist also nicht optimistisch, sondern Branchenniveau. Steigt die Quote dennoch auf 3,0 % je Monat, sinken die Mitglieder nach 24 Monaten auf 1.856, das EBITDA im dritten Jahr auf 294.209 € und der DSCR auf 1,57; die Kasse bleibt mit 45.422 € positiv. Wirksamstes Gegenmittel ist die Betreuung: Zwei Trainerkontakte je Monat halbieren nach einer IHRSA-Auswertung die Kündigungswahrscheinlichkeit (BODYMEDIA 2021). Ab Erreichen der Kapazität von 2.200 Mitgliedern im Monat 29 ersetzt jeder Neuzugang eine Kündigung; im Basisplan sind das 48 Kündigungen je Monat.</w:t>
      </w:r>
    </w:p>
    <w:p>
      <w:pPr>
        <w:pStyle w:val="Heading3"/>
        <w:keepNext w:val="true"/>
        <w:spacing w:before="200" w:after="80"/>
        <w:rPr/>
      </w:pPr>
      <w:r>
        <w:rPr/>
        <w:t>9.2.2 Preisdruck und Wettbewerb</w:t>
      </w:r>
    </w:p>
    <w:p>
      <w:pPr>
        <w:pStyle w:val="Normal"/>
        <w:spacing w:lineRule="exact" w:line="276" w:before="0" w:after="120"/>
        <w:jc w:val="both"/>
        <w:rPr/>
      </w:pPr>
      <w:r>
        <w:rPr>
          <w:rFonts w:eastAsia="Arial" w:cs="Arial"/>
          <w:sz w:val="22"/>
          <w:szCs w:val="22"/>
        </w:rPr>
        <w:t>Die Discount-Ketten liegen effektiv bei 31 bis 36 € je Monat (FitX 31,42 €, McFIT 35,65 €; clever fit im Schnitt 39,23 €, fair-for-fitness 27.09.2026). Im Einzugsgebiet Friedrichshafen bietet ai fitness am Flughafen 1.700 m² mit Sauna und HYROX-Bereich für 34,95 bis 49,95 € an; MC Shape in Überlingen und Markdorf verlangt 39,90 bis 49,90 € (Quellen: Anhang I). No.1 positioniert sich mit 44,90 € (Basic) und 59,90 € (Premium) darüber und im Mittel mit 50,15 € zwischen dem Branchendurchschnitt von 48,55 € und dem Durchschnitt der Einzelanlagen von 59,24 € (DSSV 2026). Müsste das Beitragsniveau um 10 % gesenkt werden, sänke das EBITDA des dritten Jahres auf 287.930 €, der DSCR auf 1,53 und der Break-even stiege auf 2.204 Mitglieder, also über die Kapazität von 2.200. Preissenkungen sind deshalb keine Option; die Antwort auf Preisdruck ist die Leistungsdifferenzierung (Wellness, HYROX, Betreuung, Kurse), die Discounter nicht abbilden. Der Eintritt weiterer Wettbewerber ist wahrscheinlich, weil die Zahl der Kettenanlagen 2025 um 12,6 % gewachsen ist (DSSV 2026); ein Mietvertrag mit Konkurrenzschutz für das Gewerbegebiet und die Prüfung des Wettbewerbsradius vor der Standortentscheidung (Kapitel 5) begrenzen dieses Risiko.</w:t>
      </w:r>
    </w:p>
    <w:p>
      <w:pPr>
        <w:pStyle w:val="Heading3"/>
        <w:keepNext w:val="true"/>
        <w:spacing w:before="200" w:after="80"/>
        <w:rPr/>
      </w:pPr>
      <w:r>
        <w:rPr/>
        <w:t>9.2.3 Investition, Bauzeit und Betriebskosten</w:t>
      </w:r>
    </w:p>
    <w:p>
      <w:pPr>
        <w:pStyle w:val="Normal"/>
        <w:spacing w:lineRule="exact" w:line="276" w:before="0" w:after="120"/>
        <w:jc w:val="both"/>
        <w:rPr/>
      </w:pPr>
      <w:r>
        <w:rPr>
          <w:rFonts w:eastAsia="Arial" w:cs="Arial"/>
          <w:sz w:val="22"/>
          <w:szCs w:val="22"/>
        </w:rPr>
        <w:t>Investitionsmehrkosten sind mit 10 % Unvorhergesehenem, also 165.378 €, abgedeckt. Die Unsicherheit liegt vor allem im Ausbau, der mit pauschalen 250 €/m² Grundausbau und 110 €/m² Lüftung kalkuliert ist (Quellen: Anhang I), und in 82 Stücklistenpositionen mit geschätzten Preisen im Wert von 196.069 € (Quellen: Anhang I). Vor der Kreditzusage werden deshalb Festpreisangebote je Gewerk und verbindliche Geräteangebote eingeholt (Kapitel 3, Hinweis). Die Sensitivität für eine Kaltmiete von 10,00 statt 8,50 €/m² zeigt, dass auch ein teureres Objekt tragbar bleibt: EBITDA im dritten Jahr 361.966 €, DSCR 1,92, Kassenminimum 45.089 €.</w:t>
      </w:r>
    </w:p>
    <w:p>
      <w:pPr>
        <w:pStyle w:val="Normal"/>
        <w:spacing w:lineRule="exact" w:line="276" w:before="0" w:after="120"/>
        <w:jc w:val="both"/>
        <w:rPr/>
      </w:pPr>
      <w:r>
        <w:rPr>
          <w:rFonts w:eastAsia="Arial" w:cs="Arial"/>
          <w:sz w:val="22"/>
          <w:szCs w:val="22"/>
        </w:rPr>
        <w:t>Ein Bauverzug verschiebt die Eröffnung und damit den Umsatz, während Miete, Vorlaufpersonal und Zinsen weiterlaufen. Rechnerisch kostet jeder Monat Verzug rund 58.000 €: Miete und Nebenkosten 28.643 €, Personal des Vorlaufs etwa 15.900 € einschließlich Arbeitgeberabgaben und Zinsen 13.514 €. Drei mietfreie Monate während des Ausbaus sind Verhandlungsziel (Kapitel 5, Tabelle 5.8) und dämpfen das Risiko. Die Genehmigungsdauer von drei bis sechs Monaten (Quellen: Anhang I) ist im Zeitplan berücksichtigt; der Vorverkauf startet erst, wenn die Baugenehmigung vorliegt, damit kein Eröffnungstermin gegenüber Mitgliedern zugesagt wird, der nicht gehalten werden kann.</w:t>
      </w:r>
    </w:p>
    <w:p>
      <w:pPr>
        <w:pStyle w:val="Normal"/>
        <w:spacing w:lineRule="exact" w:line="276" w:before="0" w:after="120"/>
        <w:jc w:val="both"/>
        <w:rPr/>
      </w:pPr>
      <w:r>
        <w:rPr>
          <w:rFonts w:eastAsia="Arial" w:cs="Arial"/>
          <w:sz w:val="22"/>
          <w:szCs w:val="22"/>
        </w:rPr>
        <w:t>Energie und Wasser sind mit 4,00 €/m² je Monat, also 94.819 € je Jahr, angesetzt, zuzüglich 2,00 €/m² Betriebskosten. Der DSSV nennt als Richtwerte 3,00 bis 3,50 €/m² für Wasser und Heizung und Strom ab 2,50 €/m², abhängig von Saunen (DSSV 04/2022); die GEG-Vergleichswerte für Fitnessstudios ergeben ohne Sauna rund 53,5 kWh Strom und 123 kWh Wärme je m² und Jahr (Quellen: Anhang I). Steigen die Energiekosten auf 5,50 €/m², sinkt das EBITDA des dritten Jahres auf 363.403 € und der DSCR auf 1,93. Die RLT-Anlage mit Wärmerückgewinnung und eine belegungsabhängige Steuerung von Sauna und Dampfbad sind die wichtigsten technischen Gegenmaßnahmen; ein Festpreisvertrag für Strom sichert die Planbarkeit.</w:t>
      </w:r>
    </w:p>
    <w:p>
      <w:pPr>
        <w:pStyle w:val="Heading3"/>
        <w:keepNext w:val="true"/>
        <w:spacing w:before="200" w:after="80"/>
        <w:rPr/>
      </w:pPr>
      <w:r>
        <w:rPr/>
        <w:t>9.2.4 Finanzierung, Personal und Gründer</w:t>
      </w:r>
    </w:p>
    <w:p>
      <w:pPr>
        <w:pStyle w:val="Normal"/>
        <w:spacing w:lineRule="exact" w:line="276" w:before="0" w:after="120"/>
        <w:jc w:val="both"/>
        <w:rPr/>
      </w:pPr>
      <w:r>
        <w:rPr>
          <w:rFonts w:eastAsia="Arial" w:cs="Arial"/>
          <w:sz w:val="22"/>
          <w:szCs w:val="22"/>
        </w:rPr>
        <w:t>Die Darlehen sind mit Zinssätzen von 6,4 bis 7,0 % geplant, die am oberen Rand der für junge Unternehmen ohne Historie erwartbaren Preisklassen C bis E liegen (Rechercheprotokoll (Anhang I); Kapitel 10, Tabelle 10.4). Eine Zinserhöhung um 1,5 Prozentpunkte über alle Darlehen senkt das Ergebnis des dritten Jahres auf −1.270 € und den DSCR auf 1,77 (Jahr 4: 1,41); das Kassenminimum bleibt mit 39.275 € positiv. Da KfW und L-Bank eine Zinsbindung von zehn Jahren bieten (Quellen: Anhang I), trifft das Zinsrisiko vor allem die Anschlussfinanzierung ab dem elften Jahr und den Kontokorrent mit 9 %. Sondertilgungen ab dem vierten Jahr, wenn der Cashflow nach Kapitaldienst 158.748 € erreicht, reduzieren die Restschuld vor der Anschlussfinanzierung.</w:t>
      </w:r>
    </w:p>
    <w:p>
      <w:pPr>
        <w:pStyle w:val="Normal"/>
        <w:spacing w:lineRule="exact" w:line="276" w:before="0" w:after="120"/>
        <w:jc w:val="both"/>
        <w:rPr/>
      </w:pPr>
      <w:r>
        <w:rPr>
          <w:rFonts w:eastAsia="Arial" w:cs="Arial"/>
          <w:sz w:val="22"/>
          <w:szCs w:val="22"/>
        </w:rPr>
        <w:t>Das Personalrisiko ist zweifach: Fachkräfte sind knapp, die Branche hat 2025 167.100 Beschäftigte (+6,0 %) und nennt qualifizierte Fachkräfte als Toptrend (DSSV 2026, DSSV Trends 2024); zugleich steigen die Löhne mit dem Mindestlohn von 14,60 € ab 2027. Steigen die Personalkosten um 10 %, sinkt der DSCR im dritten Jahr auf 1,91. Die Gehälter liegen mit 3.000 € für Trainer nahe dem Median in Baden-Württemberg (3.081 €, GEHALT.de 2026); das Modell rechnet mit 2,5 % Steigerung je Jahr. Der Ausfall des Gründers ist unwahrscheinlich, hätte aber hohe Wirkung. Die stellvertretende Studioleitung mit A-Lizenz und Branchenerfahrung wird zwei Monate vor Eröffnung eingestellt und erhält Handlungsvollmacht; ein Notfallordner mit Zugängen, Verträgen und Ansprechpartnern, ein Beirat oder Mentor (Kapitel 2) sowie eine Risikolebens- und Berufsunfähigkeitsversicherung des Gründers, deren Leistungen an die Bank abgetreten werden können, sichern die Finanzierung ab [vom Gründer zu ergänzen: Angebote].</w:t>
      </w:r>
    </w:p>
    <w:p>
      <w:pPr>
        <w:pStyle w:val="Normal"/>
        <w:spacing w:lineRule="exact" w:line="276" w:before="0" w:after="120"/>
        <w:jc w:val="both"/>
        <w:rPr/>
      </w:pPr>
      <w:r>
        <w:rPr>
          <w:rFonts w:eastAsia="Arial" w:cs="Arial"/>
          <w:sz w:val="22"/>
          <w:szCs w:val="22"/>
        </w:rPr>
        <w:t>Konjunkturrisiko: Der Bodenseekreis ist industriell geprägt; ZF beschäftigt am Stammsitz Friedrichshafen rund 10.000 Personen und steht unter Transformationsdruck mit Kurzarbeit, während Rolls-Royce Power Systems 6.300 Beschäftigte hat und 2026 rund 500 Einstellungen plant (Quellen: Anhang I). Kaufkraft (36.069 € je Einwohner) und Arbeitslosenquote (3,5 %) sind überdurchschnittlich gut. Das Einzugsgebiet mit 149.548 Einwohnern und rechnerisch 22.133 Fitnessmitgliedern (14,8 % Penetration) ist breit genug, dass der Plan nicht von einem Arbeitgeber abhängt (Quellen: Anhang I). Die Corona-Jahre haben allerdings gezeigt, wie schockanfällig die Branche ist: 2021 lag die Mitgliederzahl bei 9,26 Mio. gegenüber 11,66 Mio. im Jahr 2019 (Quellen: Anhang I). Ein Tarif für Studenten, Azubis und Senioren sowie die Ruheoption halten Mitglieder in wirtschaftlich schwierigen Phasen im Studio.</w:t>
      </w:r>
    </w:p>
    <w:p>
      <w:pPr>
        <w:pStyle w:val="Heading2"/>
        <w:keepNext w:val="true"/>
        <w:spacing w:before="280" w:after="120"/>
        <w:rPr/>
      </w:pPr>
      <w:bookmarkStart w:id="81" w:name="__RefHeading___Toc21263_3809407278"/>
      <w:bookmarkEnd w:id="81"/>
      <w:r>
        <w:rPr/>
        <w:t>9.3 Sensitivitäten und Szenarien</w:t>
      </w:r>
    </w:p>
    <w:p>
      <w:pPr>
        <w:pStyle w:val="Normal"/>
        <w:spacing w:lineRule="exact" w:line="276" w:before="0" w:after="120"/>
        <w:jc w:val="both"/>
        <w:rPr/>
      </w:pPr>
      <w:r>
        <w:rPr>
          <w:rFonts w:eastAsia="Arial" w:cs="Arial"/>
          <w:sz w:val="22"/>
          <w:szCs w:val="22"/>
        </w:rPr>
        <w:t>Tabelle 9.4 zeigt die Einzelsensitivitäten des Finanzmodells gegenüber dem Basisszenario. Jede Zeile verändert genau eine Annahme; alle anderen Werte bleiben gleich. Maßgeblich für die Bank sind der DSCR im dritten und vierten Jahr sowie das Kassenminimum, das angibt, ob die eingeplante Reserve von 740.000 € und der Kontokorrent von 200.000 € ausreichen.</w:t>
      </w:r>
    </w:p>
    <w:p>
      <w:pPr>
        <w:pStyle w:val="Normal"/>
        <w:keepNext w:val="true"/>
        <w:spacing w:before="160" w:after="80"/>
        <w:jc w:val="left"/>
        <w:rPr/>
      </w:pPr>
      <w:r>
        <w:rPr>
          <w:rFonts w:eastAsia="Arial" w:cs="Arial"/>
          <w:b/>
          <w:bCs/>
          <w:sz w:val="20"/>
          <w:szCs w:val="20"/>
        </w:rPr>
        <w:t>Tabelle 9.4: Sensitivitäten gegenüber dem Basisszenario (netto)</w:t>
      </w:r>
    </w:p>
    <w:tbl>
      <w:tblPr>
        <w:tblW w:w="9638" w:type="dxa"/>
        <w:jc w:val="left"/>
        <w:tblInd w:w="0" w:type="dxa"/>
        <w:tblLayout w:type="fixed"/>
        <w:tblCellMar>
          <w:top w:w="40" w:type="dxa"/>
          <w:left w:w="70" w:type="dxa"/>
          <w:bottom w:w="40" w:type="dxa"/>
          <w:right w:w="70" w:type="dxa"/>
        </w:tblCellMar>
      </w:tblPr>
      <w:tblGrid>
        <w:gridCol w:w="2891"/>
        <w:gridCol w:w="1156"/>
        <w:gridCol w:w="1350"/>
        <w:gridCol w:w="1348"/>
        <w:gridCol w:w="1447"/>
        <w:gridCol w:w="1445"/>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Fall</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Mitglieder M24</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EBITDA Jahr 3</w:t>
            </w:r>
          </w:p>
        </w:tc>
        <w:tc>
          <w:tcPr>
            <w:tcW w:w="134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Ergebnis Jahr 3</w:t>
            </w:r>
          </w:p>
        </w:tc>
        <w:tc>
          <w:tcPr>
            <w:tcW w:w="144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DSCR Jahr 3 / 4</w:t>
            </w:r>
          </w:p>
        </w:tc>
        <w:tc>
          <w:tcPr>
            <w:tcW w:w="144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Kassenminimum</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Basis</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398.960 €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36.237 €</w:t>
            </w:r>
          </w:p>
        </w:tc>
        <w:tc>
          <w:tcPr>
            <w:tcW w:w="14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2,12 / 1,61</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107.975 €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Neuzugänge −20 %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1.642</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173.665 €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189.058 €</w:t>
            </w:r>
          </w:p>
        </w:tc>
        <w:tc>
          <w:tcPr>
            <w:tcW w:w="14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0,92 / 1,24</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202.288 €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Neuzugänge −30 %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1.437</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35.516 €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327.207 €</w:t>
            </w:r>
          </w:p>
        </w:tc>
        <w:tc>
          <w:tcPr>
            <w:tcW w:w="14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0,19 / 0,63</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613.657 €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Kündigungsquote 3,0 % statt 2,2 % je Monat</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1.856</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294.209 €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68.514 €</w:t>
            </w:r>
          </w:p>
        </w:tc>
        <w:tc>
          <w:tcPr>
            <w:tcW w:w="14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1,57 / 1,56</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45.422 €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Beitragsniveau −10 %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287.930 €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74.793 €</w:t>
            </w:r>
          </w:p>
        </w:tc>
        <w:tc>
          <w:tcPr>
            <w:tcW w:w="14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1,53 / 1,17</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6.971 €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Kaltmiete 10,00 statt 8,50 €/m²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361.966 €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1.325 €</w:t>
            </w:r>
          </w:p>
        </w:tc>
        <w:tc>
          <w:tcPr>
            <w:tcW w:w="14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1,92 / 1,46</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45.089 €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Zinsen +1,5 Prozentpunkte</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398.960 €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1.270 €</w:t>
            </w:r>
          </w:p>
        </w:tc>
        <w:tc>
          <w:tcPr>
            <w:tcW w:w="14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1,77 / 1,41</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39.275 €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Personalkosten +10 %</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358.399 €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4.324 €</w:t>
            </w:r>
          </w:p>
        </w:tc>
        <w:tc>
          <w:tcPr>
            <w:tcW w:w="14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1,91 / 1,45</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49.148 €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Energie/Wasser 5,50 statt 4,00 €/m²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363.403 €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111 €</w:t>
            </w:r>
          </w:p>
        </w:tc>
        <w:tc>
          <w:tcPr>
            <w:tcW w:w="144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1,93 / 1,47</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51.441 €</w:t>
            </w:r>
          </w:p>
        </w:tc>
      </w:tr>
    </w:tbl>
    <w:p>
      <w:pPr>
        <w:pStyle w:val="Normal"/>
        <w:spacing w:before="60" w:after="200"/>
        <w:jc w:val="left"/>
        <w:rPr/>
      </w:pPr>
      <w:r>
        <w:rPr>
          <w:rFonts w:eastAsia="Arial" w:cs="Arial"/>
          <w:i/>
          <w:iCs/>
          <w:color w:val="5A5A5A"/>
          <w:sz w:val="18"/>
          <w:szCs w:val="18"/>
        </w:rPr>
        <w:t>Quelle: Excel-Planrechnung (Stand 27.09.2026); Kassenminimum nach Einsatz der Anlaufreserve von 740.000 €, vor Kontokorrent.</w:t>
      </w:r>
    </w:p>
    <w:p>
      <w:pPr>
        <w:pStyle w:val="Normal"/>
        <w:spacing w:lineRule="exact" w:line="276" w:before="0" w:after="120"/>
        <w:jc w:val="both"/>
        <w:rPr/>
      </w:pPr>
      <w:r>
        <w:rPr>
          <w:rFonts w:eastAsia="Arial" w:cs="Arial"/>
          <w:sz w:val="22"/>
          <w:szCs w:val="22"/>
        </w:rPr>
        <w:t>Alle Kosten- und Preissensitivitäten bleiben mit einem DSCR von mindestens 1,53 im dritten Jahr und positiver Kasse tragfähig; kritisch sind allein die Mengenrisiken beim Mitgliederaufbau. Einschränkend gilt für das Beitragsniveau −10 %: Der DSCR sinkt im vierten Jahr auf 1,17 und das Kassenminimum auf 6.971 €, sodass der Kontokorrentrahmen faktisch beansprucht würde; Nachlässe auf die Monatsbeiträge sind deshalb ausgeschlossen (Abschnitt 6.2). Deshalb wurden zusätzlich drei vollständige Szenarien gerechnet (Tabelle 9.5). Das pessimistische Szenario kombiniert 30 % weniger Neuzugänge, eine Kündigungsquote von 2,8 % je Monat und ein um 5 % niedrigeres Beitragsniveau; das optimistische Szenario unterstellt 20 % mehr Neuzugänge, 1,8 % Kündigungen und 3 % höhere Beiträge. Für das pessimistische Szenario wurde ein Maßnahmenpaket hinterlegt: der dritte Vollzeittrainer wird erst ab dem dritten statt dem zweiten Jahr eingestellt, am Empfang werden drei statt vier Minijobs besetzt, das laufende Marketing sinkt von 4.600 € auf 2.500 € je Monat und Reinigung sowie Sonstiges werden um 15 % gekürzt.</w:t>
      </w:r>
    </w:p>
    <w:p>
      <w:pPr>
        <w:pStyle w:val="Normal"/>
        <w:keepNext w:val="true"/>
        <w:spacing w:before="160" w:after="80"/>
        <w:jc w:val="left"/>
        <w:rPr/>
      </w:pPr>
      <w:r>
        <w:rPr>
          <w:rFonts w:eastAsia="Arial" w:cs="Arial"/>
          <w:b/>
          <w:bCs/>
          <w:sz w:val="20"/>
          <w:szCs w:val="20"/>
        </w:rPr>
        <w:t>Tabelle 9.5: Szenarienvergleich (netto)</w:t>
      </w:r>
    </w:p>
    <w:tbl>
      <w:tblPr>
        <w:tblW w:w="9638" w:type="dxa"/>
        <w:jc w:val="left"/>
        <w:tblInd w:w="0" w:type="dxa"/>
        <w:tblLayout w:type="fixed"/>
        <w:tblCellMar>
          <w:top w:w="40" w:type="dxa"/>
          <w:left w:w="70" w:type="dxa"/>
          <w:bottom w:w="40" w:type="dxa"/>
          <w:right w:w="70" w:type="dxa"/>
        </w:tblCellMar>
      </w:tblPr>
      <w:tblGrid>
        <w:gridCol w:w="2698"/>
        <w:gridCol w:w="1735"/>
        <w:gridCol w:w="1735"/>
        <w:gridCol w:w="1735"/>
        <w:gridCol w:w="1735"/>
      </w:tblGrid>
      <w:tr>
        <w:trPr>
          <w:tblHeader w:val="true"/>
        </w:trPr>
        <w:tc>
          <w:tcPr>
            <w:tcW w:w="269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Kennzahl</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Basis</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Optimistisch</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Pessimistisch</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Pessimistisch mit Maßnahmen</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 nach 12 / 24 / 36 Monaten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1.429 / 2.053 / 2.200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1.763 / 2.200 / 2.200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959 / 1.332 / 1.525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959 / 1.332 / 1.525</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Umsatz Jahr 1 / Jahr 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622.361 € / 1.368.522 €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776.846 € / 1.412.178 €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408.704 € / 871.770 €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408.704 € / 871.770 €</w:t>
            </w:r>
          </w:p>
        </w:tc>
      </w:tr>
      <w:tr>
        <w:trPr/>
        <w:tc>
          <w:tcPr>
            <w:tcW w:w="269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EBITDA Jahr 1 / 2 / 3</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w:t>
            </w:r>
            <w:r>
              <w:rPr>
                <w:rFonts w:eastAsia="Arial" w:cs="Arial"/>
                <w:b/>
                <w:bCs/>
                <w:sz w:val="18"/>
                <w:szCs w:val="18"/>
              </w:rPr>
              <w:t>389.492 / 153.383 / 398.960 €</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w:t>
            </w:r>
            <w:r>
              <w:rPr>
                <w:rFonts w:eastAsia="Arial" w:cs="Arial"/>
                <w:b/>
                <w:bCs/>
                <w:sz w:val="18"/>
                <w:szCs w:val="18"/>
              </w:rPr>
              <w:t>238.913 / 379.849 / 441.892 €</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w:t>
            </w:r>
            <w:r>
              <w:rPr>
                <w:rFonts w:eastAsia="Arial" w:cs="Arial"/>
                <w:b/>
                <w:bCs/>
                <w:sz w:val="18"/>
                <w:szCs w:val="18"/>
              </w:rPr>
              <w:t>597.613 / −239.472 / −84.558 €</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w:t>
            </w:r>
            <w:r>
              <w:rPr>
                <w:rFonts w:eastAsia="Arial" w:cs="Arial"/>
                <w:b/>
                <w:bCs/>
                <w:sz w:val="18"/>
                <w:szCs w:val="18"/>
              </w:rPr>
              <w:t>555.994 / −152.849 / −42.445 €</w:t>
            </w:r>
          </w:p>
        </w:tc>
      </w:tr>
      <w:tr>
        <w:trPr/>
        <w:tc>
          <w:tcPr>
            <w:tcW w:w="269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Jahresergebnis Jahr 3</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36.237 €</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79.169 €</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447.281 €</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405.168 €</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DSCR Jahr 3 / Jahr 4</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2,12 / 1,61</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2,35 / 1,73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0,45 / −0,01</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0,23 / 0,16</w:t>
            </w:r>
          </w:p>
        </w:tc>
      </w:tr>
      <w:tr>
        <w:trPr/>
        <w:tc>
          <w:tcPr>
            <w:tcW w:w="269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EBITDA-Break-even (Monat)</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12</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9</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43</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36</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Cashflow-Break-even (Monat)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nicht innerhalb 60 Monaten</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nicht innerhalb 60 Monaten</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Break-even-Mitglieder inkl. Kapitaldienst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2.018</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1.968</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2.107</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2.032</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Reservebedarf 24 Monate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736.987 €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512.557 €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1.380.094 €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1.232.616 €</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Kassenminimum (Monat)</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107.975 € (M18)</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278.223 € (M−5)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w:t>
            </w:r>
            <w:r>
              <w:rPr>
                <w:rFonts w:eastAsia="Arial" w:cs="Arial"/>
                <w:b w:val="false"/>
                <w:bCs w:val="false"/>
                <w:sz w:val="18"/>
                <w:szCs w:val="18"/>
              </w:rPr>
              <w:t>1.206.153 € (M60)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w:t>
            </w:r>
            <w:r>
              <w:rPr>
                <w:rFonts w:eastAsia="Arial" w:cs="Arial"/>
                <w:b w:val="false"/>
                <w:bCs w:val="false"/>
                <w:sz w:val="18"/>
                <w:szCs w:val="18"/>
              </w:rPr>
              <w:t>950.293 € (M60)</w:t>
            </w:r>
          </w:p>
        </w:tc>
      </w:tr>
    </w:tbl>
    <w:p>
      <w:pPr>
        <w:pStyle w:val="Normal"/>
        <w:spacing w:before="60" w:after="200"/>
        <w:jc w:val="left"/>
        <w:rPr/>
      </w:pPr>
      <w:r>
        <w:rPr>
          <w:rFonts w:eastAsia="Arial" w:cs="Arial"/>
          <w:i/>
          <w:iCs/>
          <w:color w:val="5A5A5A"/>
          <w:sz w:val="18"/>
          <w:szCs w:val="18"/>
        </w:rPr>
        <w:t>Quelle: Excel-Planrechnung (Stand 27.09.2026).</w:t>
      </w:r>
    </w:p>
    <w:p>
      <w:pPr>
        <w:pStyle w:val="Normal"/>
        <w:spacing w:lineRule="exact" w:line="276" w:before="0" w:after="120"/>
        <w:jc w:val="both"/>
        <w:rPr/>
      </w:pPr>
      <w:r>
        <w:rPr>
          <w:rFonts w:eastAsia="Arial" w:cs="Arial"/>
          <w:sz w:val="22"/>
          <w:szCs w:val="22"/>
        </w:rPr>
        <w:t>Das pessimistische Szenario ist auch mit dem Maßnahmenpaket nicht tragfähig: Die Kasse fällt bis zum Monat 60 auf −950.293 €, der Reservebedarf für 24 Monate liegt mit 1.232.616 € um 492.616 € über der eingeplanten Reserve, und ein Cashflow-Break-even wird innerhalb von fünf Jahren nicht erreicht. Das Maßnahmenpaket verbessert das EBITDA um 41.619 € im ersten, 86.623 € im zweiten und 42.113 € im dritten Jahr und verschiebt den EBITDA-Break-even von Monat 43 auf Monat 36; es kann die Mengenlücke aber nicht schließen, weil die Betriebskosten mit Ausnahme von Wareneinsatz und Zahlungsgebühren (zusammen 38.032 € im dritten Jahr des Basisszenarios) fix sind. Die Konsequenz für die Steuerung: Das Studio darf nicht in dieses Szenario hineinlaufen. Der Vorverkauf ist der erste Test; liegt er einen Monat vor Eröffnung unter 280 Mitgliedern (80 % des Ziels) oder bleiben die Neuzugänge in drei aufeinanderfolgenden Monaten unter 80 % des Plans, werden Vertriebsmaßnahmen (Firmenfitness, Aggregatoren, Aktionen, zusätzliches Marketing) und das Kostenpaket sofort ausgelöst und die Hausbank informiert. Gelingt die Korrektur nicht bis zum zwölften Monat, sind mit den Finanzierungspartnern Tilgungsstreckung und ein Kapitalnachschuss zu verhandeln; das optimistische Szenario zeigt umgekehrt, dass bei gutem Start bereits im zweiten Jahr ein positives Jahresergebnis von 16.989 € möglich ist.</w:t>
      </w:r>
    </w:p>
    <w:p>
      <w:pPr>
        <w:pStyle w:val="Heading2"/>
        <w:keepNext w:val="true"/>
        <w:spacing w:before="280" w:after="120"/>
        <w:rPr/>
      </w:pPr>
      <w:bookmarkStart w:id="82" w:name="__RefHeading___Toc21265_3809407278"/>
      <w:bookmarkEnd w:id="82"/>
      <w:r>
        <w:rPr/>
        <w:t>9.4 Chancen</w:t>
      </w:r>
    </w:p>
    <w:p>
      <w:pPr>
        <w:pStyle w:val="Normal"/>
        <w:spacing w:lineRule="exact" w:line="276" w:before="0" w:after="120"/>
        <w:jc w:val="both"/>
        <w:rPr/>
      </w:pPr>
      <w:r>
        <w:rPr>
          <w:rFonts w:eastAsia="Arial" w:cs="Arial"/>
          <w:sz w:val="22"/>
          <w:szCs w:val="22"/>
        </w:rPr>
        <w:t>Der Basisplan enthält keine Umsätze aus Firmenfitness, Aggregatoren, Veranstaltungen oder zusätzlichen Wellness-Upgrades; die Nebenumsätze sind mit 6,20 € brutto je Mitglied und Monat konservativ angesetzt. Die folgenden Chancen sind deshalb Aufwärtspotenzial gegenüber dem Plan und zugleich die wichtigsten Instrumente, um dem Mengenrisiko aus Abschnitt 9.2 zu begegnen.</w:t>
      </w:r>
    </w:p>
    <w:p>
      <w:pPr>
        <w:pStyle w:val="Normal"/>
        <w:keepNext w:val="true"/>
        <w:spacing w:before="160" w:after="80"/>
        <w:jc w:val="left"/>
        <w:rPr/>
      </w:pPr>
      <w:r>
        <w:rPr>
          <w:rFonts w:eastAsia="Arial" w:cs="Arial"/>
          <w:b/>
          <w:bCs/>
          <w:sz w:val="20"/>
          <w:szCs w:val="20"/>
        </w:rPr>
        <w:t>Tabelle 9.6: Chancen und Wirkung auf den Plan</w:t>
      </w:r>
    </w:p>
    <w:tbl>
      <w:tblPr>
        <w:tblW w:w="9638" w:type="dxa"/>
        <w:jc w:val="left"/>
        <w:tblInd w:w="0" w:type="dxa"/>
        <w:tblLayout w:type="fixed"/>
        <w:tblCellMar>
          <w:top w:w="40" w:type="dxa"/>
          <w:left w:w="70" w:type="dxa"/>
          <w:bottom w:w="40" w:type="dxa"/>
          <w:right w:w="70" w:type="dxa"/>
        </w:tblCellMar>
      </w:tblPr>
      <w:tblGrid>
        <w:gridCol w:w="1734"/>
        <w:gridCol w:w="4241"/>
        <w:gridCol w:w="3663"/>
      </w:tblGrid>
      <w:tr>
        <w:trPr>
          <w:tblHeader w:val="true"/>
        </w:trPr>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Chance</w:t>
            </w:r>
          </w:p>
        </w:tc>
        <w:tc>
          <w:tcPr>
            <w:tcW w:w="424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Beleg</w:t>
            </w:r>
          </w:p>
        </w:tc>
        <w:tc>
          <w:tcPr>
            <w:tcW w:w="366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Wirkung auf den Plan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Firmenfitness und Aggregatoren</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ZF ca. 10.000, RRPS 6.300, Airbus ca. 2.150 Beschäftigte (FN); 23.056 Einpendler nach Friedrichshafen; 43,3 % der Anlagen mit BGM; 76,1 % mit Aggregatoranbindung, 1,47 Mio. Äquivalente (DSSV 2025/2026)</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Nicht im Basisplan; jeder Firmenvertrag beschleunigt den Mitgliederaufbau, Aggregator-Nutzer erhöhen die Auslastung in Nebenzeiten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HYROX-Trend</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 900.000 Athleten 2025, &gt; 1,5 Mio. Teilnehmer Saison 2025/26, Ziel &gt; 2 Mio. 2026/27; 15.000 Partnerstudios, ca. 1.300 in DACH (BODYMEDIA, endurance.biz 2026)</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HYROX-Zone (169,88 m²) ist Bestandteil des Premiumtarifs; Trainingsgruppen, Simulationen und Events als Kurs- und Veranstaltungsumsatz, offizielle Partnerschaft als Marketinghebel</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Wellness-Upgrades</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Elixia Hamburg: Upgrade 30 € je Monat, 900 Verträge in 24 Monaten = 324.000 € brutto je Jahr (BODYMEDIA 2020); Wellness bis 10 % vom Gesamtumsatz in Premiumclubs (Quellen: Anhang I)</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Premiumaufpreis 15 € bei 45 % Anteil im Plan; Zusatzumsatz Wellness nur 1,20 € je Mitglied und Monat angesetzt, Upgrade-Kampagnen für Basic-Mitglieder als Potenzial</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Beitragsanpassung 2 % je Jahr</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Im Plan ab Jahr 3 enthalten; Branchendurchschnitt 2025 +3,4 % (Deloitte 2026)</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Jeder zusätzliche Prozentpunkt bei 2.200 Mitgliedern und 50,15 € brutto entspricht rechnerisch rund 11.100 € Nettoumsatz je Jahr; Voraussetzung wirksame Klausel (Kapitel 8.6)</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Kapazitätsreserve</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126 Trainingsplätze, Spitzenlast 121 bei 2.200 Mitgliedern; 178 Spinde; 1,1 Mitglieder je m² Ziel gegenüber 1,59 bei Ketten (Quellen: Anhang I)</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Der Plan deckelt bei 2.200 Mitgliedern ab Monat 29; Nutzung der Reserve über Aggregator- und Firmenmitglieder mit geringerer Trainingsfrequenz ohne Zusatzinvestition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Zusatzleistungen</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 Training 60 bis 120 € je Stunde, BPT-Empfehlung 95 € (Quellen: Anhang I); Getränke, Shakes, Merchandise</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Im Plan 1,50 € PT/Kurse und 3,00 € Getränke je Mitglied und Monat; Ausbau über Trainerprovisionen</w:t>
            </w:r>
          </w:p>
        </w:tc>
      </w:tr>
      <w:tr>
        <w:trPr/>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Steuer- und Förderchancen</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Körperschaftsteuer sinkt ab 2028 auf 10 % bis 2032; degressive AfA 30 % bis 2027; L-Bank Digitalisierungsfinanzierung mit 5 % Tilgungszuschuss (Quellen: Anhang I)</w:t>
            </w:r>
          </w:p>
        </w:tc>
        <w:tc>
          <w:tcPr>
            <w:tcW w:w="36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 rechnet mit 15 % KSt und linearer AfA; Wirkung erst nach Verbrauch des Verlustvortrags</w:t>
            </w:r>
          </w:p>
        </w:tc>
      </w:tr>
    </w:tbl>
    <w:p>
      <w:pPr>
        <w:pStyle w:val="Normal"/>
        <w:spacing w:before="60" w:after="200"/>
        <w:jc w:val="left"/>
        <w:rPr/>
      </w:pPr>
      <w:r>
        <w:rPr>
          <w:rFonts w:eastAsia="Arial" w:cs="Arial"/>
          <w:i/>
          <w:iCs/>
          <w:color w:val="5A5A5A"/>
          <w:sz w:val="18"/>
          <w:szCs w:val="18"/>
        </w:rPr>
        <w:t>Quelle: Rechercheprotokoll (Anhang I), Excel-Planrechnung; Umsatzwirkung der Beitragsanpassung rechnerisch (2.200 × 50,15 € × 12 / 1,19 × 1 %).</w:t>
      </w:r>
    </w:p>
    <w:p>
      <w:pPr>
        <w:pStyle w:val="Normal"/>
        <w:spacing w:lineRule="exact" w:line="276" w:before="0" w:after="120"/>
        <w:jc w:val="both"/>
        <w:rPr/>
      </w:pPr>
      <w:r>
        <w:rPr>
          <w:rFonts w:eastAsia="Arial" w:cs="Arial"/>
          <w:sz w:val="22"/>
          <w:szCs w:val="22"/>
        </w:rPr>
        <w:t>Firmenfitness ist die Chance mit dem größten Hebel auf das Mengenrisiko. Friedrichshafen hat mit 23.056 Einpendlern und einer Tagbevölkerung von 74.376 Personen ein Potenzial, das über die Wohnbevölkerung hinausgeht (Quellen: Anhang I). Betriebliches Gesundheitsmanagement bieten bereits 43,3 % der Anlagen an (DSSV 2025), und Aggregatoren wie Wellpass oder Urban Sports Club erreichten 2025 1,47 Mio. Mitgliederäquivalente an 52.300 Partnerstandorten (DSSV 2026, Deloitte 2026). Für No.1 sind Rahmenverträge mit den drei Großarbeitgebern und die Anbindung an mindestens einen Aggregator ab Eröffnung geplant; die Konditionen sind mit den Anbietern zu verhandeln [vom Gründer zu ergänzen]. Weil Firmen- und Aggregator-Mitglieder erfahrungsgemäß seltener trainieren, nutzen sie die Kapazitätsreserve, ohne die Spitzenlast zu erhöhen.</w:t>
      </w:r>
    </w:p>
    <w:p>
      <w:pPr>
        <w:pStyle w:val="Normal"/>
        <w:spacing w:lineRule="exact" w:line="276" w:before="0" w:after="120"/>
        <w:jc w:val="both"/>
        <w:rPr/>
      </w:pPr>
      <w:r>
        <w:rPr>
          <w:rFonts w:eastAsia="Arial" w:cs="Arial"/>
          <w:sz w:val="22"/>
          <w:szCs w:val="22"/>
        </w:rPr>
        <w:t>Der HYROX-Trend wächst zweistellig: Die Saison 2025/26 zählte über 1,5 Mio. Teilnehmer, für 2026/27 werden über 2 Mio. erwartet (endurance.biz 07/2026). In der Bodenseeregion gibt es mit ai fitness Friedrichshafen und Fitness Bunker Konstanz erst zwei Anbieter (Quellen: Anhang I). Die HYROX-Zone ist im Premiumtarif enthalten und trägt so unmittelbar zum Premiumanteil bei; Trainingsgruppen, Simulationswettkämpfe und Vorbereitungskurse für die HYROX-Rennen können als Kursumsatz und über Kooperationen mit Firmen vermarktet werden. Wellness-Upgrades zeigen im Elixia-Beispiel, dass ein Aufpreis von 30 € je Monat bei 900 Verträgen 324.000 € Bruttozusatzumsatz je Jahr bringt (BODYMEDIA 2020); der Plan setzt den Premiumaufpreis mit 15 € vorsichtiger an. Die im Plan enthaltene Beitragsanpassung von 2 % je Jahr liegt unter der Branchenentwicklung von 3,4 % im Jahr 2025 (Deloitte 2026); jeder zusätzliche Prozentpunkt entspricht bei Vollauslastung rund 11.100 € Nettoumsatz je Jahr.</w:t>
      </w:r>
    </w:p>
    <w:p>
      <w:pPr>
        <w:pStyle w:val="Heading2"/>
        <w:keepNext w:val="true"/>
        <w:spacing w:before="280" w:after="120"/>
        <w:rPr/>
      </w:pPr>
      <w:bookmarkStart w:id="83" w:name="__RefHeading___Toc21267_3809407278"/>
      <w:bookmarkEnd w:id="83"/>
      <w:r>
        <w:rPr/>
        <w:t>9.5 Fazit zur Tragfähigkeit</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EBITDA-Break-even</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Monat 12</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Cashflow-Break-even</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Monat 19</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DSCR Jahr 3 / Jahr 4 / Jahr 5</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2,12 / 1,61 / 1,58</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Jahresergebnis Jahr 3 / Jahr 5</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36.237 € / 76.140 €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Kassenminimum</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107.975 € im Monat 18</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Anlaufreserve (24 Monate)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740.000 € bei Bedarf 736.987 €</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Break-even-Mitglieder</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2.018 von 2.200 Kapazität</w:t>
            </w:r>
          </w:p>
        </w:tc>
      </w:tr>
    </w:tbl>
    <w:p>
      <w:pPr>
        <w:pStyle w:val="Normal"/>
        <w:spacing w:lineRule="exact" w:line="276" w:before="0" w:after="80"/>
        <w:jc w:val="both"/>
        <w:rPr/>
      </w:pPr>
      <w:r>
        <w:rPr/>
      </w:r>
    </w:p>
    <w:p>
      <w:pPr>
        <w:pStyle w:val="Normal"/>
        <w:spacing w:lineRule="exact" w:line="276" w:before="0" w:after="120"/>
        <w:jc w:val="both"/>
        <w:rPr/>
      </w:pPr>
      <w:r>
        <w:rPr>
          <w:rFonts w:eastAsia="Arial" w:cs="Arial"/>
          <w:sz w:val="22"/>
          <w:szCs w:val="22"/>
        </w:rPr>
        <w:t>Im Basisszenario ist das Vorhaben tragfähig: Das Studio erreicht den EBITDA-Break-even im zwölften und den Cashflow-Break-even im neunzehnten Monat nach Eröffnung, das dritte Geschäftsjahr schließt mit einem EBITDA von 398.960 € und einem Jahresergebnis von 36.237 € ab, und der Kapitaldienst von 187.801 € wird mit einem DSCR von 2,12 gedeckt; im vierten Jahr, wenn die Tilgung auf 103.093 € steigt, beträgt der DSCR 1,61 und im fünften 1,58. Die 24-Monats-Anlaufreserve von 740.000 € deckt den errechneten Bedarf von 736.987 € und lässt im Tiefpunkt des Monats 18 noch 107.975 € Kasse; der Kontokorrentrahmen von 200.000 € wird im Basisszenario nicht benötigt. Der Tilgungsbeginn nach drei bis fünf tilgungsfreien Jahren passt zum Anlaufverlauf.</w:t>
      </w:r>
    </w:p>
    <w:p>
      <w:pPr>
        <w:pStyle w:val="Normal"/>
        <w:spacing w:lineRule="exact" w:line="276" w:before="0" w:after="120"/>
        <w:jc w:val="both"/>
        <w:rPr/>
      </w:pPr>
      <w:r>
        <w:rPr>
          <w:rFonts w:eastAsia="Arial" w:cs="Arial"/>
          <w:sz w:val="22"/>
          <w:szCs w:val="22"/>
        </w:rPr>
        <w:t>Die Tragfähigkeit hängt an einer Größe: dem Mitgliederaufbau. Kosten-, Preis- und Zinssensitivitäten halten den DSCR im dritten Jahr über 1,50 und die Kasse positiv; ein Rückgang der Neuzugänge um 20 % senkt ihn dagegen auf 0,92, ein Rückgang um 30 % oder das kombinierte pessimistische Szenario machen das Vorhaben ohne Nachfinanzierung nicht mehr tragfähig. Der Break-even von 2.018 Mitgliedern liegt bei 92 % der Kapazität; das ist die zentrale Schwäche des Plans, die durch die konservativen Kostenannahmen (Miete 8,50 €/m² über dem regionalen Hallenniveau, Kündigungsquote 2,2 % je Monat bzw. 23,4 % je Jahr, 19 % Umsatzsteuer auf alle Umsätze, keine Firmenfitness- und Aggregatorumsätze) teilweise ausgeglichen wird. Die Bank erhält mit dem Vorverkaufsergebnis einen Monat vor Eröffnung und der monatlichen Mitgliederentwicklung zwei überprüfbare Indikatoren, an die das Maßnahmenpaket und die Berichterstattung gebunden sind. Unter diesen Voraussetzungen und mit den in Kapitel 8 beschriebenen rechtlichen Absicherungen ist das Vorhaben nach Einschätzung des Gründers finanzierbar; die Entscheidung über Standort und Mietvertrag sowie die Festpreisangebote für Ausbau und Geräte sind die nächsten Schritte, um die verbleibenden Unsicherheiten vor der Kreditzusage zu schließen.</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Vor dem Bankgespräch zu ergänzen: Ergebnis der Wettbewerbsanalyse für das konkrete Wunschobjekt (Radius 15 Minuten), Absichtserklärungen von Arbeitgebern für Firmenfitness, Angebot eines Aggregators, Angebote für Risikolebens- und Berufsunfähigkeitsversicherung des Gründers sowie eine schriftliche Vereinbarung mit der stellvertretenden Studioleitung. Diese Nachweise mindern die in Tabelle 9.3 bewerteten Risiken Mitgliederwachstum, Wettbewerb und Gründerausfall.</w:t>
      </w:r>
      <w:r>
        <w:br w:type="page"/>
      </w:r>
    </w:p>
    <w:p>
      <w:pPr>
        <w:pStyle w:val="Heading1"/>
        <w:spacing w:before="360" w:after="200"/>
        <w:rPr/>
      </w:pPr>
      <w:bookmarkStart w:id="84" w:name="__RefHeading___Toc21269_3809407278"/>
      <w:bookmarkEnd w:id="84"/>
      <w:r>
        <w:rPr/>
        <w:t>10 Finanzplanung</w:t>
      </w:r>
    </w:p>
    <w:p>
      <w:pPr>
        <w:pStyle w:val="Normal"/>
        <w:spacing w:lineRule="exact" w:line="276" w:before="0" w:after="120"/>
        <w:jc w:val="both"/>
        <w:rPr/>
      </w:pPr>
      <w:r>
        <w:rPr>
          <w:rFonts w:eastAsia="Arial" w:cs="Arial"/>
          <w:sz w:val="22"/>
          <w:szCs w:val="22"/>
        </w:rPr>
        <w:t>Dieses Kapitel enthält die vollständige Finanzplanung des Vorhabens: Investition und Kapitalbedarf, Finanzierungsplan, Umsatz- und Kostenplanung, Rentabilitätsvorschau, Liquiditätsplanung, Kapitaldienstfähigkeit sowie Szenarien und Sensitivitäten. Alle Werte stammen aus dem Finanzmodell No.1 (Excel-Planrechnung Finanzplan_No1.xlsx, Stand 27.09.2026); die Planungsdaten des Studios stammen aus der Planungssoftware GymPlanner (Projekt „No.1 (überarbeitet)“, Export 26.09.2026). Die Planzahlen sind Nettowerte ohne Umsatzsteuer; Mitgliedsbeiträge und Verkaufspreise werden brutto (inklusive 19 % Umsatzsteuer) genannt und im Modell auf Nettowerte umgerechnet. Die vollständigen Monats- und Jahrestabellen stehen in den Anhängen A bis E.</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Investition (netto)</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1.912.583 €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Anlaufreserve (24 Monate)</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740.000 €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Kapitalbedarf gesamt</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2.652.583 €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Eigenkapital und MBG-Beteiligung</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400.000 € (15,1 %)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Bankdarlehen (KfW, L-Bank)</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2.252.583 €</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Jahresergebnis Jahr 3 / DSCR Jahr 3</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36.237 € / 2,12</w:t>
            </w:r>
          </w:p>
        </w:tc>
      </w:tr>
    </w:tbl>
    <w:p>
      <w:pPr>
        <w:pStyle w:val="Normal"/>
        <w:spacing w:lineRule="exact" w:line="276" w:before="0" w:after="80"/>
        <w:jc w:val="both"/>
        <w:rPr/>
      </w:pPr>
      <w:r>
        <w:rPr/>
      </w:r>
    </w:p>
    <w:p>
      <w:pPr>
        <w:pStyle w:val="Heading2"/>
        <w:keepNext w:val="true"/>
        <w:spacing w:before="280" w:after="120"/>
        <w:rPr/>
      </w:pPr>
      <w:bookmarkStart w:id="85" w:name="__RefHeading___Toc21271_3809407278"/>
      <w:bookmarkEnd w:id="85"/>
      <w:r>
        <w:rPr/>
        <w:t>10.1 Planungsgrundlagen</w:t>
      </w:r>
    </w:p>
    <w:p>
      <w:pPr>
        <w:pStyle w:val="Normal"/>
        <w:spacing w:lineRule="exact" w:line="276" w:before="0" w:after="120"/>
        <w:jc w:val="both"/>
        <w:rPr/>
      </w:pPr>
      <w:r>
        <w:rPr>
          <w:rFonts w:eastAsia="Arial" w:cs="Arial"/>
          <w:sz w:val="22"/>
          <w:szCs w:val="22"/>
        </w:rPr>
        <w:t>Grundlage der Investitionsplanung ist die Stückliste der Planungssoftware GymPlanner für das Projekt „No.1 (überarbeitet)“: 147 Positionen mit 369 Objekten und einem Netto-Gerätewert von 590.968 € (Quellen: Anhang I). Die Preise stammen aus der Preisbibliothek der Software: 22.580 € (7 Positionen) sind Listenpreise, 372.319 € (58 Positionen) recherchierte Händlerpreise und 196.069 € (82 Positionen, überwiegend Kleinteile, Möbel und Sanitärobjekte) Schätzungen (Quellen: Anhang I). Für die Importgeräte der Hersteller Atlantis und Prime (268.570 €, 52 Objekte) sind 12 % Import-Nebenkosten für Fracht, Zoll und Einfuhrumsatzsteuer angesetzt (32.228 €).</w:t>
      </w:r>
    </w:p>
    <w:p>
      <w:pPr>
        <w:pStyle w:val="Normal"/>
        <w:spacing w:lineRule="exact" w:line="276" w:before="0" w:after="120"/>
        <w:jc w:val="both"/>
        <w:rPr/>
      </w:pPr>
      <w:r>
        <w:rPr>
          <w:rFonts w:eastAsia="Arial" w:cs="Arial"/>
          <w:sz w:val="22"/>
          <w:szCs w:val="22"/>
        </w:rPr>
        <w:t>Der Ausbau der Halle ist mit Richtwerten je Quadratmeter kalkuliert, weil noch kein Objekt vertraglich gebunden ist: Grundausbau (Trockenbau, Elektro, LED, Heizung, Maler) 250 €/m² Nettofläche, Lüftungsanlage 110 €/m², Brandschutz und Sicherheitsbeleuchtung 30 €/m², Sportboden 55 €/m² Trainingsfläche, Nassbereichsboden 90 €/m², Spiegelwände 660 € je laufendem Meter, Sanitärinstallation je Stück (Dusche 1.500 €, WC/Urinal 800 €, Waschtisch 500 €) sowie Planung, Fachplaner und Genehmigung mit 12 % der Ausbau- und Sanitärsumme (Quellen: Anhang I). Bezugsgrößen sind die Nettofläche von 1.931,13 m², die Trainingsfläche von 1.138,58 m² und die Bruttofläche von 1.975,40 m² für Miete und Nebenkosten (Quellen: Anhang I).</w:t>
      </w:r>
    </w:p>
    <w:p>
      <w:pPr>
        <w:pStyle w:val="Normal"/>
        <w:spacing w:lineRule="exact" w:line="276" w:before="0" w:after="120"/>
        <w:jc w:val="both"/>
        <w:rPr/>
      </w:pPr>
      <w:r>
        <w:rPr>
          <w:rFonts w:eastAsia="Arial" w:cs="Arial"/>
          <w:sz w:val="22"/>
          <w:szCs w:val="22"/>
        </w:rPr>
        <w:t>Das Finanzmodell rechnet über fünf Planjahre im Monatsraster. Vor dem ersten Betriebsmonat liegt ein Vorlauf von fünf Monaten (April bis August 2027, Monate −5 bis −1) für Kaution, Planung, Ausbau, Gerätelieferung, Personalaufbau und Vorverkauf; die Eröffnung ist der 1. September 2027 (Monat 1). Das erste Planjahr umfasst in der Rentabilitätsvorschau den Vorlauf und die zwölf ersten Betriebsmonate, die Jahre 2 bis 5 jeweils zwölf Betriebsmonate. Alle Beträge sind netto; die Umsatzsteuer wird in der Liquiditätsplanung als eigener Zahlungsstrom mit einer Erstattungsverzögerung von einem Monat abgebildet. Das Modell liegt als Excel-Datei mit Formeln bei (Finanzplan_No1.xlsx), sodass die Hausbank einzelne Annahmen selbst verändern kann.</w:t>
      </w:r>
    </w:p>
    <w:p>
      <w:pPr>
        <w:pStyle w:val="Normal"/>
        <w:keepNext w:val="true"/>
        <w:spacing w:before="120" w:after="40"/>
        <w:jc w:val="center"/>
        <w:rPr/>
      </w:pPr>
      <w:r>
        <w:rPr/>
        <w:drawing>
          <wp:inline distT="0" distB="0" distL="0" distR="0">
            <wp:extent cx="5715000" cy="25431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15000" cy="2543175"/>
                    </a:xfrm>
                    <a:prstGeom prst="rect">
                      <a:avLst/>
                    </a:prstGeom>
                  </pic:spPr>
                </pic:pic>
              </a:graphicData>
            </a:graphic>
          </wp:inline>
        </w:drawing>
      </w:r>
    </w:p>
    <w:p>
      <w:pPr>
        <w:pStyle w:val="Normal"/>
        <w:spacing w:before="60" w:after="200"/>
        <w:jc w:val="left"/>
        <w:rPr/>
      </w:pPr>
      <w:r>
        <w:rPr>
          <w:rFonts w:eastAsia="Arial" w:cs="Arial"/>
          <w:i/>
          <w:iCs/>
          <w:color w:val="5A5A5A"/>
          <w:sz w:val="18"/>
          <w:szCs w:val="18"/>
        </w:rPr>
        <w:t>Abbildung 10.1: Investition 1.913 T€ netto nach Gruppen (ohne Anlaufreserve)</w:t>
      </w:r>
    </w:p>
    <w:p>
      <w:pPr>
        <w:pStyle w:val="Heading2"/>
        <w:keepNext w:val="true"/>
        <w:spacing w:before="280" w:after="120"/>
        <w:rPr/>
      </w:pPr>
      <w:bookmarkStart w:id="86" w:name="__RefHeading___Toc21273_3809407278"/>
      <w:bookmarkEnd w:id="86"/>
      <w:r>
        <w:rPr/>
        <w:t>10.2 Investition und Kapitalbedarf</w:t>
      </w:r>
    </w:p>
    <w:p>
      <w:pPr>
        <w:pStyle w:val="Normal"/>
        <w:keepNext w:val="true"/>
        <w:spacing w:before="160" w:after="80"/>
        <w:jc w:val="left"/>
        <w:rPr/>
      </w:pPr>
      <w:r>
        <w:rPr>
          <w:rFonts w:eastAsia="Arial" w:cs="Arial"/>
          <w:b/>
          <w:bCs/>
          <w:sz w:val="20"/>
          <w:szCs w:val="20"/>
        </w:rPr>
        <w:t>Tabelle 10.1: Investitionsplan nach Gruppen (netto, EUR)</w:t>
      </w:r>
    </w:p>
    <w:tbl>
      <w:tblPr>
        <w:tblW w:w="9638" w:type="dxa"/>
        <w:jc w:val="left"/>
        <w:tblInd w:w="0" w:type="dxa"/>
        <w:tblLayout w:type="fixed"/>
        <w:tblCellMar>
          <w:top w:w="40" w:type="dxa"/>
          <w:left w:w="70" w:type="dxa"/>
          <w:bottom w:w="40" w:type="dxa"/>
          <w:right w:w="70" w:type="dxa"/>
        </w:tblCellMar>
      </w:tblPr>
      <w:tblGrid>
        <w:gridCol w:w="5782"/>
        <w:gridCol w:w="2121"/>
        <w:gridCol w:w="1735"/>
      </w:tblGrid>
      <w:tr>
        <w:trPr>
          <w:tblHeader w:val="true"/>
        </w:trPr>
        <w:tc>
          <w:tcPr>
            <w:tcW w:w="578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Gruppe</w:t>
            </w:r>
          </w:p>
        </w:tc>
        <w:tc>
          <w:tcPr>
            <w:tcW w:w="212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Betrag</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Anteil</w:t>
            </w:r>
          </w:p>
        </w:tc>
      </w:tr>
      <w:tr>
        <w:trPr/>
        <w:tc>
          <w:tcPr>
            <w:tcW w:w="578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und Ausstattung (Stückliste, 369 Objekte)</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590.968 €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30,9 %</w:t>
            </w:r>
          </w:p>
        </w:tc>
      </w:tr>
      <w:tr>
        <w:trPr/>
        <w:tc>
          <w:tcPr>
            <w:tcW w:w="578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Import-Nebenkosten Atlantis/Prime (12 %)</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32.228 €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1,7 %</w:t>
            </w:r>
          </w:p>
        </w:tc>
      </w:tr>
      <w:tr>
        <w:trPr/>
        <w:tc>
          <w:tcPr>
            <w:tcW w:w="578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 (Grundausbau, Lüftung, Böden, Spiegel, Brandschutz)</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851.788 €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44,5 %</w:t>
            </w:r>
          </w:p>
        </w:tc>
      </w:tr>
      <w:tr>
        <w:trPr/>
        <w:tc>
          <w:tcPr>
            <w:tcW w:w="578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Sanitärinstallation</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39.800 €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2,1 %</w:t>
            </w:r>
          </w:p>
        </w:tc>
      </w:tr>
      <w:tr>
        <w:trPr/>
        <w:tc>
          <w:tcPr>
            <w:tcW w:w="578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Planung, Fachplaner, Genehmigung (12 %)</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106.991 €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5,6 %</w:t>
            </w:r>
          </w:p>
        </w:tc>
      </w:tr>
      <w:tr>
        <w:trPr/>
        <w:tc>
          <w:tcPr>
            <w:tcW w:w="578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Sonstiges (Zutritt, Software-Einrichtung, Kleinmaterial, Brandschutzkonzept)</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32.000 €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1,7 %</w:t>
            </w:r>
          </w:p>
        </w:tc>
      </w:tr>
      <w:tr>
        <w:trPr/>
        <w:tc>
          <w:tcPr>
            <w:tcW w:w="578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Unvorhergesehenes (10 % der Investitionssumme)</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165.378 €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8,6 %</w:t>
            </w:r>
          </w:p>
        </w:tc>
      </w:tr>
      <w:tr>
        <w:trPr/>
        <w:tc>
          <w:tcPr>
            <w:tcW w:w="578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Mietkaution (3 Monatsmieten inkl. Nebenkosten)</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85.930 €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4,5 %</w:t>
            </w:r>
          </w:p>
        </w:tc>
      </w:tr>
      <w:tr>
        <w:trPr/>
        <w:tc>
          <w:tcPr>
            <w:tcW w:w="578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Gründungskosten GmbH und Beratung</w:t>
            </w:r>
          </w:p>
        </w:tc>
        <w:tc>
          <w:tcPr>
            <w:tcW w:w="212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7.500 €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0,4 %</w:t>
            </w:r>
          </w:p>
        </w:tc>
      </w:tr>
      <w:tr>
        <w:trPr/>
        <w:tc>
          <w:tcPr>
            <w:tcW w:w="578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 Investition (netto)</w:t>
            </w:r>
          </w:p>
        </w:tc>
        <w:tc>
          <w:tcPr>
            <w:tcW w:w="212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1.912.583 €</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100,0 %</w:t>
            </w:r>
          </w:p>
        </w:tc>
      </w:tr>
    </w:tbl>
    <w:p>
      <w:pPr>
        <w:pStyle w:val="Normal"/>
        <w:spacing w:before="60" w:after="200"/>
        <w:jc w:val="left"/>
        <w:rPr/>
      </w:pPr>
      <w:r>
        <w:rPr>
          <w:rFonts w:eastAsia="Arial" w:cs="Arial"/>
          <w:i/>
          <w:iCs/>
          <w:color w:val="5A5A5A"/>
          <w:sz w:val="18"/>
          <w:szCs w:val="18"/>
        </w:rPr>
        <w:t>Quelle: Excel-Planrechnung; Stückliste GymPlanner (Rechercheprotokoll (Anhang I)).</w:t>
      </w:r>
    </w:p>
    <w:p>
      <w:pPr>
        <w:pStyle w:val="Normal"/>
        <w:spacing w:lineRule="exact" w:line="276" w:before="0" w:after="120"/>
        <w:jc w:val="both"/>
        <w:rPr/>
      </w:pPr>
      <w:r>
        <w:rPr>
          <w:rFonts w:eastAsia="Arial" w:cs="Arial"/>
          <w:sz w:val="22"/>
          <w:szCs w:val="22"/>
        </w:rPr>
        <w:t>Die Investition beträgt 1.912.583 € netto, das sind 968 € je Quadratmeter Bruttofläche. Der Ausbau ist mit 44,5 % die größte Gruppe, weil eine Gewerbehalle ohne Vornutzung als Fitnessstudio unterstellt ist (Nutzungsänderung, vollständige Lüftungsanlage, Elektro- und Sanitärinstallation). Der Posten Unvorhergesehenes von 165.378 € entspricht 10 % der Summe aus Geräten, Import, Ausbau, Sanitär, Planung und Sonstigem (1.653.775 €) und deckt Mehrkosten im Ausbau ab; er wird nur bei Bedarf abgerufen. Die Mietkaution ist eine Sicherheitsleistung und kein Aufwand; die Gründungskosten sind Aufwand des ersten Jahres.</w:t>
      </w:r>
    </w:p>
    <w:p>
      <w:pPr>
        <w:pStyle w:val="Normal"/>
        <w:keepNext w:val="true"/>
        <w:spacing w:before="160" w:after="80"/>
        <w:jc w:val="left"/>
        <w:rPr/>
      </w:pPr>
      <w:r>
        <w:rPr>
          <w:rFonts w:eastAsia="Arial" w:cs="Arial"/>
          <w:b/>
          <w:bCs/>
          <w:sz w:val="20"/>
          <w:szCs w:val="20"/>
        </w:rPr>
        <w:t>Tabelle 10.2: Die 20 größten Investitionspositionen (netto, EUR)</w:t>
      </w:r>
    </w:p>
    <w:tbl>
      <w:tblPr>
        <w:tblW w:w="9638" w:type="dxa"/>
        <w:jc w:val="left"/>
        <w:tblInd w:w="0" w:type="dxa"/>
        <w:tblLayout w:type="fixed"/>
        <w:tblCellMar>
          <w:top w:w="40" w:type="dxa"/>
          <w:left w:w="70" w:type="dxa"/>
          <w:bottom w:w="40" w:type="dxa"/>
          <w:right w:w="70" w:type="dxa"/>
        </w:tblCellMar>
      </w:tblPr>
      <w:tblGrid>
        <w:gridCol w:w="5397"/>
        <w:gridCol w:w="2506"/>
        <w:gridCol w:w="1735"/>
      </w:tblGrid>
      <w:tr>
        <w:trPr>
          <w:tblHeader w:val="true"/>
        </w:trPr>
        <w:tc>
          <w:tcPr>
            <w:tcW w:w="539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Ansatz</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Betrag</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Grundausbau Trockenbau, Elektro, LED, Heizung, Maler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1.931 m² × 250 €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482.784 €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Kraftgeräte (52 Objekte, Atlantis/Prime)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Stückliste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268.570 €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Lüftung (RLT-Anlage)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1.931 m² × 110 €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212.425 €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Unvorhergesehenes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165.378 €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Planung, Fachplaner, Genehmigung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12 % von 891.588 €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106.991 €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Cardio (20 Objekte)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Stückliste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104.760 €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Mietkaution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 × 28.643 €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85.930 €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Sportboden Trainingsfläche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1.139 m² × 55 €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62.622 €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Brandschutz / Sicherheitsbeleuchtung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1.931 m² × 30 €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57.934 €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Wellness (Sauna, Dampfbad, Cold Plunge, Erlebnisdusche, Ruheliegen)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Stückliste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55.850 €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Umkleide (39 Objekte)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Stückliste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32.310 €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Import-Nebenkosten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12 % von 268.570 €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32.228 €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Ausstattung (111 Objekte)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Stückliste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32.035 €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Sonstiges (Zutritt, Software, Kleinmaterial, Brandschutzkonzept)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pauschal</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32.000 €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Sanitärinstallation Duschen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 1.500 €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27.000 €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Sanitär (18 Objekte)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Stückliste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26.250 €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Empfang und Lounge (28 Objekte)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Stückliste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25.274 €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Spiegelwände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33 m × 660 €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21.714 €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Kursraum (28 Objekte)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Stückliste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20.610 €</w:t>
            </w:r>
          </w:p>
        </w:tc>
      </w:tr>
      <w:tr>
        <w:trPr/>
        <w:tc>
          <w:tcPr>
            <w:tcW w:w="53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Nassbereichsboden Umkleide/Sanitär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159 m² × 90 €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14.309 €</w:t>
            </w:r>
          </w:p>
        </w:tc>
      </w:tr>
    </w:tbl>
    <w:p>
      <w:pPr>
        <w:pStyle w:val="Normal"/>
        <w:spacing w:before="60" w:after="200"/>
        <w:jc w:val="left"/>
        <w:rPr/>
      </w:pPr>
      <w:r>
        <w:rPr>
          <w:rFonts w:eastAsia="Arial" w:cs="Arial"/>
          <w:i/>
          <w:iCs/>
          <w:color w:val="5A5A5A"/>
          <w:sz w:val="18"/>
          <w:szCs w:val="18"/>
        </w:rPr>
        <w:t>Quelle: Excel-Planrechnung; Rechercheprotokoll (Anhang I). Vollständige Liste und Geräteliste je Bereich in Anhang A.</w:t>
      </w:r>
    </w:p>
    <w:p>
      <w:pPr>
        <w:pStyle w:val="Normal"/>
        <w:spacing w:lineRule="exact" w:line="276" w:before="0" w:after="120"/>
        <w:jc w:val="both"/>
        <w:rPr/>
      </w:pPr>
      <w:r>
        <w:rPr>
          <w:rFonts w:eastAsia="Arial" w:cs="Arial"/>
          <w:sz w:val="22"/>
          <w:szCs w:val="22"/>
        </w:rPr>
        <w:t>Die Geräteausstattung von 590.968 € verteilt sich auf Kraftgeräte 268.570 €, Cardio 104.760 €, Wellness 55.850 €, Umkleide 32.310 €, Ausstattung 32.035 €, Sanitär 26.250 €, Empfang und Lounge 25.274 €, Kursraum 20.610 €, Lager und Technik 8.850 €, Functional 6.709 €, Büro und Personal 5.450 € sowie Freihantel-Zubehör 4.300 € (Quellen: Anhang I). Die größten Einzelpositionen sind fünf Laufbänder (40.000 €), vier Stairmaster (26.000 €), die finnische Sauna (22.000 €), drei Crosstrainer (21.000 €) und das Dampfbad (20.000 €) (Quellen: Anhang I). Mit den Import-Nebenkosten ergibt sich ein abschreibungsfähiger Gerätewert von 623.196 €, der auch Bezugsgröße für die Wartungskosten ist (Excel-Planrechnungwert).</w:t>
      </w:r>
    </w:p>
    <w:p>
      <w:pPr>
        <w:pStyle w:val="Normal"/>
        <w:spacing w:lineRule="exact" w:line="276" w:before="0" w:after="120"/>
        <w:jc w:val="both"/>
        <w:rPr/>
      </w:pPr>
      <w:r>
        <w:rPr>
          <w:rFonts w:eastAsia="Arial" w:cs="Arial"/>
          <w:sz w:val="22"/>
          <w:szCs w:val="22"/>
        </w:rPr>
        <w:t>Die Anlaufreserve ist der zweite Bestandteil des Kapitalbedarfs. Sie ist definiert als der maximale kumulierte Fehlbetrag aus dem laufenden Betrieb einschließlich Kapitaldienst vom Beginn des Vorlaufs bis zum 24. Betriebsmonat, zuzüglich eines Sicherheitspuffers von 15 %. Im Basisszenario erreicht der kumulierte Fehlbetrag im 18. Betriebsmonat sein Maximum von 640.858 €; mit 15 % Puffer ergibt sich ein Reservebedarf von 736.987 €, im Finanzierungsplan gerundet auf 740.000 €. Die Reserve deckt damit die gesamte Anlaufphase von 24 Monaten ab, in der der Mitgliederbestand auf das tragfähige Niveau aufgebaut wird, und nicht nur die branchenüblich empfohlenen 6 bis 12 Monate Fixkosten (GymAccess 2026).</w:t>
      </w:r>
    </w:p>
    <w:p>
      <w:pPr>
        <w:pStyle w:val="Normal"/>
        <w:keepNext w:val="true"/>
        <w:spacing w:before="160" w:after="80"/>
        <w:jc w:val="left"/>
        <w:rPr/>
      </w:pPr>
      <w:r>
        <w:rPr>
          <w:rFonts w:eastAsia="Arial" w:cs="Arial"/>
          <w:b/>
          <w:bCs/>
          <w:sz w:val="20"/>
          <w:szCs w:val="20"/>
        </w:rPr>
        <w:t>Tabelle 10.3: Kapitalbedarf (netto, EUR)</w:t>
      </w:r>
    </w:p>
    <w:tbl>
      <w:tblPr>
        <w:tblW w:w="9638" w:type="dxa"/>
        <w:jc w:val="left"/>
        <w:tblInd w:w="0" w:type="dxa"/>
        <w:tblLayout w:type="fixed"/>
        <w:tblCellMar>
          <w:top w:w="40" w:type="dxa"/>
          <w:left w:w="70" w:type="dxa"/>
          <w:bottom w:w="40" w:type="dxa"/>
          <w:right w:w="70" w:type="dxa"/>
        </w:tblCellMar>
      </w:tblPr>
      <w:tblGrid>
        <w:gridCol w:w="6746"/>
        <w:gridCol w:w="2891"/>
      </w:tblGrid>
      <w:tr>
        <w:trPr>
          <w:tblHeader w:val="true"/>
        </w:trPr>
        <w:tc>
          <w:tcPr>
            <w:tcW w:w="674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Betrag</w:t>
            </w:r>
          </w:p>
        </w:tc>
      </w:tr>
      <w:tr>
        <w:trPr/>
        <w:tc>
          <w:tcPr>
            <w:tcW w:w="67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Investition (Tabelle 10.1)</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1.912.583 €</w:t>
            </w:r>
          </w:p>
        </w:tc>
      </w:tr>
      <w:tr>
        <w:trPr/>
        <w:tc>
          <w:tcPr>
            <w:tcW w:w="67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Anlaufreserve (max. kumulierter Fehlbetrag 640.858 € + 15 % Puffer, gerundet)</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740.000 €</w:t>
            </w:r>
          </w:p>
        </w:tc>
      </w:tr>
      <w:tr>
        <w:trPr/>
        <w:tc>
          <w:tcPr>
            <w:tcW w:w="674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Kapitalbedarf gesamt</w:t>
            </w:r>
          </w:p>
        </w:tc>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2.652.583 €</w:t>
            </w:r>
          </w:p>
        </w:tc>
      </w:tr>
      <w:tr>
        <w:trPr/>
        <w:tc>
          <w:tcPr>
            <w:tcW w:w="674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Kapitalbedarf je m² Bruttofläche</w:t>
            </w:r>
          </w:p>
        </w:tc>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1.343 €</w:t>
            </w:r>
          </w:p>
        </w:tc>
      </w:tr>
    </w:tbl>
    <w:p>
      <w:pPr>
        <w:pStyle w:val="Normal"/>
        <w:spacing w:before="60" w:after="200"/>
        <w:jc w:val="left"/>
        <w:rPr/>
      </w:pPr>
      <w:r>
        <w:rPr>
          <w:rFonts w:eastAsia="Arial" w:cs="Arial"/>
          <w:i/>
          <w:iCs/>
          <w:color w:val="5A5A5A"/>
          <w:sz w:val="18"/>
          <w:szCs w:val="18"/>
        </w:rPr>
        <w:t>Quelle: Excel-Planrechnung.</w:t>
      </w:r>
    </w:p>
    <w:p>
      <w:pPr>
        <w:pStyle w:val="Normal"/>
        <w:spacing w:lineRule="exact" w:line="276" w:before="0" w:after="120"/>
        <w:jc w:val="both"/>
        <w:rPr/>
      </w:pPr>
      <w:r>
        <w:rPr>
          <w:rFonts w:eastAsia="Arial" w:cs="Arial"/>
          <w:sz w:val="22"/>
          <w:szCs w:val="22"/>
        </w:rPr>
        <w:t>Auf die Investitionen entfällt Vorsteuer von 340.941 € (19 % auf alle vorsteuerfähigen Positionen; Kaution und Import-Nebenkosten ohne Vorsteuer, Einfuhrumsatzsteuer in den Import-Nebenkosten enthalten). Die Vorsteuer ist im Kapitalbedarf nicht als eigene Position enthalten, muss aber bis zur Erstattung durch das Finanzamt aus den vorhandenen Mitteln (Anlaufreserve, noch nicht verwendete Darlehensmittel) zwischenfinanziert werden. In der Liquiditätsplanung beträgt der höchste gleichzeitig offene Umsatzsteuerbetrag 366.018 € (Monat −1, Gerätelieferung). Er wird im Plan aus dem Kassenbestand nach Auszahlung der Darlehen gedeckt; zusätzlich ist ein Kontokorrentrahmen von 200.000 € zu 9,0 % p. a. vorgesehen, der im Basisszenario nicht in Anspruch genommen wird. Die GmbH gibt monatliche Umsatzsteuer-Voranmeldungen ab und erhält die Vorsteuer mit einem Monat Verzögerung erstattet.</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Vor dem Bankgespräch zu ergänzen: verbindliche Angebote für die Gerätepositionen mit Preiskonfidenz „Schätzung“ (196.069 €) und für die Importgeräte (Atlantis/Prime inkl. Lieferzeit), mindestens zwei Kostenschätzungen von Fachplanern für Ausbau und Lüftung auf Basis des konkreten Objekts sowie das Mietvertragsangebot mit Kaution und mietfreien Monaten. Der Posten Unvorhergesehenes wird nach Vorliegen der Angebote überprüft.</w:t>
      </w:r>
    </w:p>
    <w:p>
      <w:pPr>
        <w:pStyle w:val="Heading2"/>
        <w:keepNext w:val="true"/>
        <w:spacing w:before="280" w:after="120"/>
        <w:rPr/>
      </w:pPr>
      <w:bookmarkStart w:id="87" w:name="__RefHeading___Toc21275_3809407278"/>
      <w:bookmarkEnd w:id="87"/>
      <w:r>
        <w:rPr/>
        <w:t>10.3 Finanzierungsplan</w:t>
      </w:r>
    </w:p>
    <w:p>
      <w:pPr>
        <w:pStyle w:val="Normal"/>
        <w:spacing w:lineRule="exact" w:line="276" w:before="0" w:after="120"/>
        <w:jc w:val="both"/>
        <w:rPr/>
      </w:pPr>
      <w:r>
        <w:rPr>
          <w:rFonts w:eastAsia="Arial" w:cs="Arial"/>
          <w:sz w:val="22"/>
          <w:szCs w:val="22"/>
        </w:rPr>
        <w:t>Der Kapitalbedarf von 2.652.583 € wird aus vier Bausteinen gedeckt: Bareinlage des Gründers, stille Beteiligung der MBG Baden-Württemberg als wirtschaftliches Eigenkapital, ein KfW-Förderkredit über die Hausbank und ein L-Bank-Darlehen mit Bürgschaft der Bürgschaftsbank Baden-Württemberg als Restfinanzierung. Die Struktur folgt den Programmgrenzen, die für ein Vorhaben dieser Größe in Baden-Württemberg gelten (Stand 24. bis 28.09.2026).</w:t>
      </w:r>
    </w:p>
    <w:p>
      <w:pPr>
        <w:pStyle w:val="Normal"/>
        <w:keepNext w:val="true"/>
        <w:spacing w:before="160" w:after="80"/>
        <w:jc w:val="left"/>
        <w:rPr/>
      </w:pPr>
      <w:r>
        <w:rPr>
          <w:rFonts w:eastAsia="Arial" w:cs="Arial"/>
          <w:b/>
          <w:bCs/>
          <w:sz w:val="20"/>
          <w:szCs w:val="20"/>
        </w:rPr>
        <w:t>Tabelle 10.4: Mittelherkunft (EUR, Zinssätze als Planannahmen)</w:t>
      </w:r>
    </w:p>
    <w:tbl>
      <w:tblPr>
        <w:tblW w:w="9638" w:type="dxa"/>
        <w:jc w:val="left"/>
        <w:tblInd w:w="0" w:type="dxa"/>
        <w:tblLayout w:type="fixed"/>
        <w:tblCellMar>
          <w:top w:w="40" w:type="dxa"/>
          <w:left w:w="70" w:type="dxa"/>
          <w:bottom w:w="40" w:type="dxa"/>
          <w:right w:w="70" w:type="dxa"/>
        </w:tblCellMar>
      </w:tblPr>
      <w:tblGrid>
        <w:gridCol w:w="2891"/>
        <w:gridCol w:w="1348"/>
        <w:gridCol w:w="964"/>
        <w:gridCol w:w="1158"/>
        <w:gridCol w:w="1542"/>
        <w:gridCol w:w="1734"/>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Baustein</w:t>
            </w:r>
          </w:p>
        </w:tc>
        <w:tc>
          <w:tcPr>
            <w:tcW w:w="134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Betrag</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Anteil</w:t>
            </w:r>
          </w:p>
        </w:tc>
        <w:tc>
          <w:tcPr>
            <w:tcW w:w="115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Zins</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Laufzeit</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Besicherung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Bareinlage Gründer [Eigenmittel, Herkunft belegen]</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150.000 €</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5,7 %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Eigenkapital</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MBG BW – stille Beteiligung Existenzgründung</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250.000 €</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9,4 %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7,00 % p. a.</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10 J., endfällig</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wirtschaftl. Eigenkapital, nachrangig</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KfW ERP-Förderkredit Gründung und Nachfolge (077)</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500.000 €</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18,8 %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6,50 % p. a.</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15 J., 5 tilgungsfrei</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100 % Garantie Bürgschaftsbank</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L-Bank GuW-BW Gründungsfinanzierung über Hausbank</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1.752.583 €</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66,1 %</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6,40 % p. a.</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 J., 3 tilgungsfrei</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80 % Bürgschaft Bürgschaftsbank BW</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Summe Mittelherkunft</w:t>
            </w:r>
          </w:p>
        </w:tc>
        <w:tc>
          <w:tcPr>
            <w:tcW w:w="134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2.652.583 €</w:t>
            </w:r>
          </w:p>
        </w:tc>
        <w:tc>
          <w:tcPr>
            <w:tcW w:w="96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100,0 %</w:t>
            </w:r>
          </w:p>
        </w:tc>
        <w:tc>
          <w:tcPr>
            <w:tcW w:w="115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154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173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r>
    </w:tbl>
    <w:p>
      <w:pPr>
        <w:pStyle w:val="Normal"/>
        <w:spacing w:before="60" w:after="200"/>
        <w:jc w:val="left"/>
        <w:rPr/>
      </w:pPr>
      <w:r>
        <w:rPr>
          <w:rFonts w:eastAsia="Arial" w:cs="Arial"/>
          <w:i/>
          <w:iCs/>
          <w:color w:val="5A5A5A"/>
          <w:sz w:val="18"/>
          <w:szCs w:val="18"/>
        </w:rPr>
        <w:t>Quelle: Excel-Planrechnung; Programmbedingungen Rechercheprotokoll (Anhang I; KfW, L-Bank, Bürgschaftsbank BW, MBG BW).</w:t>
      </w:r>
    </w:p>
    <w:p>
      <w:pPr>
        <w:pStyle w:val="Normal"/>
        <w:spacing w:lineRule="exact" w:line="276" w:before="0" w:after="120"/>
        <w:jc w:val="both"/>
        <w:rPr/>
      </w:pPr>
      <w:r>
        <w:rPr>
          <w:rFonts w:eastAsia="Arial" w:cs="Arial"/>
          <w:sz w:val="22"/>
          <w:szCs w:val="22"/>
        </w:rPr>
        <w:t>Die Bareinlage von 150.000 € entspricht 5,7 % des Kapitalbedarfs; zusammen mit der stillen Beteiligung der MBG, die als nachrangiges Kapital wirtschaftlich dem Eigenkapital zugerechnet wird, beträgt die Eigenkapitalquote 15,1 % (400.000 €). Sie liegt damit in der Spanne von 15 bis 20 %, die Sparkassen für Gründungsfinanzierungen nennen; das BMWK-Existenzgründungsportal empfiehlt möglichst nicht unter 20 % (Quellen: Anhang I). Die Bankdarlehen im engeren Sinn (KfW 077, L-Bank) summieren sich auf 2.252.583 €, die gesamten Fremd- und Beteiligungsmittel auf 2.502.583 €. Die Herkunft der Eigenmittel ist gegenüber der Bank nachzuweisen [Vermögensaufstellung, Kontoauszüge, ggf. Schenkungs- oder Nachrangdarlehensvertrag aus der Familie].</w:t>
      </w:r>
    </w:p>
    <w:p>
      <w:pPr>
        <w:pStyle w:val="ListParagraph"/>
        <w:numPr>
          <w:ilvl w:val="0"/>
          <w:numId w:val="1"/>
        </w:numPr>
        <w:spacing w:lineRule="exact" w:line="276" w:before="0" w:after="60"/>
        <w:jc w:val="left"/>
        <w:rPr/>
      </w:pPr>
      <w:r>
        <w:rPr>
          <w:rFonts w:eastAsia="Arial" w:cs="Arial"/>
          <w:sz w:val="22"/>
          <w:szCs w:val="22"/>
        </w:rPr>
        <w:t>MBG Baden-Württemberg, stille Beteiligung Existenzgründung, 250.000 €: Programmhöchstbetrag bis 250.000 € (im Einzelfall bis 1 Mio. €), bis drei Jahre nach Gründung, Laufzeit 10 Jahre, 1,0 % Bearbeitungsgebühr, Vergütung fest plus erfolgsabhängig insgesamt etwa 4,5 bis 9,5 % p. a.; Planannahme 7,00 % p. a., endfällige Rückzahlung nach 10 Jahren; keine Sicherheiten außer der persönlichen Garantie des Gesellschafters; nachrangig und damit wirtschaftliches Eigenkapital (Quellen: Anhang I).</w:t>
      </w:r>
    </w:p>
    <w:p>
      <w:pPr>
        <w:pStyle w:val="ListParagraph"/>
        <w:numPr>
          <w:ilvl w:val="0"/>
          <w:numId w:val="1"/>
        </w:numPr>
        <w:spacing w:lineRule="exact" w:line="276" w:before="0" w:after="60"/>
        <w:jc w:val="left"/>
        <w:rPr/>
      </w:pPr>
      <w:r>
        <w:rPr>
          <w:rFonts w:eastAsia="Arial" w:cs="Arial"/>
          <w:sz w:val="22"/>
          <w:szCs w:val="22"/>
        </w:rPr>
        <w:t>KfW ERP-Förderkredit Gründung und Nachfolge (077), 500.000 €: bis 500.000 € je Antragsteller, höchstens 35 % der förderfähigen Kosten (35 % von 2.652.583 € wären 928.404 €, der Programmhöchstbetrag ist damit die bindende Grenze); Laufzeit 15 Jahre mit 5 tilgungsfreien Jahren, Zinsbindung 10 Jahre; 100 % Garantie der Bürgschaftsbank mit Bundesrückgarantie, keine Sicherheiten außer der persönlichen Haftung des Gründers; Garantieentgelte 0,98 % p. a. (BMF) und 1,01 % p. a. (Bürgschaftsbank) sind im Effektivzins enthalten, 750 € Bearbeitungsentgelt; Effektivzins 15/5/10 nach Preisklasse 6,03 % (A) bis 12,88 % (I), Planannahme 6,50 % p. a.; die Garantie wird nicht auf den Höchstbetrag von 2 Mio. € der Bürgschaftsbank angerechnet; das Vorhaben darf bei Antragstellung noch nicht begonnen sein (Quellen: Anhang I).</w:t>
      </w:r>
    </w:p>
    <w:p>
      <w:pPr>
        <w:pStyle w:val="ListParagraph"/>
        <w:numPr>
          <w:ilvl w:val="0"/>
          <w:numId w:val="1"/>
        </w:numPr>
        <w:spacing w:lineRule="exact" w:line="276" w:before="0" w:after="60"/>
        <w:jc w:val="left"/>
        <w:rPr/>
      </w:pPr>
      <w:r>
        <w:rPr>
          <w:rFonts w:eastAsia="Arial" w:cs="Arial"/>
          <w:sz w:val="22"/>
          <w:szCs w:val="22"/>
        </w:rPr>
        <w:t>L-Bank Gründungs- und Wachstumsfinanzierung (GuW-BW) über die Hausbank, 1.752.583 €: 10.000 € bis 5 Mio. €, Laufzeit bis 20 Jahre mit bis zu 3 tilgungsfreien Jahren, Sollzinsbindung 10 Jahre, Bereitstellung 12 Monate provisionsfrei; Effektivzins junge Unternehmen 15 bis 20 Jahre nach Preisklasse 4,66 % (A) bis 11,44 % (I), Planannahme 6,40 % p. a. (Preisklasse D bis E); Besicherung durch Ausfallbürgschaft der Bürgschaftsbank Baden-Württemberg von 80 % (bei Existenzgründung bis 80 %, Höchstbetrag 2,0 Mio. €; hier 1.402.066 €), Bearbeitungsentgelt 1,0 % der Bürgschaft und Provision 1,0 % p. a. des Kreditbetrags, bankübliche Sicherheiten quotal und persönliche Mitverpflichtung des Gesellschafters (Quellen: Anhang I).</w:t>
      </w:r>
    </w:p>
    <w:p>
      <w:pPr>
        <w:pStyle w:val="Normal"/>
        <w:spacing w:lineRule="exact" w:line="276" w:before="0" w:after="60"/>
        <w:jc w:val="both"/>
        <w:rPr/>
      </w:pPr>
      <w:r>
        <w:rPr/>
      </w:r>
    </w:p>
    <w:p>
      <w:pPr>
        <w:pStyle w:val="Normal"/>
        <w:spacing w:lineRule="exact" w:line="276" w:before="0" w:after="120"/>
        <w:jc w:val="both"/>
        <w:rPr/>
      </w:pPr>
      <w:r>
        <w:rPr>
          <w:rFonts w:eastAsia="Arial" w:cs="Arial"/>
          <w:sz w:val="22"/>
          <w:szCs w:val="22"/>
        </w:rPr>
        <w:t>Der KfW ERP-Gründerkredit StartGeld (067) wurde geprüft und nicht angesetzt: Das KfW-Merkblatt setzt voraus, dass der Gesamtfremdfinanzierungsbedarf des Vorhabens höchstens 200.000 € beträgt (Quellen: Anhang I); bei Fremd- und Beteiligungsmitteln von 2.502.583 € ist das Programm nicht förderfähig. Der Betrag ist in die L-Bank-Restfinanzierung (GuW-BW, Obergrenze 5 Mio. €) übernommen; die Bürgschaftssumme von 1.402.066 € bleibt unter dem Höchstbetrag der Bürgschaftsbank von 2,0 Mio. €. Die Bürgschaftsquote von 80 % ist die Obergrenze der Bürgschaftsbank für Existenzgründungen (Regelfall 70 %); die tatsächliche Quote und damit das Blankorisiko der Hausbank legt die Bürgschaftsbank im Einzelfall fest [vor dem Bankgespräch mit Hausbank und Bürgschaftsbank zu klären].</w:t>
      </w:r>
    </w:p>
    <w:p>
      <w:pPr>
        <w:pStyle w:val="Normal"/>
        <w:spacing w:lineRule="exact" w:line="276" w:before="0" w:after="120"/>
        <w:jc w:val="both"/>
        <w:rPr/>
      </w:pPr>
      <w:r>
        <w:rPr>
          <w:rFonts w:eastAsia="Arial" w:cs="Arial"/>
          <w:sz w:val="22"/>
          <w:szCs w:val="22"/>
        </w:rPr>
        <w:t>Die Zinssätze sind Planannahmen; den individuellen Satz legt die Hausbank nach Rating und Besicherung fest (Quellen: Anhang I). Für ein junges Unternehmen ohne Historie ist mit den Preisklassen C bis E zu rechnen. Die Annahme für das L-Bank-Darlehen (6,40 %) liegt zwischen den Preisklassen D und E, die Annahme für den KfW-Kredit 077 (6,50 % einschließlich Garantieentgelte) dagegen nur zwischen den Preisklassen A und C (6,03 % bzw. 6,77 %) und damit eher am unteren Rand. Die Sensitivität „Zinsen +1,5 Prozentpunkte“ in Abschnitt 10.9 deckt eine Einstufung des KfW-Kredits 077 bis Preisklasse E (7,93 %) und des L-Bank-Darlehens bis Preisklasse F (7,27 %) ab. Nach Ablauf der zehnjährigen Zinsbindung ist für das L-Bank-Darlehen und den KfW-Kredit 077 ab dem elften Jahr ein Anschlusszins zu vereinbaren; die Tabellen dieses Kapitels schreiben den Planzins fort. Nicht eingeplant sind die L-Bank Startfinanzierung 80 (Kapitalbedarfsgrenze 250.000 € je Unternehmer) und der Gründungszuschuss der Arbeitsagentur (kein ALG-I-Anspruch); der Mikromezzaninfonds III (bis 100.000 €, 11 % p. a.) bleibt als Reserveoption (Quellen: Anhang I).</w:t>
      </w:r>
    </w:p>
    <w:p>
      <w:pPr>
        <w:pStyle w:val="Normal"/>
        <w:keepNext w:val="true"/>
        <w:spacing w:before="120" w:after="40"/>
        <w:jc w:val="center"/>
        <w:rPr/>
      </w:pPr>
      <w:r>
        <w:rPr/>
        <w:drawing>
          <wp:inline distT="0" distB="0" distL="0" distR="0">
            <wp:extent cx="5715000" cy="28575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15000" cy="2857500"/>
                    </a:xfrm>
                    <a:prstGeom prst="rect">
                      <a:avLst/>
                    </a:prstGeom>
                  </pic:spPr>
                </pic:pic>
              </a:graphicData>
            </a:graphic>
          </wp:inline>
        </w:drawing>
      </w:r>
    </w:p>
    <w:p>
      <w:pPr>
        <w:pStyle w:val="Normal"/>
        <w:spacing w:before="60" w:after="200"/>
        <w:jc w:val="left"/>
        <w:rPr/>
      </w:pPr>
      <w:r>
        <w:rPr>
          <w:rFonts w:eastAsia="Arial" w:cs="Arial"/>
          <w:i/>
          <w:iCs/>
          <w:color w:val="5A5A5A"/>
          <w:sz w:val="18"/>
          <w:szCs w:val="18"/>
        </w:rPr>
        <w:t>Abbildung 10.2: Kapitalbedarf und Finanzierung</w:t>
      </w:r>
    </w:p>
    <w:p>
      <w:pPr>
        <w:pStyle w:val="Normal"/>
        <w:spacing w:lineRule="exact" w:line="276" w:before="0" w:after="120"/>
        <w:jc w:val="both"/>
        <w:rPr/>
      </w:pPr>
      <w:r>
        <w:rPr>
          <w:rFonts w:eastAsia="Arial" w:cs="Arial"/>
          <w:sz w:val="22"/>
          <w:szCs w:val="22"/>
        </w:rPr>
        <w:t>Der Kapitaldienst beginnt mit reinen Zins- und Vergütungszahlungen: Von der Eröffnung bis zum Ende der tilgungsfreien Zeit des L-Bank-Darlehens beträgt die Rate unverändert 13.514 € je Monat (Monat 1 wie Monat 25; bis Monat 33 wird kein Darlehen getilgt), ab dem 34. Monat mit der L-Bank-Tilgung 22.105 € (Monat 34; 22.013 € im Monat 36) und ab dem 57. Monat, wenn auch der KfW-Kredit 077 getilgt wird, 25.218 € (Monat 57; Näherung ab Monat 61: 25.172 €) je Monat; bei Ratentilgung sinkt die Rate mit fallender Restschuld. Die MBG-Beteiligung wird im zehnten Jahr endfällig zurückgezahlt (250.000 €); dafür sind ab dem dritten Jahr Überschüsse anzusammeln oder eine Anschlussfinanzierung zu vereinbaren. Tabelle 10.5 zeigt den Kapitaldienst je Darlehensjahr; die vollständigen Tilgungspläne stehen in Anhang B.</w:t>
      </w:r>
    </w:p>
    <w:p>
      <w:pPr>
        <w:pStyle w:val="Normal"/>
        <w:keepNext w:val="true"/>
        <w:spacing w:before="160" w:after="80"/>
        <w:jc w:val="left"/>
        <w:rPr/>
      </w:pPr>
      <w:r>
        <w:rPr>
          <w:rFonts w:eastAsia="Arial" w:cs="Arial"/>
          <w:b/>
          <w:bCs/>
          <w:sz w:val="20"/>
          <w:szCs w:val="20"/>
        </w:rPr>
        <w:t>Tabelle 10.5: Kapitaldienst je Darlehensjahr, Jahre 1 bis 10 (EUR, Zins auf Restschuld)</w:t>
      </w:r>
    </w:p>
    <w:tbl>
      <w:tblPr>
        <w:tblW w:w="9638" w:type="dxa"/>
        <w:jc w:val="left"/>
        <w:tblInd w:w="0" w:type="dxa"/>
        <w:tblLayout w:type="fixed"/>
        <w:tblCellMar>
          <w:top w:w="40" w:type="dxa"/>
          <w:left w:w="70" w:type="dxa"/>
          <w:bottom w:w="40" w:type="dxa"/>
          <w:right w:w="70" w:type="dxa"/>
        </w:tblCellMar>
      </w:tblPr>
      <w:tblGrid>
        <w:gridCol w:w="963"/>
        <w:gridCol w:w="2313"/>
        <w:gridCol w:w="1928"/>
        <w:gridCol w:w="2120"/>
        <w:gridCol w:w="2314"/>
      </w:tblGrid>
      <w:tr>
        <w:trPr>
          <w:tblHeader w:val="true"/>
        </w:trPr>
        <w:tc>
          <w:tcPr>
            <w:tcW w:w="96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Jahr</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Zinsen / Vergütung</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Tilgung</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Kapitaldienst</w:t>
            </w:r>
          </w:p>
        </w:tc>
        <w:tc>
          <w:tcPr>
            <w:tcW w:w="231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Restschuld Jahresende</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2.502.583 €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2.502.583 €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2.502.583 €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265.258 €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2.399.490 €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155.567 €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258.660 €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2.296.397 €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148.969 €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302.063 €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2.143.304 €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139.121 €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292.215 €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1.990.211 €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8</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129.273 €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282.367 €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1.837.117 €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119.426 €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272.519 €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1.684.024 €</w:t>
            </w:r>
          </w:p>
        </w:tc>
      </w:tr>
      <w:tr>
        <w:trPr/>
        <w:tc>
          <w:tcPr>
            <w:tcW w:w="96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109.578 €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403.093 €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512.671 €</w:t>
            </w:r>
          </w:p>
        </w:tc>
        <w:tc>
          <w:tcPr>
            <w:tcW w:w="231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1.280.931 €</w:t>
            </w:r>
          </w:p>
        </w:tc>
      </w:tr>
    </w:tbl>
    <w:p>
      <w:pPr>
        <w:pStyle w:val="Normal"/>
        <w:spacing w:before="60" w:after="200"/>
        <w:jc w:val="left"/>
        <w:rPr/>
      </w:pPr>
      <w:r>
        <w:rPr>
          <w:rFonts w:eastAsia="Arial" w:cs="Arial"/>
          <w:i/>
          <w:iCs/>
          <w:color w:val="5A5A5A"/>
          <w:sz w:val="18"/>
          <w:szCs w:val="18"/>
        </w:rPr>
        <w:t>Quelle: Excel-Planrechnung; Jahr 10 enthält die endfällige Rückzahlung der MBG-Beteiligung (250.000 €). Zinsen mit den Planzinssätzen der Tabelle 10.4 (Zinsbindung 10 Jahre).</w:t>
      </w:r>
    </w:p>
    <w:p>
      <w:pPr>
        <w:pStyle w:val="Normal"/>
        <w:keepNext w:val="true"/>
        <w:spacing w:before="120" w:after="40"/>
        <w:jc w:val="center"/>
        <w:rPr/>
      </w:pPr>
      <w:r>
        <w:rPr/>
        <w:drawing>
          <wp:inline distT="0" distB="0" distL="0" distR="0">
            <wp:extent cx="5715000" cy="23812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15000" cy="2381250"/>
                    </a:xfrm>
                    <a:prstGeom prst="rect">
                      <a:avLst/>
                    </a:prstGeom>
                  </pic:spPr>
                </pic:pic>
              </a:graphicData>
            </a:graphic>
          </wp:inline>
        </w:drawing>
      </w:r>
    </w:p>
    <w:p>
      <w:pPr>
        <w:pStyle w:val="Normal"/>
        <w:spacing w:before="60" w:after="200"/>
        <w:jc w:val="left"/>
        <w:rPr/>
      </w:pPr>
      <w:r>
        <w:rPr>
          <w:rFonts w:eastAsia="Arial" w:cs="Arial"/>
          <w:i/>
          <w:iCs/>
          <w:color w:val="5A5A5A"/>
          <w:sz w:val="18"/>
          <w:szCs w:val="18"/>
        </w:rPr>
        <w:t>Abbildung 10.3: Kapitaldienst über die Laufzeit (Jahreswerte)</w:t>
      </w:r>
    </w:p>
    <w:p>
      <w:pPr>
        <w:pStyle w:val="Normal"/>
        <w:spacing w:lineRule="exact" w:line="276" w:before="0" w:after="120"/>
        <w:jc w:val="both"/>
        <w:rPr/>
      </w:pPr>
      <w:r>
        <w:rPr>
          <w:rFonts w:eastAsia="Arial" w:cs="Arial"/>
          <w:sz w:val="22"/>
          <w:szCs w:val="22"/>
        </w:rPr>
        <w:t>Als Sicherheiten bietet die GmbH der Hausbank folgendes Paket an:</w:t>
      </w:r>
    </w:p>
    <w:p>
      <w:pPr>
        <w:pStyle w:val="ListParagraph"/>
        <w:numPr>
          <w:ilvl w:val="0"/>
          <w:numId w:val="1"/>
        </w:numPr>
        <w:spacing w:lineRule="exact" w:line="276" w:before="0" w:after="60"/>
        <w:jc w:val="left"/>
        <w:rPr/>
      </w:pPr>
      <w:r>
        <w:rPr>
          <w:rFonts w:eastAsia="Arial" w:cs="Arial"/>
          <w:sz w:val="22"/>
          <w:szCs w:val="22"/>
        </w:rPr>
        <w:t>Ausfallbürgschaft der Bürgschaftsbank Baden-Württemberg über 80 % des L-Bank-Darlehens (1.402.066 €), Antrag über die Hausbank (Quellen: Anhang I).</w:t>
      </w:r>
    </w:p>
    <w:p>
      <w:pPr>
        <w:pStyle w:val="ListParagraph"/>
        <w:numPr>
          <w:ilvl w:val="0"/>
          <w:numId w:val="1"/>
        </w:numPr>
        <w:spacing w:lineRule="exact" w:line="276" w:before="0" w:after="60"/>
        <w:jc w:val="left"/>
        <w:rPr/>
      </w:pPr>
      <w:r>
        <w:rPr>
          <w:rFonts w:eastAsia="Arial" w:cs="Arial"/>
          <w:sz w:val="22"/>
          <w:szCs w:val="22"/>
        </w:rPr>
        <w:t>100 % Garantie der Bürgschaftsbank für den KfW-Förderkredit 077; aus diesem Kredit verbleibt der Hausbank damit kein Obligo.</w:t>
      </w:r>
    </w:p>
    <w:p>
      <w:pPr>
        <w:pStyle w:val="ListParagraph"/>
        <w:numPr>
          <w:ilvl w:val="0"/>
          <w:numId w:val="1"/>
        </w:numPr>
        <w:spacing w:lineRule="exact" w:line="276" w:before="0" w:after="60"/>
        <w:jc w:val="left"/>
        <w:rPr/>
      </w:pPr>
      <w:r>
        <w:rPr>
          <w:rFonts w:eastAsia="Arial" w:cs="Arial"/>
          <w:sz w:val="22"/>
          <w:szCs w:val="22"/>
        </w:rPr>
        <w:t>Sicherungsübereignung der Geräte und Einrichtung (Anschaffungswert 623.196 € inkl. Import-Nebenkosten) sowie Abtretung der Ansprüche aus der Inhalts- und Betriebsunterbrechungsversicherung.</w:t>
      </w:r>
    </w:p>
    <w:p>
      <w:pPr>
        <w:pStyle w:val="ListParagraph"/>
        <w:numPr>
          <w:ilvl w:val="0"/>
          <w:numId w:val="1"/>
        </w:numPr>
        <w:spacing w:lineRule="exact" w:line="276" w:before="0" w:after="60"/>
        <w:jc w:val="left"/>
        <w:rPr/>
      </w:pPr>
      <w:r>
        <w:rPr>
          <w:rFonts w:eastAsia="Arial" w:cs="Arial"/>
          <w:sz w:val="22"/>
          <w:szCs w:val="22"/>
        </w:rPr>
        <w:t>Globalzession der Forderungen aus Mitgliedsverträgen (SEPA-Lastschriften) und Verpfändung des Geschäftskontos.</w:t>
      </w:r>
    </w:p>
    <w:p>
      <w:pPr>
        <w:pStyle w:val="ListParagraph"/>
        <w:numPr>
          <w:ilvl w:val="0"/>
          <w:numId w:val="1"/>
        </w:numPr>
        <w:spacing w:lineRule="exact" w:line="276" w:before="0" w:after="60"/>
        <w:jc w:val="left"/>
        <w:rPr/>
      </w:pPr>
      <w:r>
        <w:rPr>
          <w:rFonts w:eastAsia="Arial" w:cs="Arial"/>
          <w:sz w:val="22"/>
          <w:szCs w:val="22"/>
        </w:rPr>
        <w:t>Persönliche, selbstschuldnerische Bürgschaft des Gründers und Gesellschafters [Betrag mit der Bank festzulegen]; die Mitverpflichtung des Gesellschafters wird von KfW 077, Bürgschaftsbank und MBG ohnehin verlangt (Quellen: Anhang I).</w:t>
      </w:r>
    </w:p>
    <w:p>
      <w:pPr>
        <w:pStyle w:val="ListParagraph"/>
        <w:numPr>
          <w:ilvl w:val="0"/>
          <w:numId w:val="1"/>
        </w:numPr>
        <w:spacing w:lineRule="exact" w:line="276" w:before="0" w:after="60"/>
        <w:jc w:val="left"/>
        <w:rPr/>
      </w:pPr>
      <w:r>
        <w:rPr>
          <w:rFonts w:eastAsia="Arial" w:cs="Arial"/>
          <w:sz w:val="22"/>
          <w:szCs w:val="22"/>
        </w:rPr>
        <w:t>Verpfändung der Mietkaution (85.930 €) nachrangig zum Vermieter sowie Eintritts- und Kündigungsrechte der Bank im Mietvertrag [mit Vermieter zu verhandeln].</w:t>
      </w:r>
    </w:p>
    <w:p>
      <w:pPr>
        <w:pStyle w:val="Normal"/>
        <w:spacing w:lineRule="exact" w:line="276" w:before="0" w:after="60"/>
        <w:jc w:val="both"/>
        <w:rPr/>
      </w:pPr>
      <w:r>
        <w:rPr/>
      </w:r>
    </w:p>
    <w:p>
      <w:pPr>
        <w:pStyle w:val="Normal"/>
        <w:spacing w:lineRule="exact" w:line="276" w:before="0" w:after="120"/>
        <w:jc w:val="both"/>
        <w:rPr/>
      </w:pPr>
      <w:r>
        <w:rPr>
          <w:rFonts w:eastAsia="Arial" w:cs="Arial"/>
          <w:sz w:val="22"/>
          <w:szCs w:val="22"/>
        </w:rPr>
        <w:t>Sollte die Hausbank den Kapitalbedarf reduzieren wollen, stehen drei Alternativen zur Verfügung, die im Modell nicht unterstellt sind, aber die Investition ohne Änderung des Konzepts senken:</w:t>
      </w:r>
    </w:p>
    <w:p>
      <w:pPr>
        <w:pStyle w:val="ListParagraph"/>
        <w:numPr>
          <w:ilvl w:val="0"/>
          <w:numId w:val="1"/>
        </w:numPr>
        <w:spacing w:lineRule="exact" w:line="276" w:before="0" w:after="60"/>
        <w:jc w:val="left"/>
        <w:rPr/>
      </w:pPr>
      <w:r>
        <w:rPr>
          <w:rFonts w:eastAsia="Arial" w:cs="Arial"/>
          <w:sz w:val="22"/>
          <w:szCs w:val="22"/>
        </w:rPr>
        <w:t>Geräteleasing statt Kauf: Bei 36 bis 60 Monaten Laufzeit kosten Fitnessgeräte etwa 300 € (36 Monate), 230 € (48 Monate) bzw. 190 € (60 Monate) je Monat und 10.000 € Anschaffungswert (Händlerangaben). Werden beispielsweise die Kraft- und Cardiogeräte (373.330 €) geleast, sinken Kapitalbedarf und Bankdarlehen um diesen Betrag; dafür entstehen Leasingraten von rund 7.100 € (60 Monate) bis 11.200 € (36 Monate) je Monat, die den Betriebsaufwand erhöhen und den Kapitaldienst der ersten Jahre übersteigen. Leasing verbessert die Eigenkapitalquote und die Bilanz, verschlechtert aber EBITDA und Liquidität in der Anlaufphase; die Bürgschaftsbank bietet dafür eine Leasing-Bürgschaft ab 0,24 % an (Quellen: Anhang I).</w:t>
      </w:r>
    </w:p>
    <w:p>
      <w:pPr>
        <w:pStyle w:val="ListParagraph"/>
        <w:numPr>
          <w:ilvl w:val="0"/>
          <w:numId w:val="1"/>
        </w:numPr>
        <w:spacing w:lineRule="exact" w:line="276" w:before="0" w:after="60"/>
        <w:jc w:val="left"/>
        <w:rPr/>
      </w:pPr>
      <w:r>
        <w:rPr>
          <w:rFonts w:eastAsia="Arial" w:cs="Arial"/>
          <w:sz w:val="22"/>
          <w:szCs w:val="22"/>
        </w:rPr>
        <w:t>Ausbau durch den Vermieter gegen Mietaufschlag: Übernimmt der Vermieter Grundausbau und Lüftung (695.209 €) und refinanziert sie über die Miete, sinkt die Investition um gut ein Drittel. Die Sensitivität „Kaltmiete 10,00 €/m²“ in Abschnitt 10.9 zeigt, dass ein Aufschlag von 1,50 €/m² (35.557 € je Jahr) das Ergebnis des dritten Jahres von 36.237 € auf −1.325 € und den DSCR auf 1,92 senkt, der Kapitaldienst aber gedeckt bleibt; ein Aufschlag müsste unterhalb der ersparten Kapitalkosten liegen.</w:t>
      </w:r>
    </w:p>
    <w:p>
      <w:pPr>
        <w:pStyle w:val="ListParagraph"/>
        <w:numPr>
          <w:ilvl w:val="0"/>
          <w:numId w:val="1"/>
        </w:numPr>
        <w:spacing w:lineRule="exact" w:line="276" w:before="0" w:after="60"/>
        <w:jc w:val="left"/>
        <w:rPr/>
      </w:pPr>
      <w:r>
        <w:rPr>
          <w:rFonts w:eastAsia="Arial" w:cs="Arial"/>
          <w:sz w:val="22"/>
          <w:szCs w:val="22"/>
        </w:rPr>
        <w:t>Gestaffelter Wellness-Ausbau: Sauna, Dampfbad, Cold Plunge und Erlebnisdusche (55.850 € Geräte zuzüglich anteiliger Nassbereichsausbau) könnten in einem zweiten Bauabschnitt nach Erreichen von 1.500 Mitgliedern folgen. Das senkt die Anfangsinvestition, gefährdet aber den Premium-Tarif (45 % der Mitglieder, 59,90 €), der den Wellnessbereich voraussetzt, und ist deshalb nur als letzte Option vorgesehen.</w:t>
      </w:r>
    </w:p>
    <w:p>
      <w:pPr>
        <w:pStyle w:val="Normal"/>
        <w:spacing w:lineRule="exact" w:line="276" w:before="0" w:after="60"/>
        <w:jc w:val="both"/>
        <w:rPr/>
      </w:pPr>
      <w:r>
        <w:rPr/>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Vom Gründer zu ergänzen: Nachweis der Eigenmittel [Eigenmittel], Selbstauskunft und Schufa, Vorgespräch mit der Bürgschaftsbank BW (0711 1645-6) zur Höhe der Bürgschaft für ein Erstvorhaben dieser Größe, MBG-Beteiligungsanfrage, Entscheidung der Hausbank über die Preisklassen. Die De-minimis-Obergrenze von 300.000 € in drei Jahren (Zinsverbilligung, Garantien, Bürgschaften) ist mit der Bank zu prüfen (Quellen: Anhang I).</w:t>
      </w:r>
    </w:p>
    <w:p>
      <w:pPr>
        <w:pStyle w:val="Heading2"/>
        <w:keepNext w:val="true"/>
        <w:spacing w:before="280" w:after="120"/>
        <w:rPr/>
      </w:pPr>
      <w:bookmarkStart w:id="88" w:name="__RefHeading___Toc21277_3809407278"/>
      <w:bookmarkEnd w:id="88"/>
      <w:r>
        <w:rPr/>
        <w:t>10.4 Umsatzplanung</w:t>
      </w:r>
    </w:p>
    <w:p>
      <w:pPr>
        <w:pStyle w:val="Normal"/>
        <w:spacing w:lineRule="exact" w:line="276" w:before="0" w:after="120"/>
        <w:jc w:val="both"/>
        <w:rPr/>
      </w:pPr>
      <w:r>
        <w:rPr>
          <w:rFonts w:eastAsia="Arial" w:cs="Arial"/>
          <w:sz w:val="22"/>
          <w:szCs w:val="22"/>
        </w:rPr>
        <w:t>Die Umsatzplanung beruht auf dem Mitgliederbestand. Zur Eröffnung sind 350 Mitglieder aus dem dreimonatigen Vorverkauf unterstellt (Kapitel 6.3). Danach sind je Monat 140 Neuzugänge in den Monaten 1 bis 3, 100 in den Monaten 4 bis 12, 90 im zweiten Jahr, 80 im dritten Jahr und 75 ab dem vierten Jahr geplant; die Kündigungsquote beträgt 2,2 % je Monat des Bestands, das sind kumuliert 23,4 % je Jahr (in einfacher Addition 26,4 %, Kapitel 4.7) und damit auf dem Niveau des Branchendurchschnitts von 25 % (DSSV 2019, zitiert in Kruse 2021; Einzelstudios 21 bis 25 %). Der Bestand ist auf die Kapazitätsgrenze von 2.200 Mitgliedern begrenzt, die im 29. Monat erreicht wird; danach werden nur noch so viele Neumitglieder aufgenommen, wie Mitglieder kündigen. Die Grenze entspricht 1,11 Mitgliedern je Quadratmeter Bruttofläche und liegt damit nahe dem Branchenwert von rund einem Mitglied je Quadratmeter (1.187 Mitglieder auf 1.166 m², DSSV 2018); bei einem Spitzenlastanteil von 5,5 % gleichzeitig Trainierender sind das 121 Personen gegenüber einer Kapazität von 126 Trainierenden (Rechercheprotokoll (Anhang I); Kapitel 3.9).</w:t>
      </w:r>
    </w:p>
    <w:p>
      <w:pPr>
        <w:pStyle w:val="Normal"/>
        <w:keepNext w:val="true"/>
        <w:spacing w:before="160" w:after="80"/>
        <w:jc w:val="left"/>
        <w:rPr/>
      </w:pPr>
      <w:r>
        <w:rPr>
          <w:rFonts w:eastAsia="Arial" w:cs="Arial"/>
          <w:b/>
          <w:bCs/>
          <w:sz w:val="20"/>
          <w:szCs w:val="20"/>
        </w:rPr>
        <w:t>Tabelle 10.6: Mitgliederplanung Jahr 1 bis 5, Basisszenario (Anzahl Mitglieder)</w:t>
      </w:r>
    </w:p>
    <w:tbl>
      <w:tblPr>
        <w:tblW w:w="9638" w:type="dxa"/>
        <w:jc w:val="left"/>
        <w:tblInd w:w="0" w:type="dxa"/>
        <w:tblLayout w:type="fixed"/>
        <w:tblCellMar>
          <w:top w:w="40" w:type="dxa"/>
          <w:left w:w="70" w:type="dxa"/>
          <w:bottom w:w="40" w:type="dxa"/>
          <w:right w:w="70" w:type="dxa"/>
        </w:tblCellMar>
      </w:tblPr>
      <w:tblGrid>
        <w:gridCol w:w="2891"/>
        <w:gridCol w:w="1735"/>
        <w:gridCol w:w="1735"/>
        <w:gridCol w:w="1734"/>
        <w:gridCol w:w="1543"/>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Jahr</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Neuzugänge</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Kündigungen</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Bestand Jahresende</w:t>
            </w:r>
          </w:p>
        </w:tc>
        <w:tc>
          <w:tcPr>
            <w:tcW w:w="154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Ø Bestand</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 (inkl. 350 aus Vorverkauf)</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1.670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241</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1.429</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2</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1.080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456</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2.053</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1.781</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960 (wirksam 716)</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569</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2.179</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4</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900 (wirksam 576)</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576</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900 (wirksam 576)</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576</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w:t>
            </w:r>
          </w:p>
        </w:tc>
      </w:tr>
    </w:tbl>
    <w:p>
      <w:pPr>
        <w:pStyle w:val="Normal"/>
        <w:spacing w:before="60" w:after="200"/>
        <w:jc w:val="left"/>
        <w:rPr/>
      </w:pPr>
      <w:r>
        <w:rPr>
          <w:rFonts w:eastAsia="Arial" w:cs="Arial"/>
          <w:i/>
          <w:iCs/>
          <w:color w:val="5A5A5A"/>
          <w:sz w:val="18"/>
          <w:szCs w:val="18"/>
        </w:rPr>
        <w:t>Quelle: Excel-Planrechnung, Jahressummen der Monatswerte; Vorverkauf Blatt „Annahmen“. Ab Erreichen der Kapazitätsgrenze (Monat 29) werden nur so viele Neuzugänge wirksam, wie Mitglieder kündigen; die Spalte zeigt die Planzugänge und in Klammern die rechnerisch wirksamen Zugänge (Bestand Jahresende minus Bestand Vorjahr plus Kündigungen).</w:t>
      </w:r>
    </w:p>
    <w:p>
      <w:pPr>
        <w:pStyle w:val="Normal"/>
        <w:spacing w:lineRule="exact" w:line="276" w:before="0" w:after="120"/>
        <w:jc w:val="both"/>
        <w:rPr/>
      </w:pPr>
      <w:r>
        <w:rPr>
          <w:rFonts w:eastAsia="Arial" w:cs="Arial"/>
          <w:sz w:val="22"/>
          <w:szCs w:val="22"/>
        </w:rPr>
        <w:t>Die Aufnahmegebühren werden im Finanzmodell nur auf die wirksamen Neuzugänge berechnet (Finanzplan_No1.xlsx, Blatt Mitglieder, Zeile „Wirksame Neuzugänge“): Nach Erreichen der Kapazitätsgrenze zahlen nur die tatsächlich aufgenommenen Mitglieder (716 im dritten, 576 im vierten und fünften Jahr) die Gebühr, nicht die Planzugänge (960 bzw. 900); die Aufnahmegebühren des dritten Jahres betragen 20.736 €.</w:t>
      </w:r>
    </w:p>
    <w:p>
      <w:pPr>
        <w:pStyle w:val="Normal"/>
        <w:keepNext w:val="true"/>
        <w:spacing w:before="120" w:after="40"/>
        <w:jc w:val="center"/>
        <w:rPr/>
      </w:pPr>
      <w:r>
        <w:rPr/>
        <w:drawing>
          <wp:inline distT="0" distB="0" distL="0" distR="0">
            <wp:extent cx="5715000" cy="26955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15000" cy="2695575"/>
                    </a:xfrm>
                    <a:prstGeom prst="rect">
                      <a:avLst/>
                    </a:prstGeom>
                  </pic:spPr>
                </pic:pic>
              </a:graphicData>
            </a:graphic>
          </wp:inline>
        </w:drawing>
      </w:r>
    </w:p>
    <w:p>
      <w:pPr>
        <w:pStyle w:val="Normal"/>
        <w:spacing w:before="60" w:after="200"/>
        <w:jc w:val="left"/>
        <w:rPr/>
      </w:pPr>
      <w:r>
        <w:rPr>
          <w:rFonts w:eastAsia="Arial" w:cs="Arial"/>
          <w:i/>
          <w:iCs/>
          <w:color w:val="5A5A5A"/>
          <w:sz w:val="18"/>
          <w:szCs w:val="18"/>
        </w:rPr>
        <w:t>Abbildung 10.4: Mitgliederentwicklung in drei Szenarien (60 Monate)</w:t>
      </w:r>
    </w:p>
    <w:p>
      <w:pPr>
        <w:pStyle w:val="Normal"/>
        <w:spacing w:lineRule="exact" w:line="276" w:before="0" w:after="120"/>
        <w:jc w:val="both"/>
        <w:rPr/>
      </w:pPr>
      <w:r>
        <w:rPr>
          <w:rFonts w:eastAsia="Arial" w:cs="Arial"/>
          <w:sz w:val="22"/>
          <w:szCs w:val="22"/>
        </w:rPr>
        <w:t>Der Tarifmix besteht aus Basic (44,90 € brutto, 40 % der Mitglieder), Premium mit Wellness und HYROX-Zone (59,90 €, 45 %) und Student/Azubi/Senior (34,90 €, 15 %). Daraus ergibt sich ein durchschnittlicher Monatsbeitrag von 50,15 € brutto beziehungsweise 42,14 € netto je Mitglied. Der Wert liegt zwischen dem Branchendurchschnitt von 48,55 € und dem Durchschnitt der Einzelanlagen von 59,24 € brutto (DSSV Eckdaten 2026). Hinzu kommen eine Servicepauschale von 24,90 € brutto je Halbjahr für alle Mitglieder und eine Aufnahmegebühr von 49,00 € brutto, die 70 % der Neumitglieder zahlen (der Rest tritt über Aktionen ohne Gebühr ein). Ab dem dritten Jahr ist eine Beitragsanpassung von 2,0 % je Jahr eingeplant.</w:t>
      </w:r>
    </w:p>
    <w:p>
      <w:pPr>
        <w:pStyle w:val="Normal"/>
        <w:spacing w:lineRule="exact" w:line="276" w:before="0" w:after="120"/>
        <w:jc w:val="both"/>
        <w:rPr/>
      </w:pPr>
      <w:r>
        <w:rPr>
          <w:rFonts w:eastAsia="Arial" w:cs="Arial"/>
          <w:sz w:val="22"/>
          <w:szCs w:val="22"/>
        </w:rPr>
        <w:t>Die Nebenumsätze sind mit 6,20 € brutto je Mitglied und Monat angesetzt: Getränke und Shakes 3,00 € (Wareneinsatz 40 %), Solarium und Wellness-Zusatzleistungen 1,20 €, Personal Training und Zusatzkurse 1,50 € sowie Merchandise und Sonstiges 0,50 €. Der Wareneinsatz von 30 bis 40 % des Warenumsatzes entspricht dem DSSV-Richtwert (DSSV Leitfaden Kostenmanagement 04/2022). Getränke-Flat und Wellness sind im Premium-Tarif enthalten, sodass die Nebenumsätze bewusst zurückhaltend geplant sind.</w:t>
      </w:r>
    </w:p>
    <w:p>
      <w:pPr>
        <w:pStyle w:val="Normal"/>
        <w:keepNext w:val="true"/>
        <w:spacing w:before="160" w:after="80"/>
        <w:jc w:val="left"/>
        <w:rPr/>
      </w:pPr>
      <w:r>
        <w:rPr>
          <w:rFonts w:eastAsia="Arial" w:cs="Arial"/>
          <w:b/>
          <w:bCs/>
          <w:sz w:val="20"/>
          <w:szCs w:val="20"/>
        </w:rPr>
        <w:t>Tabelle 10.7: Umsatz je Planjahr und Umsatzstruktur, Basisszenario (netto, EUR)</w:t>
      </w:r>
    </w:p>
    <w:tbl>
      <w:tblPr>
        <w:tblW w:w="9638" w:type="dxa"/>
        <w:jc w:val="left"/>
        <w:tblInd w:w="0" w:type="dxa"/>
        <w:tblLayout w:type="fixed"/>
        <w:tblCellMar>
          <w:top w:w="40" w:type="dxa"/>
          <w:left w:w="70" w:type="dxa"/>
          <w:bottom w:w="40" w:type="dxa"/>
          <w:right w:w="70" w:type="dxa"/>
        </w:tblCellMar>
      </w:tblPr>
      <w:tblGrid>
        <w:gridCol w:w="2409"/>
        <w:gridCol w:w="1446"/>
        <w:gridCol w:w="1445"/>
        <w:gridCol w:w="1446"/>
        <w:gridCol w:w="1446"/>
        <w:gridCol w:w="1445"/>
      </w:tblGrid>
      <w:tr>
        <w:trPr>
          <w:tblHeader w:val="true"/>
        </w:trPr>
        <w:tc>
          <w:tcPr>
            <w:tcW w:w="240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Position</w:t>
            </w:r>
          </w:p>
        </w:tc>
        <w:tc>
          <w:tcPr>
            <w:tcW w:w="144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1</w:t>
            </w:r>
          </w:p>
        </w:tc>
        <w:tc>
          <w:tcPr>
            <w:tcW w:w="144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2</w:t>
            </w:r>
          </w:p>
        </w:tc>
        <w:tc>
          <w:tcPr>
            <w:tcW w:w="144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3</w:t>
            </w:r>
          </w:p>
        </w:tc>
        <w:tc>
          <w:tcPr>
            <w:tcW w:w="144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4</w:t>
            </w:r>
          </w:p>
        </w:tc>
        <w:tc>
          <w:tcPr>
            <w:tcW w:w="144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5</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Umsatz gesamt</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622.361 €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1.101.585 €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1.368.522 €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1.403.873 €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1.427.024 €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davon Mitgliedsbeiträge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484.353 € (77,8 %)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1.120.974 € (81,9 %)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davon Servicepauschale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40.081 € (6,4 %)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90.944 € (6,6 %)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davon Aufnahmegebühren</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38.047 € (6,1 %)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20.736 € (1,5 %)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davon Nebenumsätze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59.880 € (9,6 %)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135.868 € (9,9 %)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Mitglieder Jahresende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1.429</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Umsatz je Ø Mitglied und Jahr</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621 €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619 €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628 €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638 €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649 €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Umsatz je m² Bruttofläche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315 €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558 €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693 €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711 €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722 €</w:t>
            </w:r>
          </w:p>
        </w:tc>
      </w:tr>
    </w:tbl>
    <w:p>
      <w:pPr>
        <w:pStyle w:val="Normal"/>
        <w:spacing w:before="60" w:after="200"/>
        <w:jc w:val="left"/>
        <w:rPr/>
      </w:pPr>
      <w:r>
        <w:rPr>
          <w:rFonts w:eastAsia="Arial" w:cs="Arial"/>
          <w:i/>
          <w:iCs/>
          <w:color w:val="5A5A5A"/>
          <w:sz w:val="18"/>
          <w:szCs w:val="18"/>
        </w:rPr>
        <w:t>Quelle: Excel-Planrechnung; Kennzahlen je Mitglied und je m² rechnerisch aus diesen Werten.</w:t>
      </w:r>
    </w:p>
    <w:p>
      <w:pPr>
        <w:pStyle w:val="Normal"/>
        <w:spacing w:lineRule="exact" w:line="276" w:before="0" w:after="120"/>
        <w:jc w:val="both"/>
        <w:rPr/>
      </w:pPr>
      <w:r>
        <w:rPr>
          <w:rFonts w:eastAsia="Arial" w:cs="Arial"/>
          <w:sz w:val="22"/>
          <w:szCs w:val="22"/>
        </w:rPr>
        <w:t>Im dritten Jahr erreicht der Umsatz 1.368.522 € netto, davon 81,9 % aus Mitgliedsbeiträgen; das entspricht 693 € je Quadratmeter Bruttofläche und 628 € je durchschnittlichem Mitglied. Der Branchenwert liegt bei 506 € Nettoumsatz je Mitglied und Jahr, für Einzelanlagen bei 616 € (rechnerisch aus DSSV Eckdaten 2026: 6,25 Mrd. € Umsatz, 12,36 Mio. Mitglieder; Einzelanlagen 2,65 Mrd. € und 4,30 Mio. Mitglieder). Der Planwert liegt wegen des Premium-Anteils, der Servicepauschale und der Nebenumsätze leicht über dem Wert der Einzelanlagen und ist damit ambitioniert, aber nicht außerhalb der Branche. Eine durchschnittliche Einzelanlage erzielt 631 T€ Umsatz mit 1.023 Mitgliedern (Quellen: Anhang I); No.1 plant mit rund der 1,6-fachen Fläche (1.975 m² gegenüber 1.255 m² Durchschnitt der Einzelanlagen, Eckdaten 2014 nach CoGAP) das 2,2-fache des Umsatzes und das 2,1-fache der Mitglieder (Ø Jahr 3). Die Kapazitätsgrenze von 2.200 Mitgliedern ist deshalb die kritische Planannahme; sie wird in Abschnitt 10.9 mit reduzierten Neuzugängen geprüft.</w:t>
      </w:r>
    </w:p>
    <w:p>
      <w:pPr>
        <w:pStyle w:val="Heading2"/>
        <w:keepNext w:val="true"/>
        <w:spacing w:before="280" w:after="120"/>
        <w:rPr/>
      </w:pPr>
      <w:bookmarkStart w:id="89" w:name="__RefHeading___Toc21279_3809407278"/>
      <w:bookmarkEnd w:id="89"/>
      <w:r>
        <w:rPr/>
        <w:t>10.5 Kostenplanung</w:t>
      </w:r>
    </w:p>
    <w:p>
      <w:pPr>
        <w:pStyle w:val="Normal"/>
        <w:spacing w:lineRule="exact" w:line="276" w:before="0" w:after="120"/>
        <w:jc w:val="both"/>
        <w:rPr/>
      </w:pPr>
      <w:r>
        <w:rPr>
          <w:rFonts w:eastAsia="Arial" w:cs="Arial"/>
          <w:sz w:val="22"/>
          <w:szCs w:val="22"/>
        </w:rPr>
        <w:t>Personal: Der Stellenplan (Kapitel 7.3) sieht zur Eröffnung 14 Beschäftigte vor: Geschäftsführung/Studioleitung (Gründer, 3.500 € brutto), stellvertretende Studioleitung mit Trainer-A-Lizenz (3.600 €), zwei Vollzeittrainer (je 3.000 €), zwei Trainer/Kursleiter und zwei Empfangskräfte in Teilzeit (1.650 € bzw. 1.550 €) sowie sechs Minijobs für Empfang am Abend und Wochenende und für die Reinigung (je 620 €). Ab dem 13. Monat kommt ein dritter Vollzeittrainer hinzu. Mit Arbeitgeberabgaben von 21,3 % (sozialversicherungspflichtig) und 31,17 % (Minijob) betragen die Personalkosten 28.533 € je Monat im ersten und 33.801 € im dritten Jahr (Gehaltssteigerung 2,5 % je Jahr). Die Personalkostenquote sinkt von 59,6 % im Anlaufjahr auf 29,6 % im dritten Jahr und liegt damit unter dem DSSV-Optimalwert von 32 % (DSSV Leitfaden Kostenmanagement 04/2022).</w:t>
      </w:r>
    </w:p>
    <w:p>
      <w:pPr>
        <w:pStyle w:val="Normal"/>
        <w:spacing w:lineRule="exact" w:line="276" w:before="0" w:after="120"/>
        <w:jc w:val="both"/>
        <w:rPr/>
      </w:pPr>
      <w:r>
        <w:rPr>
          <w:rFonts w:eastAsia="Arial" w:cs="Arial"/>
          <w:sz w:val="22"/>
          <w:szCs w:val="22"/>
        </w:rPr>
        <w:t>Raumkosten: Die Kaltmiete von 8,50 €/m² auf 1.975,40 m² Bruttofläche ergibt 16.791 € je Monat; hinzu kommen Betriebskosten von 2,00 €/m² (3.951 €) und Energie und Wasser von 4,00 €/m² (7.902 €), zusammen 28.643 € je Monat beziehungsweise 343.720 € im Jahr auf Preisbasis 2027. Der Ansatz von 6,00 €/m² für Nebenkosten und Energie liegt am oberen Rand der DSSV-Richtwerte (Betriebskosten 3,00 bis 3,50 €/m² und Strom ab 2,50 €/m², zusammen ab 5,50 €/m²; DSSV Leitfaden 04/2022) und über der Beraterspanne von 2,80 bis 4,20 €/m² für Energie (IN-COME 2020), weil Sauna, Dampfbad und eine Lüftungsanlage für 1.931 m² den Energiebedarf erhöhen; die GEG-Vergleichswerte für Fitnessstudios enthalten keinen Sauna-Zuschlag (Quellen: Anhang I). Miete und Nebenkosten sind mit 2,0 % je Jahr ab dem zweiten Jahr indexiert (Mietvertrag 10 Jahre, 3 mietfreie Ausbaumonate). Im ersten Jahr enthalten die Raumkosten von 393.105 € auch die zwei Vorlaufmonate mit Miete und Betriebskosten, die nach den drei mietfreien Ausbaumonaten anfallen (Monate −2 und −1); sie liegen deshalb über den Raumkosten des zweiten Jahres von 355.651 €, das zwölf Betriebsmonate mit indexierter Miete umfasst. Im dritten Jahr betragen sie 359.761 € einschließlich Gebäudeinstandhaltung von 4,00 €/m² und Jahr (7.902 €). Die Raumkostenquote von 26,3 % im dritten Jahr liegt über dem DSSV-Richtwert von maximal 22 %; das ist der Flächengröße und dem Wellnessbereich geschuldet und wird durch die niedrige Personalkostenquote ausgeglichen (DSSV-Kostenrichtwerte).</w:t>
      </w:r>
    </w:p>
    <w:p>
      <w:pPr>
        <w:pStyle w:val="Normal"/>
        <w:keepNext w:val="true"/>
        <w:spacing w:before="160" w:after="80"/>
        <w:jc w:val="left"/>
        <w:rPr/>
      </w:pPr>
      <w:r>
        <w:rPr>
          <w:rFonts w:eastAsia="Arial" w:cs="Arial"/>
          <w:b/>
          <w:bCs/>
          <w:sz w:val="20"/>
          <w:szCs w:val="20"/>
        </w:rPr>
        <w:t>Tabelle 10.8: Sachkosten je Monat (netto, EUR, Preisbasis Jahr 1) mit Begründung</w:t>
      </w:r>
    </w:p>
    <w:tbl>
      <w:tblPr>
        <w:tblW w:w="9638" w:type="dxa"/>
        <w:jc w:val="left"/>
        <w:tblInd w:w="0" w:type="dxa"/>
        <w:tblLayout w:type="fixed"/>
        <w:tblCellMar>
          <w:top w:w="40" w:type="dxa"/>
          <w:left w:w="70" w:type="dxa"/>
          <w:bottom w:w="40" w:type="dxa"/>
          <w:right w:w="70" w:type="dxa"/>
        </w:tblCellMar>
      </w:tblPr>
      <w:tblGrid>
        <w:gridCol w:w="3276"/>
        <w:gridCol w:w="1543"/>
        <w:gridCol w:w="4819"/>
      </w:tblGrid>
      <w:tr>
        <w:trPr>
          <w:tblHeader w:val="true"/>
        </w:trPr>
        <w:tc>
          <w:tcPr>
            <w:tcW w:w="327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Kostenart</w:t>
            </w:r>
          </w:p>
        </w:tc>
        <w:tc>
          <w:tcPr>
            <w:tcW w:w="154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Betrag je Monat</w:t>
            </w:r>
          </w:p>
        </w:tc>
        <w:tc>
          <w:tcPr>
            <w:tcW w:w="481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Begründung / Quelle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Marketing laufend</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4.600 €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Kapitel 6.4; Eröffnungsphase Monate 1–3 zusätzlich 6.000 €/Monat, Vorverkauf 35.000 € einmalig; DSSV-Richtwert Werbung 4–5 % vom Umsatz (Jahr 3: 55.200 € = 4,0 %)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Versicherungen (Haftpflicht, Inhalt, Betriebsunterbrechung, Elektronik, Glas)</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GymAccess 2026: 500–1.500 €/Monat für große Studios; DSSV-Richtwert Durchschnittsstudio 250–280 € (Quellen: Anhang I); nicht vorsteuerfähig</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 GVL, Rundfunkbeitrag</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GEMA-Tarif M-U III 5b 2026 für 2.000 m² ca. 199 €/Monat zzgl. 20 % GVL ≈ 239 €; Kurse auf lizenzierter Fläche ohne Zuschlag; DSSV-Richtwert 250–400 € (Quellen: Anhang I)</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Studiosoftware und Zutrittssystem</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450 €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Magicline-Pakete 189–699 €/Monat, Module ab 149 € (Quellen: Anhang I); Kapitel 3.7</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Zahlungsverkehr (SEPA-Lastschrift)</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0,8 % der Bruttobeiträge</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WHK 2026: 0,08–0,35 € je Buchung; DSSV-Richtwert Bankgebühren 0,2–0,3 %; Jahr 3: 11.735 €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Steuerberater, Buchhaltung, Jahresabschluss</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1.000 €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Steuerberater Beck 2026: Buchhaltung GmbH 600–1.200 €/Monat plus Jahresabschluss 3.500–7.000 €; DSSV 1,2–1,5 % vom Umsatz (Quellen: Anhang I)</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Reinigungsmaterial, Hygiene, Fremdreinigung Nassbereich</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ergänzend zu 2 Reinigungs-Minijobs im Stellenplan; DSSV-Richtwert Reinigung 2,00–3,00 €/m² (Quellen: Anhang I)</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Telekommunikation, IT, Internet</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Planannahme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Wartung Geräte (5 % des Gerätewerts je Jahr)</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2.597 €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5 % von 623.196 € = 31.160 €/Jahr; one-bear: Wartung ab 53 €, DGUV-Sichtprüfung ab 62 € je Gerät (Quellen: Anhang I)</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Instandhaltung Gebäude (4 €/m² und Jahr)</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658 €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7.902 €/Jahr; in Raumkosten enthalten</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Sonstiges (Berufsgenossenschaft, Umlagen, Büro, Gebühren, Kleinreparaturen)</w:t>
            </w:r>
          </w:p>
        </w:tc>
        <w:tc>
          <w:tcPr>
            <w:tcW w:w="154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1.500 €</w:t>
            </w:r>
          </w:p>
        </w:tc>
        <w:tc>
          <w:tcPr>
            <w:tcW w:w="481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Planannahme</w:t>
            </w:r>
          </w:p>
        </w:tc>
      </w:tr>
    </w:tbl>
    <w:p>
      <w:pPr>
        <w:pStyle w:val="Normal"/>
        <w:spacing w:before="60" w:after="200"/>
        <w:jc w:val="left"/>
        <w:rPr/>
      </w:pPr>
      <w:r>
        <w:rPr>
          <w:rFonts w:eastAsia="Arial" w:cs="Arial"/>
          <w:i/>
          <w:iCs/>
          <w:color w:val="5A5A5A"/>
          <w:sz w:val="18"/>
          <w:szCs w:val="18"/>
        </w:rPr>
        <w:t>Quelle: Excel-Planrechnung; Rechercheprotokoll (Anhang I; DSSV Leitfaden Kostenmanagement 04/2022, GEMA-Tarife 2026, GymAccess 2026, Steuerberater Beck 2026, one-bear, WHK 2026).</w:t>
      </w:r>
    </w:p>
    <w:p>
      <w:pPr>
        <w:pStyle w:val="Normal"/>
        <w:keepNext w:val="true"/>
        <w:spacing w:before="160" w:after="80"/>
        <w:jc w:val="left"/>
        <w:rPr/>
      </w:pPr>
      <w:r>
        <w:rPr>
          <w:rFonts w:eastAsia="Arial" w:cs="Arial"/>
          <w:b/>
          <w:bCs/>
          <w:sz w:val="20"/>
          <w:szCs w:val="20"/>
        </w:rPr>
        <w:t>Tabelle 10.9: Betriebskosten Jahr 3 nach Gruppen, Basisszenario (netto, EUR, ohne Abschreibung und Kapitaldienst)</w:t>
      </w:r>
    </w:p>
    <w:tbl>
      <w:tblPr>
        <w:tblW w:w="9638" w:type="dxa"/>
        <w:jc w:val="left"/>
        <w:tblInd w:w="0" w:type="dxa"/>
        <w:tblLayout w:type="fixed"/>
        <w:tblCellMar>
          <w:top w:w="40" w:type="dxa"/>
          <w:left w:w="70" w:type="dxa"/>
          <w:bottom w:w="40" w:type="dxa"/>
          <w:right w:w="70" w:type="dxa"/>
        </w:tblCellMar>
      </w:tblPr>
      <w:tblGrid>
        <w:gridCol w:w="4433"/>
        <w:gridCol w:w="1735"/>
        <w:gridCol w:w="1735"/>
        <w:gridCol w:w="1734"/>
      </w:tblGrid>
      <w:tr>
        <w:trPr>
          <w:tblHeader w:val="true"/>
        </w:trPr>
        <w:tc>
          <w:tcPr>
            <w:tcW w:w="443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Gruppe</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Betrag</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Anteil an Kosten</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Anteil am Umsatz</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405.609 €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41,8 %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29,6 %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Raumkosten (Miete, Betriebskosten, Energie, Instandhaltung)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359.761 €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37,1 %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26,3 %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Sonstige Sachkosten (Tabelle 10.8 ohne Marketing und Instandhaltung)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122.695 €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12,7 %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Marketing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55.200 €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5,7 %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4,0 %</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Wareneinsatz Getränke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26.297 €</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2,7 %</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1,9 %</w:t>
            </w:r>
          </w:p>
        </w:tc>
      </w:tr>
      <w:tr>
        <w:trPr/>
        <w:tc>
          <w:tcPr>
            <w:tcW w:w="443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 Betriebskosten Jahr 3</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969.562 €</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100,0 %</w:t>
            </w:r>
          </w:p>
        </w:tc>
        <w:tc>
          <w:tcPr>
            <w:tcW w:w="173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70,8 %</w:t>
            </w:r>
          </w:p>
        </w:tc>
      </w:tr>
    </w:tbl>
    <w:p>
      <w:pPr>
        <w:pStyle w:val="Normal"/>
        <w:spacing w:before="60" w:after="200"/>
        <w:jc w:val="left"/>
        <w:rPr/>
      </w:pPr>
      <w:r>
        <w:rPr>
          <w:rFonts w:eastAsia="Arial" w:cs="Arial"/>
          <w:i/>
          <w:iCs/>
          <w:color w:val="5A5A5A"/>
          <w:sz w:val="18"/>
          <w:szCs w:val="18"/>
        </w:rPr>
        <w:t>Quelle: Excel-Planrechnung: Miete 209.631 €, Betriebskosten 47.410 €, Energie 94.819 €, Instandhaltung 7.902 €, Versicherungen 10.800 €, GEMA/GVL 4.200 €, Software 5.400 €, Zahlungsverkehr 11.735 €, Steuerberater 12.000 €, Reinigung 26.400 €, Telekommunikation 3.000 €, Wartung 31.160 €, Sonstiges 18.000 €.</w:t>
      </w:r>
    </w:p>
    <w:p>
      <w:pPr>
        <w:pStyle w:val="Normal"/>
        <w:keepNext w:val="true"/>
        <w:spacing w:before="120" w:after="40"/>
        <w:jc w:val="center"/>
        <w:rPr/>
      </w:pPr>
      <w:r>
        <w:rPr/>
        <w:drawing>
          <wp:inline distT="0" distB="0" distL="0" distR="0">
            <wp:extent cx="5715000" cy="26955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715000" cy="2695575"/>
                    </a:xfrm>
                    <a:prstGeom prst="rect">
                      <a:avLst/>
                    </a:prstGeom>
                  </pic:spPr>
                </pic:pic>
              </a:graphicData>
            </a:graphic>
          </wp:inline>
        </w:drawing>
      </w:r>
    </w:p>
    <w:p>
      <w:pPr>
        <w:pStyle w:val="Normal"/>
        <w:spacing w:before="60" w:after="200"/>
        <w:jc w:val="left"/>
        <w:rPr/>
      </w:pPr>
      <w:r>
        <w:rPr>
          <w:rFonts w:eastAsia="Arial" w:cs="Arial"/>
          <w:i/>
          <w:iCs/>
          <w:color w:val="5A5A5A"/>
          <w:sz w:val="18"/>
          <w:szCs w:val="18"/>
        </w:rPr>
        <w:t>Abbildung 10.5: Betriebskosten Jahr 3 (970 T€) nach Kostenarten</w:t>
      </w:r>
    </w:p>
    <w:p>
      <w:pPr>
        <w:pStyle w:val="Normal"/>
        <w:spacing w:lineRule="exact" w:line="276" w:before="0" w:after="120"/>
        <w:jc w:val="both"/>
        <w:rPr/>
      </w:pPr>
      <w:r>
        <w:rPr>
          <w:rFonts w:eastAsia="Arial" w:cs="Arial"/>
          <w:sz w:val="22"/>
          <w:szCs w:val="22"/>
        </w:rPr>
        <w:t>Abschreibungen: Die Investitionen werden linear abgeschrieben, Geräte und Import-Nebenkosten (623.196 €) über 8 Jahre (77.900 € je Jahr), Ausbau, Sanitär, Planung und Unvorhergesehenes (1.163.957 €) über 10 Jahre (116.396 € je Jahr) und Sonstiges (32.000 €) über 5 Jahre (6.400 € je Jahr). Die Abschreibung beträgt in allen fünf Planjahren 200.695 €. Kaution und Gründungskosten werden nicht abgeschrieben. Eine degressive Abschreibung oder Sonderabschreibung würde das steuerliche Ergebnis der ersten Jahre weiter senken, ist im Plan aber nicht unterstellt [mit dem Steuerberater abzustimmen].</w:t>
      </w:r>
    </w:p>
    <w:p>
      <w:pPr>
        <w:pStyle w:val="Heading2"/>
        <w:keepNext w:val="true"/>
        <w:spacing w:before="280" w:after="120"/>
        <w:rPr/>
      </w:pPr>
      <w:bookmarkStart w:id="90" w:name="__RefHeading___Toc21281_3809407278"/>
      <w:bookmarkEnd w:id="90"/>
      <w:r>
        <w:rPr/>
        <w:t>10.6 Rentabilitätsvorschau</w:t>
      </w:r>
    </w:p>
    <w:p>
      <w:pPr>
        <w:pStyle w:val="Normal"/>
        <w:keepNext w:val="true"/>
        <w:spacing w:before="160" w:after="80"/>
        <w:jc w:val="left"/>
        <w:rPr/>
      </w:pPr>
      <w:r>
        <w:rPr>
          <w:rFonts w:eastAsia="Arial" w:cs="Arial"/>
          <w:b/>
          <w:bCs/>
          <w:sz w:val="20"/>
          <w:szCs w:val="20"/>
        </w:rPr>
        <w:t>Tabelle 10.10: Rentabilitätsvorschau Jahr 1 bis 5, Basisszenario (netto, EUR; Jahr 1 einschließlich Vorlauf April bis August 2027)</w:t>
      </w:r>
    </w:p>
    <w:tbl>
      <w:tblPr>
        <w:tblW w:w="9638" w:type="dxa"/>
        <w:jc w:val="left"/>
        <w:tblInd w:w="0" w:type="dxa"/>
        <w:tblLayout w:type="fixed"/>
        <w:tblCellMar>
          <w:top w:w="40" w:type="dxa"/>
          <w:left w:w="70" w:type="dxa"/>
          <w:bottom w:w="40" w:type="dxa"/>
          <w:right w:w="70" w:type="dxa"/>
        </w:tblCellMar>
      </w:tblPr>
      <w:tblGrid>
        <w:gridCol w:w="2409"/>
        <w:gridCol w:w="1446"/>
        <w:gridCol w:w="1445"/>
        <w:gridCol w:w="1446"/>
        <w:gridCol w:w="1446"/>
        <w:gridCol w:w="1445"/>
      </w:tblGrid>
      <w:tr>
        <w:trPr>
          <w:tblHeader w:val="true"/>
        </w:trPr>
        <w:tc>
          <w:tcPr>
            <w:tcW w:w="240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Position</w:t>
            </w:r>
          </w:p>
        </w:tc>
        <w:tc>
          <w:tcPr>
            <w:tcW w:w="144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1</w:t>
            </w:r>
          </w:p>
        </w:tc>
        <w:tc>
          <w:tcPr>
            <w:tcW w:w="144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2</w:t>
            </w:r>
          </w:p>
        </w:tc>
        <w:tc>
          <w:tcPr>
            <w:tcW w:w="144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3</w:t>
            </w:r>
          </w:p>
        </w:tc>
        <w:tc>
          <w:tcPr>
            <w:tcW w:w="144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4</w:t>
            </w:r>
          </w:p>
        </w:tc>
        <w:tc>
          <w:tcPr>
            <w:tcW w:w="144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5</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Umsatz</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622.361 €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1.101.585 €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1.368.522 €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1.403.873 €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1.427.024 €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Wareneinsatz</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11.590 €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21.232 €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26.297 €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26.622 €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26.622 €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Personalkosten</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371.144 €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395.716 €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405.609 €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415.749 €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426.143 €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Raumkosten</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393.105 €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355.651 €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359.761 €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363.954 €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368.231 €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Marketing</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108.200 €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Sonstige Sachkosten</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127.815 €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120.403 €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122.695 €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123.015 €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123.236 €</w:t>
            </w:r>
          </w:p>
        </w:tc>
      </w:tr>
      <w:tr>
        <w:trPr/>
        <w:tc>
          <w:tcPr>
            <w:tcW w:w="240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EBITDA</w:t>
            </w:r>
          </w:p>
        </w:tc>
        <w:tc>
          <w:tcPr>
            <w:tcW w:w="144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w:t>
            </w:r>
            <w:r>
              <w:rPr>
                <w:rFonts w:eastAsia="Arial" w:cs="Arial"/>
                <w:b/>
                <w:bCs/>
                <w:sz w:val="16"/>
                <w:szCs w:val="16"/>
              </w:rPr>
              <w:t>389.492 €</w:t>
            </w:r>
          </w:p>
        </w:tc>
        <w:tc>
          <w:tcPr>
            <w:tcW w:w="144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153.383 €</w:t>
            </w:r>
          </w:p>
        </w:tc>
        <w:tc>
          <w:tcPr>
            <w:tcW w:w="144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398.960 €</w:t>
            </w:r>
          </w:p>
        </w:tc>
        <w:tc>
          <w:tcPr>
            <w:tcW w:w="144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419.333 €</w:t>
            </w:r>
          </w:p>
        </w:tc>
        <w:tc>
          <w:tcPr>
            <w:tcW w:w="144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427.593 €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Abschreibungen</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EBIT</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590.187 €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47.312 €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198.265 €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218.638 €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226.898 €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Zinsen und MBG-Vergütung</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208.332 €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162.165 €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162.028 €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157.492 €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150.758 €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Ergebnis vor Steuern (EBT)</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798.519 €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209.477 €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36.237 €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61.146 €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76.140 €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Steuern</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0 €</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0 €</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0 €</w:t>
            </w:r>
          </w:p>
        </w:tc>
      </w:tr>
      <w:tr>
        <w:trPr/>
        <w:tc>
          <w:tcPr>
            <w:tcW w:w="240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Jahresergebnis</w:t>
            </w:r>
          </w:p>
        </w:tc>
        <w:tc>
          <w:tcPr>
            <w:tcW w:w="144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w:t>
            </w:r>
            <w:r>
              <w:rPr>
                <w:rFonts w:eastAsia="Arial" w:cs="Arial"/>
                <w:b/>
                <w:bCs/>
                <w:sz w:val="16"/>
                <w:szCs w:val="16"/>
              </w:rPr>
              <w:t>798.519 €</w:t>
            </w:r>
          </w:p>
        </w:tc>
        <w:tc>
          <w:tcPr>
            <w:tcW w:w="144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w:t>
            </w:r>
            <w:r>
              <w:rPr>
                <w:rFonts w:eastAsia="Arial" w:cs="Arial"/>
                <w:b/>
                <w:bCs/>
                <w:sz w:val="16"/>
                <w:szCs w:val="16"/>
              </w:rPr>
              <w:t>209.477 €</w:t>
            </w:r>
          </w:p>
        </w:tc>
        <w:tc>
          <w:tcPr>
            <w:tcW w:w="144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36.237 €</w:t>
            </w:r>
          </w:p>
        </w:tc>
        <w:tc>
          <w:tcPr>
            <w:tcW w:w="144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61.146 €</w:t>
            </w:r>
          </w:p>
        </w:tc>
        <w:tc>
          <w:tcPr>
            <w:tcW w:w="144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76.140 €</w:t>
            </w:r>
          </w:p>
        </w:tc>
      </w:tr>
      <w:tr>
        <w:trPr/>
        <w:tc>
          <w:tcPr>
            <w:tcW w:w="240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Mitglieder Jahresende</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1.429</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c>
          <w:tcPr>
            <w:tcW w:w="144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c>
          <w:tcPr>
            <w:tcW w:w="144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r>
    </w:tbl>
    <w:p>
      <w:pPr>
        <w:pStyle w:val="Normal"/>
        <w:spacing w:before="60" w:after="200"/>
        <w:jc w:val="left"/>
        <w:rPr/>
      </w:pPr>
      <w:r>
        <w:rPr>
          <w:rFonts w:eastAsia="Arial" w:cs="Arial"/>
          <w:i/>
          <w:iCs/>
          <w:color w:val="5A5A5A"/>
          <w:sz w:val="18"/>
          <w:szCs w:val="18"/>
        </w:rPr>
        <w:t>Quelle: Excel-Planrechnung. Vollständige Plan-GuV in Anhang D.</w:t>
      </w:r>
    </w:p>
    <w:p>
      <w:pPr>
        <w:pStyle w:val="Normal"/>
        <w:keepNext w:val="true"/>
        <w:spacing w:before="120" w:after="40"/>
        <w:jc w:val="center"/>
        <w:rPr/>
      </w:pPr>
      <w:r>
        <w:rPr/>
        <w:drawing>
          <wp:inline distT="0" distB="0" distL="0" distR="0">
            <wp:extent cx="5715000" cy="26955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715000" cy="2695575"/>
                    </a:xfrm>
                    <a:prstGeom prst="rect">
                      <a:avLst/>
                    </a:prstGeom>
                  </pic:spPr>
                </pic:pic>
              </a:graphicData>
            </a:graphic>
          </wp:inline>
        </w:drawing>
      </w:r>
    </w:p>
    <w:p>
      <w:pPr>
        <w:pStyle w:val="Normal"/>
        <w:spacing w:before="60" w:after="200"/>
        <w:jc w:val="left"/>
        <w:rPr/>
      </w:pPr>
      <w:r>
        <w:rPr>
          <w:rFonts w:eastAsia="Arial" w:cs="Arial"/>
          <w:i/>
          <w:iCs/>
          <w:color w:val="5A5A5A"/>
          <w:sz w:val="18"/>
          <w:szCs w:val="18"/>
        </w:rPr>
        <w:t>Abbildung 10.6: Rentabilitätsvorschau Jahr 1 bis 5 (Basis) mit Kapitaldienstfähigkeit</w:t>
      </w:r>
    </w:p>
    <w:p>
      <w:pPr>
        <w:pStyle w:val="Normal"/>
        <w:spacing w:lineRule="exact" w:line="276" w:before="0" w:after="120"/>
        <w:jc w:val="both"/>
        <w:rPr/>
      </w:pPr>
      <w:r>
        <w:rPr>
          <w:rFonts w:eastAsia="Arial" w:cs="Arial"/>
          <w:sz w:val="22"/>
          <w:szCs w:val="22"/>
        </w:rPr>
        <w:t>Das erste Jahr schließt mit einem Verlust von 798.519 €. Darin enthalten sind der fünfmonatige Vorlauf (Personal ab Juni 2027, Miete nach den mietfreien Monaten, Vorverkaufsmarketing von 35.000 €, Zinsen ab Auszahlung der Darlehen), die Eröffnungswerbung und vor allem der Mitgliederaufbau: Der Umsatz steigt von 25.193 € im ersten auf 73.752 € im zwölften Monat, während die Betriebskosten von Beginn an bei 72.834 € bis 78.694 € je Monat liegen. Die Abschreibung von 200.695 € und die Zinsen von 208.332 € (einschließlich der Vorlaufmonate) verstärken den Anlaufverlust. Die Raumkosten des ersten Jahres (393.105 €) liegen über denen des zweiten Jahres (355.651 €), weil das erste Planjahr neben zwölf Betriebsmonaten die zwei Vorlaufmonate mit Miete und Betriebskosten nach Ablauf der drei mietfreien Ausbaumonate enthält (Abschnitt 10.5). Das zweite Jahr erreicht ein positives EBITDA von 153.383 €, bleibt nach Abschreibung und Zinsen aber mit 209.477 € negativ. Ab dem dritten Jahr ist das Jahresergebnis positiv (36.237 €; Jahr 5: 76.140 €). Die EBITDA-Marge beträgt im dritten Jahr 29,2 % und im fünften Jahr 30,0 %.</w:t>
      </w:r>
    </w:p>
    <w:p>
      <w:pPr>
        <w:pStyle w:val="Normal"/>
        <w:spacing w:lineRule="exact" w:line="276" w:before="0" w:after="120"/>
        <w:jc w:val="both"/>
        <w:rPr/>
      </w:pPr>
      <w:r>
        <w:rPr>
          <w:rFonts w:eastAsia="Arial" w:cs="Arial"/>
          <w:sz w:val="22"/>
          <w:szCs w:val="22"/>
        </w:rPr>
        <w:t>Break-even: Auf Monatsbasis ist das EBITDA erstmals im 12. Betriebsmonat (August 2028) positiv; der Cashflow nach Kapitaldienst wird ab dem 19. Monat (März 2029) positiv. Je Mitglied und Monat verbleibt ein Deckungsbeitrag von 49,40 € netto (Beitrag, Servicepauschale und Nebenumsätze abzüglich Wareneinsatz und Zahlungsentgelten). Bezogen auf die Fixkosten des dritten Jahres sind 1.572 Mitglieder nötig, um die Betriebskosten zu decken, und 2.018 Mitglieder, um zusätzlich den vollen Kapitaldienst nach Ende der tilgungsfreien Jahre des L-Bank-Darlehens (22.013 € je Monat im 36. Monat) zu tragen. Der Zielbestand von 2.200 Mitgliedern liegt 9,0 % über dem Break-even mit Kapitaldienst; im Basisszenario wird die Schwelle von 2.018 Mitgliedern im 24. Monat überschritten.</w:t>
      </w:r>
    </w:p>
    <w:p>
      <w:pPr>
        <w:pStyle w:val="Normal"/>
        <w:spacing w:lineRule="exact" w:line="276" w:before="0" w:after="120"/>
        <w:jc w:val="both"/>
        <w:rPr/>
      </w:pPr>
      <w:r>
        <w:rPr>
          <w:rFonts w:eastAsia="Arial" w:cs="Arial"/>
          <w:sz w:val="22"/>
          <w:szCs w:val="22"/>
        </w:rPr>
        <w:t>Steuern: Der kombinierte Steuersatz der GmbH beträgt 29,47 % (Körperschaftsteuer 15 % zuzüglich Solidaritätszuschlag 5,5 % darauf sowie Gewerbesteuer mit Messzahl 3,5 % und Hebesatz 390 % als Planannahme; Friedrichshafen 350 %, Stuttgart 430 %, Kapitel 8.9). In den fünf Planjahren fallen keine Ertragsteuern an, weil der Verlustvortrag aus den ersten beiden Jahren (1.007.996 € zu Beginn des dritten Jahres) mit den Gewinnen verrechnet wird; zum Ende des fünften Jahres verbleibt ein Verlustvortrag von 834.473 €. Die Verrechnung ist im Rahmen der Mindestbesteuerung möglich, da die Jahresgewinne deutlich unter dem Sockelbetrag liegen [vom Steuerberater zu bestätigen].</w:t>
      </w:r>
    </w:p>
    <w:p>
      <w:pPr>
        <w:pStyle w:val="Heading2"/>
        <w:keepNext w:val="true"/>
        <w:spacing w:before="280" w:after="120"/>
        <w:rPr/>
      </w:pPr>
      <w:bookmarkStart w:id="91" w:name="__RefHeading___Toc21283_3809407278"/>
      <w:bookmarkEnd w:id="91"/>
      <w:r>
        <w:rPr/>
        <w:t>10.7 Liquiditätsplanung</w:t>
      </w:r>
    </w:p>
    <w:p>
      <w:pPr>
        <w:pStyle w:val="Normal"/>
        <w:spacing w:lineRule="exact" w:line="276" w:before="0" w:after="120"/>
        <w:jc w:val="both"/>
        <w:rPr/>
      </w:pPr>
      <w:r>
        <w:rPr>
          <w:rFonts w:eastAsia="Arial" w:cs="Arial"/>
          <w:sz w:val="22"/>
          <w:szCs w:val="22"/>
        </w:rPr>
        <w:t>Die Liquiditätsplanung bildet alle Zahlungsströme brutto im Monatsraster ab: Einzahlungen aus Beiträgen und Nebenumsätzen einschließlich Umsatzsteuer, Auszahlungen für Investitionen, Betriebskosten und Kapitaldienst, Umsatzsteuer-Zahllast bzw. -Erstattung mit einem Monat Verzögerung sowie Eigenkapital- und Darlehenszuflüsse. Die vollständige Tabelle für die Monate −5 bis 36 steht in Anhang C (Tabellen C.1 bis C.4); Abbildung 10.7 zeigt den Kassenbestand aller drei Szenarien über 60 Monate.</w:t>
      </w:r>
    </w:p>
    <w:p>
      <w:pPr>
        <w:pStyle w:val="Normal"/>
        <w:keepNext w:val="true"/>
        <w:spacing w:before="120" w:after="40"/>
        <w:jc w:val="center"/>
        <w:rPr/>
      </w:pPr>
      <w:r>
        <w:rPr/>
        <w:drawing>
          <wp:inline distT="0" distB="0" distL="0" distR="0">
            <wp:extent cx="5715000" cy="26955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715000" cy="2695575"/>
                    </a:xfrm>
                    <a:prstGeom prst="rect">
                      <a:avLst/>
                    </a:prstGeom>
                  </pic:spPr>
                </pic:pic>
              </a:graphicData>
            </a:graphic>
          </wp:inline>
        </w:drawing>
      </w:r>
    </w:p>
    <w:p>
      <w:pPr>
        <w:pStyle w:val="Normal"/>
        <w:spacing w:before="60" w:after="200"/>
        <w:jc w:val="left"/>
        <w:rPr/>
      </w:pPr>
      <w:r>
        <w:rPr>
          <w:rFonts w:eastAsia="Arial" w:cs="Arial"/>
          <w:i/>
          <w:iCs/>
          <w:color w:val="5A5A5A"/>
          <w:sz w:val="18"/>
          <w:szCs w:val="18"/>
        </w:rPr>
        <w:t>Abbildung 10.7: Kassenbestand je Monat mit Anlaufreserve 740.000 € (24 Monate Deckung)</w:t>
      </w:r>
    </w:p>
    <w:p>
      <w:pPr>
        <w:pStyle w:val="Normal"/>
        <w:keepNext w:val="true"/>
        <w:spacing w:before="160" w:after="80"/>
        <w:jc w:val="left"/>
        <w:rPr/>
      </w:pPr>
      <w:r>
        <w:rPr>
          <w:rFonts w:eastAsia="Arial" w:cs="Arial"/>
          <w:b/>
          <w:bCs/>
          <w:sz w:val="20"/>
          <w:szCs w:val="20"/>
        </w:rPr>
        <w:t>Tabelle 10.11: Kassenbestand am Monatsende, Basisszenario (EUR, ausgewählte Monate)</w:t>
      </w:r>
    </w:p>
    <w:tbl>
      <w:tblPr>
        <w:tblW w:w="9638" w:type="dxa"/>
        <w:jc w:val="left"/>
        <w:tblInd w:w="0" w:type="dxa"/>
        <w:tblLayout w:type="fixed"/>
        <w:tblCellMar>
          <w:top w:w="40" w:type="dxa"/>
          <w:left w:w="70" w:type="dxa"/>
          <w:bottom w:w="40" w:type="dxa"/>
          <w:right w:w="70" w:type="dxa"/>
        </w:tblCellMar>
      </w:tblPr>
      <w:tblGrid>
        <w:gridCol w:w="2120"/>
        <w:gridCol w:w="2120"/>
        <w:gridCol w:w="5398"/>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Monat</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Kassenbestand</w:t>
            </w:r>
          </w:p>
        </w:tc>
        <w:tc>
          <w:tcPr>
            <w:tcW w:w="539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Ereignis</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5 (April 2027)</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278.223 €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Eigenkapital 150.000 € und MBG 250.000 € eingezahlt; Kaution, Gründung, erste Planung bezahlt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4 (Mai 2027)</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438.446 €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KfW 077 ausgezahlt (500.000 €); erste Ausbaurate</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3 (Juni 2027)</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1.872.746 €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L-Bank-Darlehen ausgezahlt (1.752.583 €); Höchststand der Kasse</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1 (August 2027)</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411.699 €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und letzte Ausbaurate bezahlt, Vorsteuer noch offen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(September 2027)</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513.500 €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Eröffnung; Vorsteuererstattung des Vormonats eingegangen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12</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155.395 €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Ende Jahr 1</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(Februar 2029)</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107.975 €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Tiefststand der Kasse (Minimum)</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24</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152.514 €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Ende Jahr 2, Anlaufphase abgeschlossen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36</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365.344 €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Ende Jahr 3</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60</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681.759 €</w:t>
            </w:r>
          </w:p>
        </w:tc>
        <w:tc>
          <w:tcPr>
            <w:tcW w:w="5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Ende Jahr 5</w:t>
            </w:r>
          </w:p>
        </w:tc>
      </w:tr>
    </w:tbl>
    <w:p>
      <w:pPr>
        <w:pStyle w:val="Normal"/>
        <w:spacing w:before="60" w:after="200"/>
        <w:jc w:val="left"/>
        <w:rPr/>
      </w:pPr>
      <w:r>
        <w:rPr>
          <w:rFonts w:eastAsia="Arial" w:cs="Arial"/>
          <w:i/>
          <w:iCs/>
          <w:color w:val="5A5A5A"/>
          <w:sz w:val="18"/>
          <w:szCs w:val="18"/>
        </w:rPr>
        <w:t>Quelle: Excel-Planrechnung.</w:t>
      </w:r>
    </w:p>
    <w:p>
      <w:pPr>
        <w:pStyle w:val="Normal"/>
        <w:spacing w:lineRule="exact" w:line="276" w:before="0" w:after="120"/>
        <w:jc w:val="both"/>
        <w:rPr/>
      </w:pPr>
      <w:r>
        <w:rPr>
          <w:rFonts w:eastAsia="Arial" w:cs="Arial"/>
          <w:sz w:val="22"/>
          <w:szCs w:val="22"/>
        </w:rPr>
        <w:t>Der Kassenbestand sinkt nach der Eröffnung von 513.500 € monatlich, weil die Betriebskosten und der Kapitaldienst den Umsatz der Anlaufphase übersteigen, und erreicht im 18. Betriebsmonat sein Minimum von 107.975 €. Danach steigt er wieder und erreicht 365.344 € am Ende des dritten und 681.759 € am Ende des fünften Jahres. Das Minimum bleibt positiv, weil der Reserve-Logik ein Sicherheitspuffer zugrunde liegt: Der kumulierte Fehlbetrag aus Betrieb und Kapitaldienst beträgt im 18. Monat höchstens 640.858 €; die Anlaufreserve von 740.000 € übersteigt ihn um rund 99.142 € und hält zusätzlich den Vorsteuer- und Zahlungsrhythmus aus. Der Kassentiefststand ist zugleich die Frühwarnschwelle: Unterschreitet der Kassenbestand die Planlinie um mehr als den Puffer, greift der Handlungsplan aus Abschnitt 10.9.</w:t>
      </w:r>
    </w:p>
    <w:p>
      <w:pPr>
        <w:pStyle w:val="Normal"/>
        <w:spacing w:lineRule="exact" w:line="276" w:before="0" w:after="120"/>
        <w:jc w:val="both"/>
        <w:rPr/>
      </w:pPr>
      <w:r>
        <w:rPr>
          <w:rFonts w:eastAsia="Arial" w:cs="Arial"/>
          <w:sz w:val="22"/>
          <w:szCs w:val="22"/>
        </w:rPr>
        <w:t>Umsatzsteuer: Auf die Investitionen entfällt Vorsteuer von 340.941 €, die bei Lieferung im Monat −1 den höchsten offenen Betrag von 366.018 € erzeugt und im Folgemonat erstattet wird. Im laufenden Betrieb entsteht aus den Bruttobeiträgen eine monatliche Zahllast, die im Folgemonat abgeführt wird; die Vorsteuer aus Miete, Nebenkosten, Sachkosten und Wartung mindert sie. Versicherungen und Zahlungsentgelte sind nicht vorsteuerfähig. Als Sicherheitslinie für Zahlungsspitzen und eine verzögerte Vorsteuererstattung dient der Kontokorrentrahmen von 200.000 € zu 9,0 % p. a.; im Basisszenario wird er in keinem Monat beansprucht. Für die Vorsteuererstattung des Investitionsmonats wird eine Dauerfristverlängerung nicht beantragt, damit die Erstattung nicht verzögert wird [mit dem Steuerberater abzustimmen].</w:t>
      </w:r>
    </w:p>
    <w:p>
      <w:pPr>
        <w:pStyle w:val="Heading2"/>
        <w:keepNext w:val="true"/>
        <w:spacing w:before="280" w:after="120"/>
        <w:rPr/>
      </w:pPr>
      <w:bookmarkStart w:id="92" w:name="__RefHeading___Toc21285_3809407278"/>
      <w:bookmarkEnd w:id="92"/>
      <w:r>
        <w:rPr/>
        <w:t>10.8 Kapitaldienstfähigkeit</w:t>
      </w:r>
    </w:p>
    <w:p>
      <w:pPr>
        <w:pStyle w:val="Normal"/>
        <w:spacing w:lineRule="exact" w:line="276" w:before="0" w:after="120"/>
        <w:jc w:val="both"/>
        <w:rPr/>
      </w:pPr>
      <w:r>
        <w:rPr>
          <w:rFonts w:eastAsia="Arial" w:cs="Arial"/>
          <w:sz w:val="22"/>
          <w:szCs w:val="22"/>
        </w:rPr>
        <w:t>Die Kapitaldienstfähigkeit ist das Kernstück jeder Kreditbeurteilung (IHK Stuttgart). Die Kapitaldienstdeckung (DSCR, Debt Service Coverage Ratio) ist hier definiert als EBITDA abzüglich Ertragsteuern, geteilt durch den Kapitaldienst des Jahres (Zinsen, MBG-Vergütung und Tilgung). Da in den Planjahren keine Ertragsteuern anfallen und die GmbH keine Privatentnahmen kennt (die Geschäftsführervergütung des Gründers ist in den Personalkosten enthalten), entspricht der Zähler dem EBITDA. Der Cashflow nach Kapitaldienst ist die Differenz aus EBITDA, Steuern und Kapitaldienst und zeigt, welcher Betrag für Ersatz- und Erweiterungsinvestitionen, die Rückführung der MBG-Beteiligung und den Aufbau von Rücklagen verbleibt.</w:t>
      </w:r>
    </w:p>
    <w:p>
      <w:pPr>
        <w:pStyle w:val="Normal"/>
        <w:keepNext w:val="true"/>
        <w:spacing w:before="160" w:after="80"/>
        <w:jc w:val="left"/>
        <w:rPr/>
      </w:pPr>
      <w:r>
        <w:rPr>
          <w:rFonts w:eastAsia="Arial" w:cs="Arial"/>
          <w:b/>
          <w:bCs/>
          <w:sz w:val="20"/>
          <w:szCs w:val="20"/>
        </w:rPr>
        <w:t>Tabelle 10.12: Kapitaldienstfähigkeit Jahr 1 bis 5, Basisszenario (netto, EUR)</w:t>
      </w:r>
    </w:p>
    <w:tbl>
      <w:tblPr>
        <w:tblW w:w="9638" w:type="dxa"/>
        <w:jc w:val="left"/>
        <w:tblInd w:w="0" w:type="dxa"/>
        <w:tblLayout w:type="fixed"/>
        <w:tblCellMar>
          <w:top w:w="40" w:type="dxa"/>
          <w:left w:w="70" w:type="dxa"/>
          <w:bottom w:w="40" w:type="dxa"/>
          <w:right w:w="70" w:type="dxa"/>
        </w:tblCellMar>
      </w:tblPr>
      <w:tblGrid>
        <w:gridCol w:w="2891"/>
        <w:gridCol w:w="1349"/>
        <w:gridCol w:w="1350"/>
        <w:gridCol w:w="1349"/>
        <w:gridCol w:w="1349"/>
        <w:gridCol w:w="1349"/>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Position</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1</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2</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3</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4</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5</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EBITDA</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w:t>
            </w:r>
            <w:r>
              <w:rPr>
                <w:rFonts w:eastAsia="Arial" w:cs="Arial"/>
                <w:b/>
                <w:bCs/>
                <w:sz w:val="16"/>
                <w:szCs w:val="16"/>
              </w:rPr>
              <w:t>389.492 €</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153.383 €</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398.960 €</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419.333 €</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427.593 €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Zinsen und MBG-Vergütung</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208.332 €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162.165 €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162.028 €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157.492 €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150.758 €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Tilgung</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25.773 €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103.093 €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119.760 €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Kapitaldienst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208.332 €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162.165 €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187.801 €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260.585 €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270.518 €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DSCR (EBITDA ÷ Kapitaldienst)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1,87</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0,95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1,58</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Cashflow nach Kapitaldienst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597.824 €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8.782 €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211.159 €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158.748 €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157.075 €</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Kapitaldienst in % vom Umsatz</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33,5 %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14,7 %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13,7 %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18,6 %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19,0 %</w:t>
            </w:r>
          </w:p>
        </w:tc>
      </w:tr>
    </w:tbl>
    <w:p>
      <w:pPr>
        <w:pStyle w:val="Normal"/>
        <w:spacing w:before="60" w:after="200"/>
        <w:jc w:val="left"/>
        <w:rPr/>
      </w:pPr>
      <w:r>
        <w:rPr>
          <w:rFonts w:eastAsia="Arial" w:cs="Arial"/>
          <w:i/>
          <w:iCs/>
          <w:color w:val="5A5A5A"/>
          <w:sz w:val="18"/>
          <w:szCs w:val="18"/>
        </w:rPr>
        <w:t>Quelle: Excel-Planrechnung (Plan-GuV); Jahr 1 einschließlich Vorlaufzinsen.</w:t>
      </w:r>
    </w:p>
    <w:p>
      <w:pPr>
        <w:pStyle w:val="Normal"/>
        <w:spacing w:lineRule="exact" w:line="276" w:before="0" w:after="120"/>
        <w:jc w:val="both"/>
        <w:rPr/>
      </w:pPr>
      <w:r>
        <w:rPr>
          <w:rFonts w:eastAsia="Arial" w:cs="Arial"/>
          <w:sz w:val="22"/>
          <w:szCs w:val="22"/>
        </w:rPr>
        <w:t>Im ersten Jahr ist der Kapitaldienst von 208.332 € planmäßig nicht aus dem Betrieb gedeckt (DSCR −1,87); er wird aus der Anlaufreserve bezahlt, die genau dafür im Kapitalbedarf enthalten ist. Im zweiten Jahr deckt das EBITDA den Kapitaldienst nahezu (DSCR 0,95, Cashflow nach Kapitaldienst −8.782 €). Ab dem dritten Jahr liegt die Deckung bei 2,12 und bleibt mit 1,61 im vierten und 1,58 im fünften Jahr auch nach Einsetzen der Tilgungen von L-Bank (ab Monat 34) und KfW 077 (ab Monat 57) über der im Plan als Warnschwelle verwendeten Größenordnung von 1,2 (Tabelle 10.16); die verbindliche Mindestdeckung legt die Hausbank im Rahmen ihres Ratings fest [mit der Hausbank abzustimmen]. Der Cashflow nach Kapitaldienst von 211.159 € (Jahr 3) bis 157.075 € (Jahr 5) reicht aus, um bis zum zehnten Jahr die MBG-Rückzahlung von 250.000 € anzusparen und Ersatzinvestitionen in Geräte zu finanzieren. Der Kapitaldienst beansprucht im dritten Jahr 13,7 % des Umsatzes und damit mehr als den DSSV-Richtwert von 6 % (Quellen: Anhang I); das ist Folge der vollständigen Fremdfinanzierung eines Neubauausbaus und der Grund, warum die Eigenkapitalquote und die Bürgschaften für die Bank entscheidend sind. Der Kapitaldienst nach Darlehensjahren (Tabelle 10.5) zeigt, dass der Kapitaldienst erst im sechsten Jahr mit rund 302.000 € sein Maximum vor der MBG-Rückzahlung erreicht; bezogen auf das EBITDA des fünften Jahres (427.593 €) entspricht das einer Deckung von 1,42.</w:t>
      </w:r>
    </w:p>
    <w:p>
      <w:pPr>
        <w:pStyle w:val="Heading2"/>
        <w:keepNext w:val="true"/>
        <w:spacing w:before="280" w:after="120"/>
        <w:rPr/>
      </w:pPr>
      <w:bookmarkStart w:id="93" w:name="__RefHeading___Toc21287_3809407278"/>
      <w:bookmarkEnd w:id="93"/>
      <w:r>
        <w:rPr/>
        <w:t>10.9 Szenarien und Sensitivitäten</w:t>
      </w:r>
    </w:p>
    <w:p>
      <w:pPr>
        <w:pStyle w:val="Normal"/>
        <w:spacing w:lineRule="exact" w:line="276" w:before="0" w:after="120"/>
        <w:jc w:val="both"/>
        <w:rPr/>
      </w:pPr>
      <w:r>
        <w:rPr>
          <w:rFonts w:eastAsia="Arial" w:cs="Arial"/>
          <w:sz w:val="22"/>
          <w:szCs w:val="22"/>
        </w:rPr>
        <w:t>Das Modell rechnet drei Szenarien mit identischer Investition und Finanzierung, die sich nur in den Nachfrageannahmen unterscheiden: Neuzugänge, Kündigungsquote und Beitragsniveau. Das pessimistische Szenario unterstellt 30 % weniger Neuzugänge, eine Kündigungsquote von 2,8 % je Monat und ein um 5 % niedrigeres Beitragsniveau gleichzeitig; das optimistische Szenario 20 % mehr Neuzugänge, 1,8 % Kündigungen und 3 % höhere Beiträge.</w:t>
      </w:r>
    </w:p>
    <w:p>
      <w:pPr>
        <w:pStyle w:val="Normal"/>
        <w:keepNext w:val="true"/>
        <w:spacing w:before="160" w:after="80"/>
        <w:jc w:val="left"/>
        <w:rPr/>
      </w:pPr>
      <w:r>
        <w:rPr>
          <w:rFonts w:eastAsia="Arial" w:cs="Arial"/>
          <w:b/>
          <w:bCs/>
          <w:sz w:val="20"/>
          <w:szCs w:val="20"/>
        </w:rPr>
        <w:t>Tabelle 10.13: Szenarienvergleich (netto; Reserve im Finanzierungsplan jeweils 740.000 €)</w:t>
      </w:r>
    </w:p>
    <w:tbl>
      <w:tblPr>
        <w:tblW w:w="9638" w:type="dxa"/>
        <w:jc w:val="left"/>
        <w:tblInd w:w="0" w:type="dxa"/>
        <w:tblLayout w:type="fixed"/>
        <w:tblCellMar>
          <w:top w:w="40" w:type="dxa"/>
          <w:left w:w="70" w:type="dxa"/>
          <w:bottom w:w="40" w:type="dxa"/>
          <w:right w:w="70" w:type="dxa"/>
        </w:tblCellMar>
      </w:tblPr>
      <w:tblGrid>
        <w:gridCol w:w="3854"/>
        <w:gridCol w:w="1928"/>
        <w:gridCol w:w="1928"/>
        <w:gridCol w:w="1927"/>
      </w:tblGrid>
      <w:tr>
        <w:trPr>
          <w:tblHeader w:val="true"/>
        </w:trPr>
        <w:tc>
          <w:tcPr>
            <w:tcW w:w="385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Kennzahl</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Pessimistisch</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Basis</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Optimistisch</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Neuzugänge (Faktor)</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0,7</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Kündigungsquote je Monat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1,8 %</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Beitragsniveau (Faktor)</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0,95</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 Monat 12 / 24 / 36</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959 / 1.332 / 1.525</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1.429 / 2.053 / 2.200</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1.763 / 2.200 / 2.200</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Umsatz Jahr 1 / 2 / 3 (T€)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409 / 698 / 872</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622 / 1.102 / 1.369</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777 / 1.334 / 1.412</w:t>
            </w:r>
          </w:p>
        </w:tc>
      </w:tr>
      <w:tr>
        <w:trPr/>
        <w:tc>
          <w:tcPr>
            <w:tcW w:w="385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EBITDA Jahr 1 / 2 / 3 (T€)</w:t>
            </w:r>
          </w:p>
        </w:tc>
        <w:tc>
          <w:tcPr>
            <w:tcW w:w="192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w:t>
            </w:r>
            <w:r>
              <w:rPr>
                <w:rFonts w:eastAsia="Arial" w:cs="Arial"/>
                <w:b/>
                <w:bCs/>
                <w:sz w:val="18"/>
                <w:szCs w:val="18"/>
              </w:rPr>
              <w:t>598 / −239 / −85</w:t>
            </w:r>
          </w:p>
        </w:tc>
        <w:tc>
          <w:tcPr>
            <w:tcW w:w="192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w:t>
            </w:r>
            <w:r>
              <w:rPr>
                <w:rFonts w:eastAsia="Arial" w:cs="Arial"/>
                <w:b/>
                <w:bCs/>
                <w:sz w:val="18"/>
                <w:szCs w:val="18"/>
              </w:rPr>
              <w:t>389 / 153 / 399</w:t>
            </w:r>
          </w:p>
        </w:tc>
        <w:tc>
          <w:tcPr>
            <w:tcW w:w="192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w:t>
            </w:r>
            <w:r>
              <w:rPr>
                <w:rFonts w:eastAsia="Arial" w:cs="Arial"/>
                <w:b/>
                <w:bCs/>
                <w:sz w:val="18"/>
                <w:szCs w:val="18"/>
              </w:rPr>
              <w:t>239 / 380 / 442</w:t>
            </w:r>
          </w:p>
        </w:tc>
      </w:tr>
      <w:tr>
        <w:trPr/>
        <w:tc>
          <w:tcPr>
            <w:tcW w:w="385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Jahresergebnis Jahr 3</w:t>
            </w:r>
          </w:p>
        </w:tc>
        <w:tc>
          <w:tcPr>
            <w:tcW w:w="192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447.281 €</w:t>
            </w:r>
          </w:p>
        </w:tc>
        <w:tc>
          <w:tcPr>
            <w:tcW w:w="192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36.237 €</w:t>
            </w:r>
          </w:p>
        </w:tc>
        <w:tc>
          <w:tcPr>
            <w:tcW w:w="192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79.169 €</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DSCR Jahr 3 / Jahr 4</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0,45 / −0,01</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2,12 / 1,61</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2,35 / 1,73</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Reservebedarf 24 Monate (inkl. 15 % Puffer)</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1.380.094 €</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736.987 €</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512.557 €</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Kassenminimum (Monat)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w:t>
            </w:r>
            <w:r>
              <w:rPr>
                <w:rFonts w:eastAsia="Arial" w:cs="Arial"/>
                <w:b w:val="false"/>
                <w:bCs w:val="false"/>
                <w:sz w:val="18"/>
                <w:szCs w:val="18"/>
              </w:rPr>
              <w:t>1.206.153 € (Monat 60)</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107.975 € (Monat 18)</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278.223 € (Monat −5)</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Break-even EBITDA (Monat)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43</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Break-even Cashflow nach Kapitaldienst (Monat)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nicht in 60 Monaten</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w:t>
            </w:r>
          </w:p>
        </w:tc>
      </w:tr>
      <w:tr>
        <w:trPr/>
        <w:tc>
          <w:tcPr>
            <w:tcW w:w="385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Break-even-Mitglieder mit Kapitaldienst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2.107</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2.018</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1.968</w:t>
            </w:r>
          </w:p>
        </w:tc>
      </w:tr>
    </w:tbl>
    <w:p>
      <w:pPr>
        <w:pStyle w:val="Normal"/>
        <w:spacing w:before="60" w:after="200"/>
        <w:jc w:val="left"/>
        <w:rPr/>
      </w:pPr>
      <w:r>
        <w:rPr>
          <w:rFonts w:eastAsia="Arial" w:cs="Arial"/>
          <w:i/>
          <w:iCs/>
          <w:color w:val="5A5A5A"/>
          <w:sz w:val="18"/>
          <w:szCs w:val="18"/>
        </w:rPr>
        <w:t>Quelle: Excel-Planrechnung.</w:t>
      </w:r>
    </w:p>
    <w:p>
      <w:pPr>
        <w:pStyle w:val="Normal"/>
        <w:spacing w:lineRule="exact" w:line="276" w:before="0" w:after="120"/>
        <w:jc w:val="both"/>
        <w:rPr/>
      </w:pPr>
      <w:r>
        <w:rPr>
          <w:rFonts w:eastAsia="Arial" w:cs="Arial"/>
          <w:sz w:val="22"/>
          <w:szCs w:val="22"/>
        </w:rPr>
        <w:t>Das optimistische Szenario erreicht die Kapazitätsgrenze bereits im zweiten Jahr, benötigt nur 512.557 € Reserve und ist ab dem zweiten Jahr profitabel. Das pessimistische Szenario ist ohne Gegenmaßnahmen nicht tragfähig: Mit 1.332 Mitgliedern nach 24 Monaten bleibt das EBITDA bis ins dritte Jahr negativ, der Reservebedarf steigt auf 1.380.094 €, die Kasse wird trotz der Reserve von 740.000 € negativ und der Kapitaldienst kann in keinem Planjahr aus dem Betrieb gedeckt werden (DSCR Jahr 4 −0,01). Für diesen Verlauf sind nachfolgend die Gegenmaßnahmen und ihre Grenzen dargestellt.</w:t>
      </w:r>
    </w:p>
    <w:p>
      <w:pPr>
        <w:pStyle w:val="Normal"/>
        <w:spacing w:lineRule="exact" w:line="276" w:before="0" w:after="120"/>
        <w:jc w:val="both"/>
        <w:rPr/>
      </w:pPr>
      <w:r>
        <w:rPr>
          <w:rFonts w:eastAsia="Arial" w:cs="Arial"/>
          <w:sz w:val="22"/>
          <w:szCs w:val="22"/>
        </w:rPr>
        <w:t>Pessimistisches Szenario mit Gegenmaßnahmen: Bei gleicher Nachfrage werden vier Kostenmaßnahmen unterstellt, die der Gründer ohne Zustimmung Dritter umsetzen kann (Excel-Planrechnung.massnahmen):</w:t>
      </w:r>
    </w:p>
    <w:p>
      <w:pPr>
        <w:pStyle w:val="ListParagraph"/>
        <w:numPr>
          <w:ilvl w:val="0"/>
          <w:numId w:val="1"/>
        </w:numPr>
        <w:spacing w:lineRule="exact" w:line="276" w:before="0" w:after="60"/>
        <w:jc w:val="left"/>
        <w:rPr/>
      </w:pPr>
      <w:r>
        <w:rPr>
          <w:rFonts w:eastAsia="Arial" w:cs="Arial"/>
          <w:sz w:val="22"/>
          <w:szCs w:val="22"/>
        </w:rPr>
        <w:t>Dritter Vollzeittrainer erst ab Jahr 3 statt Jahr 2</w:t>
      </w:r>
    </w:p>
    <w:p>
      <w:pPr>
        <w:pStyle w:val="ListParagraph"/>
        <w:numPr>
          <w:ilvl w:val="0"/>
          <w:numId w:val="1"/>
        </w:numPr>
        <w:spacing w:lineRule="exact" w:line="276" w:before="0" w:after="60"/>
        <w:jc w:val="left"/>
        <w:rPr/>
      </w:pPr>
      <w:r>
        <w:rPr>
          <w:rFonts w:eastAsia="Arial" w:cs="Arial"/>
          <w:sz w:val="22"/>
          <w:szCs w:val="22"/>
        </w:rPr>
        <w:t>Empfangs-Minijobs 3 statt 4</w:t>
      </w:r>
    </w:p>
    <w:p>
      <w:pPr>
        <w:pStyle w:val="ListParagraph"/>
        <w:numPr>
          <w:ilvl w:val="0"/>
          <w:numId w:val="1"/>
        </w:numPr>
        <w:spacing w:lineRule="exact" w:line="276" w:before="0" w:after="60"/>
        <w:jc w:val="left"/>
        <w:rPr/>
      </w:pPr>
      <w:r>
        <w:rPr>
          <w:rFonts w:eastAsia="Arial" w:cs="Arial"/>
          <w:sz w:val="22"/>
          <w:szCs w:val="22"/>
        </w:rPr>
        <w:t>Marketing laufend 2.500 € statt 4.600 €/Monat</w:t>
      </w:r>
    </w:p>
    <w:p>
      <w:pPr>
        <w:pStyle w:val="ListParagraph"/>
        <w:numPr>
          <w:ilvl w:val="0"/>
          <w:numId w:val="1"/>
        </w:numPr>
        <w:spacing w:lineRule="exact" w:line="276" w:before="0" w:after="60"/>
        <w:jc w:val="left"/>
        <w:rPr/>
      </w:pPr>
      <w:r>
        <w:rPr>
          <w:rFonts w:eastAsia="Arial" w:cs="Arial"/>
          <w:sz w:val="22"/>
          <w:szCs w:val="22"/>
        </w:rPr>
        <w:t>Reinigung/Sonstiges −15 %</w:t>
      </w:r>
    </w:p>
    <w:p>
      <w:pPr>
        <w:pStyle w:val="Normal"/>
        <w:spacing w:lineRule="exact" w:line="276" w:before="0" w:after="60"/>
        <w:jc w:val="both"/>
        <w:rPr/>
      </w:pPr>
      <w:r>
        <w:rPr/>
      </w:r>
    </w:p>
    <w:p>
      <w:pPr>
        <w:pStyle w:val="Normal"/>
        <w:keepNext w:val="true"/>
        <w:spacing w:before="160" w:after="80"/>
        <w:jc w:val="left"/>
        <w:rPr/>
      </w:pPr>
      <w:r>
        <w:rPr>
          <w:rFonts w:eastAsia="Arial" w:cs="Arial"/>
          <w:b/>
          <w:bCs/>
          <w:sz w:val="20"/>
          <w:szCs w:val="20"/>
        </w:rPr>
        <w:t>Tabelle 10.14: Pessimistisches Szenario ohne und mit Gegenmaßnahmen (netto)</w:t>
      </w:r>
    </w:p>
    <w:tbl>
      <w:tblPr>
        <w:tblW w:w="9638" w:type="dxa"/>
        <w:jc w:val="left"/>
        <w:tblInd w:w="0" w:type="dxa"/>
        <w:tblLayout w:type="fixed"/>
        <w:tblCellMar>
          <w:top w:w="40" w:type="dxa"/>
          <w:left w:w="70" w:type="dxa"/>
          <w:bottom w:w="40" w:type="dxa"/>
          <w:right w:w="70" w:type="dxa"/>
        </w:tblCellMar>
      </w:tblPr>
      <w:tblGrid>
        <w:gridCol w:w="3855"/>
        <w:gridCol w:w="2891"/>
        <w:gridCol w:w="2892"/>
      </w:tblGrid>
      <w:tr>
        <w:trPr>
          <w:tblHeader w:val="true"/>
        </w:trPr>
        <w:tc>
          <w:tcPr>
            <w:tcW w:w="385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Kennzahl</w:t>
            </w:r>
          </w:p>
        </w:tc>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Ohne Maßnahmen</w:t>
            </w:r>
          </w:p>
        </w:tc>
        <w:tc>
          <w:tcPr>
            <w:tcW w:w="289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Mit Kostenmaßnahmen</w:t>
            </w:r>
          </w:p>
        </w:tc>
      </w:tr>
      <w:tr>
        <w:trPr/>
        <w:tc>
          <w:tcPr>
            <w:tcW w:w="385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EBITDA Jahr 1 / 2 / 3 (T€)</w:t>
            </w:r>
          </w:p>
        </w:tc>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w:t>
            </w:r>
            <w:r>
              <w:rPr>
                <w:rFonts w:eastAsia="Arial" w:cs="Arial"/>
                <w:b/>
                <w:bCs/>
                <w:sz w:val="18"/>
                <w:szCs w:val="18"/>
              </w:rPr>
              <w:t>598 / −239 / −85</w:t>
            </w:r>
          </w:p>
        </w:tc>
        <w:tc>
          <w:tcPr>
            <w:tcW w:w="289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w:t>
            </w:r>
            <w:r>
              <w:rPr>
                <w:rFonts w:eastAsia="Arial" w:cs="Arial"/>
                <w:b/>
                <w:bCs/>
                <w:sz w:val="18"/>
                <w:szCs w:val="18"/>
              </w:rPr>
              <w:t>556 / −153 / −42</w:t>
            </w:r>
          </w:p>
        </w:tc>
      </w:tr>
      <w:tr>
        <w:trPr/>
        <w:tc>
          <w:tcPr>
            <w:tcW w:w="385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Jahresergebnis Jahr 3</w:t>
            </w:r>
          </w:p>
        </w:tc>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447.281 €</w:t>
            </w:r>
          </w:p>
        </w:tc>
        <w:tc>
          <w:tcPr>
            <w:tcW w:w="289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405.168 €</w:t>
            </w:r>
          </w:p>
        </w:tc>
      </w:tr>
      <w:tr>
        <w:trPr/>
        <w:tc>
          <w:tcPr>
            <w:tcW w:w="385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Jahresergebnis Jahr 5</w:t>
            </w:r>
          </w:p>
        </w:tc>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300.799 €</w:t>
            </w:r>
          </w:p>
        </w:tc>
        <w:tc>
          <w:tcPr>
            <w:tcW w:w="289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w:t>
            </w:r>
            <w:r>
              <w:rPr>
                <w:rFonts w:eastAsia="Arial" w:cs="Arial"/>
                <w:b/>
                <w:bCs/>
                <w:sz w:val="18"/>
                <w:szCs w:val="18"/>
              </w:rPr>
              <w:t>258.166 €</w:t>
            </w:r>
          </w:p>
        </w:tc>
      </w:tr>
      <w:tr>
        <w:trPr/>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DSCR Jahr 3 / Jahr 4</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0,45 / −0,01</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0,23 / 0,16</w:t>
            </w:r>
          </w:p>
        </w:tc>
      </w:tr>
      <w:tr>
        <w:trPr/>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Reservebedarf 24 Monate</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1.380.094 €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1.232.616 €</w:t>
            </w:r>
          </w:p>
        </w:tc>
      </w:tr>
      <w:tr>
        <w:trPr/>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Kassenminimum (Monat 60)</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w:t>
            </w:r>
            <w:r>
              <w:rPr>
                <w:rFonts w:eastAsia="Arial" w:cs="Arial"/>
                <w:b w:val="false"/>
                <w:bCs w:val="false"/>
                <w:sz w:val="18"/>
                <w:szCs w:val="18"/>
              </w:rPr>
              <w:t>1.206.153 €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w:t>
            </w:r>
            <w:r>
              <w:rPr>
                <w:rFonts w:eastAsia="Arial" w:cs="Arial"/>
                <w:b w:val="false"/>
                <w:bCs w:val="false"/>
                <w:sz w:val="18"/>
                <w:szCs w:val="18"/>
              </w:rPr>
              <w:t>950.293 €</w:t>
            </w:r>
          </w:p>
        </w:tc>
      </w:tr>
      <w:tr>
        <w:trPr/>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Break-even EBITDA (Monat)</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43</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36</w:t>
            </w:r>
          </w:p>
        </w:tc>
      </w:tr>
      <w:tr>
        <w:trPr/>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Break-even-Mitglieder mit Kapitaldienst</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2.107</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2.032</w:t>
            </w:r>
          </w:p>
        </w:tc>
      </w:tr>
      <w:tr>
        <w:trPr/>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Personalkosten je Monat Jahr 3</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33.801 €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32.946 €</w:t>
            </w:r>
          </w:p>
        </w:tc>
      </w:tr>
    </w:tbl>
    <w:p>
      <w:pPr>
        <w:pStyle w:val="Normal"/>
        <w:spacing w:before="60" w:after="200"/>
        <w:jc w:val="left"/>
        <w:rPr/>
      </w:pPr>
      <w:r>
        <w:rPr>
          <w:rFonts w:eastAsia="Arial" w:cs="Arial"/>
          <w:i/>
          <w:iCs/>
          <w:color w:val="5A5A5A"/>
          <w:sz w:val="18"/>
          <w:szCs w:val="18"/>
        </w:rPr>
        <w:t>Quelle: Excel-Planrechnung (Szenario pessimistisch ohne und mit Maßnahmen).</w:t>
      </w:r>
    </w:p>
    <w:p>
      <w:pPr>
        <w:pStyle w:val="Normal"/>
        <w:spacing w:lineRule="exact" w:line="276" w:before="0" w:after="120"/>
        <w:jc w:val="both"/>
        <w:rPr/>
      </w:pPr>
      <w:r>
        <w:rPr>
          <w:rFonts w:eastAsia="Arial" w:cs="Arial"/>
          <w:sz w:val="22"/>
          <w:szCs w:val="22"/>
        </w:rPr>
        <w:t>Die Kostenmaßnahmen verbessern das EBITDA um rund 87 T€ im zweiten und 42 T€ im dritten Jahr und senken den Reservebedarf um 147.478 €; sie reichen aber nicht aus, um das pessimistische Szenario tragfähig zu machen (DSCR Jahr 4 0,16, Kasse am Ende des fünften Jahres −950.293 €). Bei einem so ungünstigen Verlauf müssten deshalb zusätzlich die Tilgung ausgesetzt, Nachrangmittel aufgestockt und die Nachfrageseite (Vertrieb, Kooperationen, Tarife) angepasst werden; die Nachfrage ist der entscheidende Hebel, wie die Sensitivitäten zeigen.</w:t>
      </w:r>
    </w:p>
    <w:p>
      <w:pPr>
        <w:pStyle w:val="Normal"/>
        <w:keepNext w:val="true"/>
        <w:spacing w:before="160" w:after="80"/>
        <w:jc w:val="left"/>
        <w:rPr/>
      </w:pPr>
      <w:r>
        <w:rPr>
          <w:rFonts w:eastAsia="Arial" w:cs="Arial"/>
          <w:b/>
          <w:bCs/>
          <w:sz w:val="20"/>
          <w:szCs w:val="20"/>
        </w:rPr>
        <w:t>Tabelle 10.15: Sensitivitäten gegenüber dem Basisszenario (jeweils eine Annahme verändert, netto)</w:t>
      </w:r>
    </w:p>
    <w:tbl>
      <w:tblPr>
        <w:tblW w:w="9638" w:type="dxa"/>
        <w:jc w:val="left"/>
        <w:tblInd w:w="0" w:type="dxa"/>
        <w:tblLayout w:type="fixed"/>
        <w:tblCellMar>
          <w:top w:w="40" w:type="dxa"/>
          <w:left w:w="70" w:type="dxa"/>
          <w:bottom w:w="40" w:type="dxa"/>
          <w:right w:w="70" w:type="dxa"/>
        </w:tblCellMar>
      </w:tblPr>
      <w:tblGrid>
        <w:gridCol w:w="2891"/>
        <w:gridCol w:w="1349"/>
        <w:gridCol w:w="1350"/>
        <w:gridCol w:w="1348"/>
        <w:gridCol w:w="1542"/>
        <w:gridCol w:w="1157"/>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Fall</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EBITDA J3</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Ergebnis J3</w:t>
            </w:r>
          </w:p>
        </w:tc>
        <w:tc>
          <w:tcPr>
            <w:tcW w:w="134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DSCR J3 / J4</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Reservebedarf 24</w:t>
            </w:r>
          </w:p>
        </w:tc>
        <w:tc>
          <w:tcPr>
            <w:tcW w:w="115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Mitglieder M24</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Basis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398.960 €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36.237 €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2,12 / 1,61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736.987 €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Neuzugänge −20 %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173.665 €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189.058 €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0,92 / 1,24</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1.074.527 €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1.642</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Neuzugänge −30 %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35.516 €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327.207 €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0,19 / 0,63</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1.267.304 €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1.437</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Kündigungsquote 3,0 %/Monat (statt 2,2 %)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294.209 €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68.514 €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1,57 / 1,56</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809.041 €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1.856</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Beitragsniveau −10 %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287.930 €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74.793 €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1,53 / 1,17</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853.059 €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Kaltmiete 10,00 €/m² (statt 8,50 €)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361.966 €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1.325 €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1,92 / 1,46</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809.209 €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Zinsen +1,5 Prozentpunkte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398.960 €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1.270 €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1,77 / 1,41</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816.556 €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Personalkosten +10 %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358.399 €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w:t>
            </w:r>
            <w:r>
              <w:rPr>
                <w:rFonts w:eastAsia="Arial" w:cs="Arial"/>
                <w:b w:val="false"/>
                <w:bCs w:val="false"/>
                <w:sz w:val="16"/>
                <w:szCs w:val="16"/>
              </w:rPr>
              <w:t>4.324 €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1,91 / 1,45</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805.202 €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Energie/Wasser 5,50 €/m² (statt 4,00 €)</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363.403 €</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111 €</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1,93 / 1,47</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801.917 €</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r>
    </w:tbl>
    <w:p>
      <w:pPr>
        <w:pStyle w:val="Normal"/>
        <w:spacing w:before="60" w:after="200"/>
        <w:jc w:val="left"/>
        <w:rPr/>
      </w:pPr>
      <w:r>
        <w:rPr>
          <w:rFonts w:eastAsia="Arial" w:cs="Arial"/>
          <w:i/>
          <w:iCs/>
          <w:color w:val="5A5A5A"/>
          <w:sz w:val="18"/>
          <w:szCs w:val="18"/>
        </w:rPr>
        <w:t>Quelle: Excel-Planrechnung.</w:t>
      </w:r>
    </w:p>
    <w:p>
      <w:pPr>
        <w:pStyle w:val="Normal"/>
        <w:spacing w:lineRule="exact" w:line="276" w:before="0" w:after="120"/>
        <w:jc w:val="both"/>
        <w:rPr/>
      </w:pPr>
      <w:r>
        <w:rPr>
          <w:rFonts w:eastAsia="Arial" w:cs="Arial"/>
          <w:sz w:val="22"/>
          <w:szCs w:val="22"/>
        </w:rPr>
        <w:t>Die Kostensensitivitäten sind moderat: Eine um 1,50 €/m² höhere Kaltmiete, 10 % höhere Personalkosten, 1,5 Prozentpunkte höhere Zinsen oder Energiekosten von 5,50 €/m² senken das Ergebnis des dritten Jahres jeweils auf einen Wert um null (−4.324 € bis 111 €), lassen den DSCR aber bei 1,77 bis 1,93 (Jahr 3) und 1,41 bis 1,47 (Jahr 4) und erhöhen den Reservebedarf um höchstens 79.569 € (auf höchstens 816.556 €); der Kassentiefststand bleibt in diesen Fällen mit 39.275 € bis 51.441 € positiv. Ein Beitragsniveau von −10 % oder eine Kündigungsquote von 3,0 % je Monat führen im dritten Jahr zu einem Verlust, bei einem DSCR von 1,53 bzw. 1,57 bleibt der Kapitaldienst gedeckt. Kritisch ist allein der Neuzugang: Bei 20 % weniger Neumitgliedern sinkt der DSCR im dritten Jahr auf 0,92 (Jahr 4: 1,24), der Reservebedarf steigt auf 1.074.527 € und die Kasse wird mit −202.288 € negativ, was den Kontokorrentrahmen von 200.000 € knapp übersteigt; bei 30 % weniger Neuzugängen ist das Vorhaben ohne Nachfinanzierung nicht mehr tragfähig. Der Plan ist somit robust gegenüber Kosten- und Zinsabweichungen, aber abhängig davon, dass die Neuzugänge mindestens 80 % des Plans erreichen.</w:t>
      </w:r>
    </w:p>
    <w:p>
      <w:pPr>
        <w:pStyle w:val="Normal"/>
        <w:spacing w:lineRule="exact" w:line="276" w:before="0" w:after="120"/>
        <w:jc w:val="both"/>
        <w:rPr/>
      </w:pPr>
      <w:r>
        <w:rPr>
          <w:rFonts w:eastAsia="Arial" w:cs="Arial"/>
          <w:sz w:val="22"/>
          <w:szCs w:val="22"/>
        </w:rPr>
        <w:t>Frühindikatoren und Handlungsplan: Die folgenden Schwellen werden monatlich überwacht (Kapitel 6.7); bei Unterschreitung greifen die genannten Maßnahmen in der angegebenen Reihenfolge.</w:t>
      </w:r>
    </w:p>
    <w:p>
      <w:pPr>
        <w:pStyle w:val="Normal"/>
        <w:keepNext w:val="true"/>
        <w:spacing w:before="160" w:after="80"/>
        <w:jc w:val="left"/>
        <w:rPr/>
      </w:pPr>
      <w:r>
        <w:rPr>
          <w:rFonts w:eastAsia="Arial" w:cs="Arial"/>
          <w:b/>
          <w:bCs/>
          <w:sz w:val="20"/>
          <w:szCs w:val="20"/>
        </w:rPr>
        <w:t>Tabelle 10.16: Frühindikatoren und Handlungsplan</w:t>
      </w:r>
    </w:p>
    <w:tbl>
      <w:tblPr>
        <w:tblW w:w="9638" w:type="dxa"/>
        <w:jc w:val="left"/>
        <w:tblInd w:w="0" w:type="dxa"/>
        <w:tblLayout w:type="fixed"/>
        <w:tblCellMar>
          <w:top w:w="40" w:type="dxa"/>
          <w:left w:w="70" w:type="dxa"/>
          <w:bottom w:w="40" w:type="dxa"/>
          <w:right w:w="70" w:type="dxa"/>
        </w:tblCellMar>
      </w:tblPr>
      <w:tblGrid>
        <w:gridCol w:w="1927"/>
        <w:gridCol w:w="2120"/>
        <w:gridCol w:w="1928"/>
        <w:gridCol w:w="3662"/>
      </w:tblGrid>
      <w:tr>
        <w:trPr>
          <w:tblHeader w:val="true"/>
        </w:trPr>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Indikator</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Planwert (Basis)</w:t>
            </w:r>
          </w:p>
        </w:tc>
        <w:tc>
          <w:tcPr>
            <w:tcW w:w="192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Warnschwelle</w:t>
            </w:r>
          </w:p>
        </w:tc>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Maßnahmen</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Vorverkauf bis Eröffnung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350 Mitglieder</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280 (80 %)</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Eröffnungsaktionen verlängern, Aufnahmegebühr aussetzen, Firmenkooperationen vorziehen, Eröffnung nicht verschieben</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Neuzugänge je Monat</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140 (Monate 1–3), 100 (4–12), 90 (Jahr 2)</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80 % des Plans in drei Folgemonaten</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Marketingbudget umschichten statt kürzen (Empfehlungsprogramm, Probetraining, HYROX-Events), Vertriebsziele für Empfang und Trainer, Tarifaktionen für Studenten und Firmen</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Kündigungsquote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2,2 % je Monat</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 2,6 % im Quartalsmittel</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Mitgliederbindung (Kapitel 6.6): Trainingsplan-Updates, Kursplan, Kontakt bei Inaktivität, Rückholangebote</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Mitgliederbestand Monat 12 / 24</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1.429 / 2.053</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90 % des Planbestands (1.286 / 1.848)</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Kostenflexibilisierung: dritter Trainer erst ab Jahr 3, Minijobs 3 statt 4, Reinigung/Sonstiges −15 %, Marketing 2.500 €/Monat (Wirkung Tabelle 10.14)</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Kassenbestand</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Minimum 107.975 € (Monat 18)</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Unterschreitung der Planlinie um mehr als 90.000 €</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Kontokorrent 200.000 € nutzen; mit der Hausbank Tilgungsaussetzung bzw. Verlängerung der tilgungsfreien Jahre (L-Bank ab Monat 34, KfW 077 ab Monat 57) vereinbaren</w:t>
            </w:r>
          </w:p>
        </w:tc>
      </w:tr>
      <w:tr>
        <w:trPr/>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DSCR Jahr 3</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2,12</w:t>
            </w:r>
          </w:p>
        </w:tc>
        <w:tc>
          <w:tcPr>
            <w:tcW w:w="192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 1,2</w:t>
            </w:r>
          </w:p>
        </w:tc>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Nachrangmittel aufstocken (MBG im Einzelfall bis 1 Mio. €, Mikromezzaninfonds bis 100.000 €), Geräteleasing für Ersatzinvestitionen, Verhandlung Mietanpassung, Tarifanpassung</w:t>
            </w:r>
          </w:p>
        </w:tc>
      </w:tr>
    </w:tbl>
    <w:p>
      <w:pPr>
        <w:pStyle w:val="Normal"/>
        <w:spacing w:before="60" w:after="200"/>
        <w:jc w:val="left"/>
        <w:rPr/>
      </w:pPr>
      <w:r>
        <w:rPr>
          <w:rFonts w:eastAsia="Arial" w:cs="Arial"/>
          <w:i/>
          <w:iCs/>
          <w:color w:val="5A5A5A"/>
          <w:sz w:val="18"/>
          <w:szCs w:val="18"/>
        </w:rPr>
        <w:t>Quelle: Excel-Planrechnung; Rechercheprotokoll (Anhang I; MBG, Mikromezzanin, Leasing).</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Die Szenarien verändern nur die Nachfrage; Bauzeitverzögerungen und Mehrkosten im Ausbau sind über den Posten Unvorhergesehenes (165.378 €) und die Reserve abgedeckt, nicht über eigene Szenarien. Jeder Monat Eröffnungsverzug kostet rund 28.643 € Miete und Nebenkosten zuzüglich der laufenden Personalkosten (Kapitel 7.8). Der Gründer sollte der Bank den Bauzeitenplan der Fachplaner und die Lieferzeiten der Importgeräte vorlegen.</w:t>
      </w:r>
    </w:p>
    <w:p>
      <w:pPr>
        <w:pStyle w:val="Heading2"/>
        <w:keepNext w:val="true"/>
        <w:spacing w:before="280" w:after="120"/>
        <w:rPr/>
      </w:pPr>
      <w:bookmarkStart w:id="94" w:name="__RefHeading___Toc21289_3809407278"/>
      <w:bookmarkEnd w:id="94"/>
      <w:r>
        <w:rPr/>
        <w:t>10.10 Umsetzungs- und Auszahlungsplan</w:t>
      </w:r>
    </w:p>
    <w:p>
      <w:pPr>
        <w:pStyle w:val="Normal"/>
        <w:spacing w:lineRule="exact" w:line="276" w:before="0" w:after="120"/>
        <w:jc w:val="both"/>
        <w:rPr/>
      </w:pPr>
      <w:r>
        <w:rPr>
          <w:rFonts w:eastAsia="Arial" w:cs="Arial"/>
          <w:sz w:val="22"/>
          <w:szCs w:val="22"/>
        </w:rPr>
        <w:t>Die Mittelverwendung im Vorlauf folgt dem Zahlungsplan des Finanzmodells: Kaution und Gründungskosten im Monat −5, Planungsleistungen gleichmäßig über die Monate −5 bis −1, Ausbau, Sanitär und der Posten Unvorhergesehenes in vier Raten in den Monaten −4 bis −1, Sonstiges im Monat −2 und die Geräte einschließlich Import-Nebenkosten bei Lieferung im Monat −1. Die Darlehen werden entsprechend abgerufen: MBG-Beteiligung und Eigenkapital im Monat −5, KfW 077 im Monat −4 und das L-Bank-Darlehen im Monat −3. Die Reihenfolge stellt sicher, dass jede Ausbaurate aus bereits ausgezahlten Mitteln bezahlt wird und keine Bereitstellungsprovision für ungenutzte Kreditteile anfällt (KfW 077 ohne Bereitstellungsprovision; L-Bank 12 Monate provisionsfrei).</w:t>
      </w:r>
    </w:p>
    <w:p>
      <w:pPr>
        <w:pStyle w:val="Normal"/>
        <w:keepNext w:val="true"/>
        <w:spacing w:before="160" w:after="80"/>
        <w:jc w:val="left"/>
        <w:rPr/>
      </w:pPr>
      <w:r>
        <w:rPr>
          <w:rFonts w:eastAsia="Arial" w:cs="Arial"/>
          <w:b/>
          <w:bCs/>
          <w:sz w:val="20"/>
          <w:szCs w:val="20"/>
        </w:rPr>
        <w:t>Tabelle 10.17: Mittelverwendung und Mittelzufluss im Vorlauf (netto, EUR, Ausbau- und Planungsraten rechnerisch gleichmäßig verteilt)</w:t>
      </w:r>
    </w:p>
    <w:tbl>
      <w:tblPr>
        <w:tblW w:w="9638" w:type="dxa"/>
        <w:jc w:val="left"/>
        <w:tblInd w:w="0" w:type="dxa"/>
        <w:tblLayout w:type="fixed"/>
        <w:tblCellMar>
          <w:top w:w="40" w:type="dxa"/>
          <w:left w:w="70" w:type="dxa"/>
          <w:bottom w:w="40" w:type="dxa"/>
          <w:right w:w="70" w:type="dxa"/>
        </w:tblCellMar>
      </w:tblPr>
      <w:tblGrid>
        <w:gridCol w:w="1542"/>
        <w:gridCol w:w="3277"/>
        <w:gridCol w:w="1349"/>
        <w:gridCol w:w="2120"/>
        <w:gridCol w:w="1350"/>
      </w:tblGrid>
      <w:tr>
        <w:trPr>
          <w:tblHeader w:val="true"/>
        </w:trPr>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Monat</w:t>
            </w:r>
          </w:p>
        </w:tc>
        <w:tc>
          <w:tcPr>
            <w:tcW w:w="327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Mittelverwendung (Investition)</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Betrag</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Mittelzufluss</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Betrag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5 (April 2027)</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Kaution, Gründung und Beratung, Planung (1/5)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114.828 €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Bareinlage Gründer, MBG stille Beteiligung</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400.000 €</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4 (Mai 2027)</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Ausbau/Sanitär/Unvorhergesehenes (1/4), Planung (1/5)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285.640 €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KfW 077</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500.000 €</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3 (Juni 2027)</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Ausbau/Sanitär/Unvorhergesehenes (2/4), Planung (1/5)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285.640 €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L-Bank GuW-BW</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1.752.583 €</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2 (Juli 2027)</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Ausbau/Sanitär/Unvorhergesehenes (3/4), Planung (1/5), Sonstiges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317.640 €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r>
              <w:rPr>
                <w:rFonts w:eastAsia="Arial" w:cs="Arial"/>
                <w:b w:val="false"/>
                <w:bCs w:val="false"/>
                <w:sz w:val="18"/>
                <w:szCs w:val="18"/>
              </w:rPr>
              <w:t>1 (August 2027)</w:t>
            </w:r>
          </w:p>
        </w:tc>
        <w:tc>
          <w:tcPr>
            <w:tcW w:w="327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Ausbau/Sanitär/Unvorhergesehenes (4/4), Planung (1/5), Geräte und Import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908.836 €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t>
            </w:r>
          </w:p>
        </w:tc>
      </w:tr>
      <w:tr>
        <w:trPr/>
        <w:tc>
          <w:tcPr>
            <w:tcW w:w="154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w:t>
            </w:r>
          </w:p>
        </w:tc>
        <w:tc>
          <w:tcPr>
            <w:tcW w:w="327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Investition gesamt</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1.912.583 €</w:t>
            </w:r>
          </w:p>
        </w:tc>
        <w:tc>
          <w:tcPr>
            <w:tcW w:w="212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Mittelherkunft gesamt (inkl. Reserve 740.000 €)</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2.652.583 €</w:t>
            </w:r>
          </w:p>
        </w:tc>
      </w:tr>
    </w:tbl>
    <w:p>
      <w:pPr>
        <w:pStyle w:val="Normal"/>
        <w:spacing w:before="60" w:after="200"/>
        <w:jc w:val="left"/>
        <w:rPr/>
      </w:pPr>
      <w:r>
        <w:rPr>
          <w:rFonts w:eastAsia="Arial" w:cs="Arial"/>
          <w:i/>
          <w:iCs/>
          <w:color w:val="5A5A5A"/>
          <w:sz w:val="18"/>
          <w:szCs w:val="18"/>
        </w:rPr>
        <w:t>Quelle: Excel-Planrechnung (Zahlungsplan Investition, Auszahlungsmonate der Darlehen).</w:t>
      </w:r>
    </w:p>
    <w:p>
      <w:pPr>
        <w:pStyle w:val="Normal"/>
        <w:spacing w:lineRule="exact" w:line="276" w:before="0" w:after="120"/>
        <w:jc w:val="both"/>
        <w:rPr/>
      </w:pPr>
      <w:r>
        <w:rPr>
          <w:rFonts w:eastAsia="Arial" w:cs="Arial"/>
          <w:sz w:val="22"/>
          <w:szCs w:val="22"/>
        </w:rPr>
        <w:t>Neben den Investitionen fallen im Vorlauf laufende Kosten an: Personal ab Juni 2027 (Geschäftsführer), Juli (stellvertretende Studioleitung) und August (zwei Trainer), Vorverkaufsmarketing von 35.000 € in den Monaten −3 bis −1, Miete und Nebenkosten ab dem vierten Vorlaufmonat nach drei mietfreien Monaten sowie Zinsen ab Auszahlung der Darlehen (1.458 € im Monat −5, 13.514 € ab Monat −3). Diese Vorlaufkosten von zusammen rund 155.398 € sind Teil des kumulierten Fehlbetrags, aus dem die Anlaufreserve abgeleitet ist.</w:t>
      </w:r>
    </w:p>
    <w:p>
      <w:pPr>
        <w:pStyle w:val="Normal"/>
        <w:keepNext w:val="true"/>
        <w:spacing w:before="160" w:after="80"/>
        <w:jc w:val="left"/>
        <w:rPr/>
      </w:pPr>
      <w:r>
        <w:rPr>
          <w:rFonts w:eastAsia="Arial" w:cs="Arial"/>
          <w:b/>
          <w:bCs/>
          <w:sz w:val="20"/>
          <w:szCs w:val="20"/>
        </w:rPr>
        <w:t>Tabelle 10.18: Meilensteine bis zur Eröffnung am 01.09.2027 (Finanzierungssicht)</w:t>
      </w:r>
    </w:p>
    <w:tbl>
      <w:tblPr>
        <w:tblW w:w="9638" w:type="dxa"/>
        <w:jc w:val="left"/>
        <w:tblInd w:w="0" w:type="dxa"/>
        <w:tblLayout w:type="fixed"/>
        <w:tblCellMar>
          <w:top w:w="40" w:type="dxa"/>
          <w:left w:w="70" w:type="dxa"/>
          <w:bottom w:w="40" w:type="dxa"/>
          <w:right w:w="70" w:type="dxa"/>
        </w:tblCellMar>
      </w:tblPr>
      <w:tblGrid>
        <w:gridCol w:w="2120"/>
        <w:gridCol w:w="2891"/>
        <w:gridCol w:w="4627"/>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Zeitraum</w:t>
            </w:r>
          </w:p>
        </w:tc>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Meilenstein</w:t>
            </w:r>
          </w:p>
        </w:tc>
        <w:tc>
          <w:tcPr>
            <w:tcW w:w="46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Voraussetzung / Ergebnis</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Oktober bis Dezember 2026</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Bankgespräch, Anträge KfW 077, L-Bank GuW-BW mit Bürgschaftsbank, MBG</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Businessplan mit Finanzmodell, fachkundige Stellungnahme (IHK), Eigenmittelnachweis, Selbstauskunft; Standort mit Absichtserklärung des Vermieters; KfW 077 vor Vorhabensbeginn beantragen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November 2026 bis März 2027</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Mietvertrag (November 2026), Bauantrag (Dezember 2026), Finanzierungszusagen, GmbH-Gründung</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Kreditverträge und Bürgschaftszusage; Stammkapital 25.000 €; Mietvertrag 10 Jahre zu 8,50 €/m² mit 3 mietfreien Monaten; Kontokorrent 200.000 €; Gerätebestellung Atlantis/Prime nach Zusage</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April 2027 (Monat −5)</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Mietbeginn, Kaution, Abruf Eigenkapital und MBG</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Baugenehmigung Nutzungsänderung; Planungsleistungen; Vorbereitung Vorverkauf</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Mai bis Juni 2027 (Monate −4 und −3)</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Abruf KfW-Kredit 077 und L-Bank-Darlehen, Baubeginn</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Ausbauraten 1 und 2; Personal Geschäftsführung ab Juni; Vorverkaufsstart Juni</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Juli bis August 2027 (Monate −2 und −1)</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 abgeschlossen, Gerätelieferung, Abnahmen</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Ausbauraten 3 und 4, Sonstiges, Geräte; Brandschutz- und Bauabnahme, DGUV-Geräteprüfung; Vorverkauf 350 Mitglieder; Vorsteuerantrag Monat −1</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September 2027 (Monat 1)</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Eröffnung</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Beginn der Beitragseinzüge; Eröffnungsmarketing Monate 1 bis 3; erste Vorsteuererstattung</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August 2028 (Monat 12)</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EBITDA-Break-even auf Monatsbasis</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1.429 Mitglieder; Planabgleich mit der Bank (Jahresabschluss Jahr 1)</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März 2029 (Monat 19)</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Cashflow nach Kapitaldienst positiv</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Kasse steigt ab Monat 19 wieder; bis Monat 33 keine Tilgung</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Januar 2030 (Monat 29)</w:t>
            </w:r>
          </w:p>
        </w:tc>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Kapazitätsgrenze 2.200 Mitglieder</w:t>
            </w:r>
          </w:p>
        </w:tc>
        <w:tc>
          <w:tcPr>
            <w:tcW w:w="46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Beginn Tilgung L-Bank ab Monat 34; Rücklagenaufbau für MBG-Rückzahlung</w:t>
            </w:r>
          </w:p>
        </w:tc>
      </w:tr>
    </w:tbl>
    <w:p>
      <w:pPr>
        <w:pStyle w:val="Normal"/>
        <w:spacing w:before="60" w:after="200"/>
        <w:jc w:val="left"/>
        <w:rPr/>
      </w:pPr>
      <w:r>
        <w:rPr>
          <w:rFonts w:eastAsia="Arial" w:cs="Arial"/>
          <w:i/>
          <w:iCs/>
          <w:color w:val="5A5A5A"/>
          <w:sz w:val="18"/>
          <w:szCs w:val="18"/>
        </w:rPr>
        <w:t>Quelle: Excel-Planrechnung; Kapitel 7.8; Rechercheprotokoll (Anhang I).</w:t>
      </w:r>
    </w:p>
    <w:tbl>
      <w:tblPr>
        <w:tblW w:w="9638" w:type="dxa"/>
        <w:jc w:val="left"/>
        <w:tblInd w:w="0" w:type="dxa"/>
        <w:tblLayout w:type="fixed"/>
        <w:tblCellMar>
          <w:top w:w="40" w:type="dxa"/>
          <w:left w:w="70" w:type="dxa"/>
          <w:bottom w:w="40" w:type="dxa"/>
          <w:right w:w="70" w:type="dxa"/>
        </w:tblCellMar>
      </w:tblPr>
      <w:tblGrid>
        <w:gridCol w:w="5300"/>
        <w:gridCol w:w="4337"/>
      </w:tblGrid>
      <w:tr>
        <w:trPr/>
        <w:tc>
          <w:tcPr>
            <w:tcW w:w="5300" w:type="dxa"/>
            <w:tcBorders>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Kapitalbedarf</w:t>
            </w:r>
          </w:p>
        </w:tc>
        <w:tc>
          <w:tcPr>
            <w:tcW w:w="4337" w:type="dxa"/>
            <w:tcBorders>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2.652.583 €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Eigenkapitalquote (inkl. MBG)</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15,1 %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Kapitaldienst Monat 1 / 25 / 61 (Näherung)</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13.514 € / 13.514 € / 25.172 €</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Break-even EBITDA / Cashflow</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Monat 12 / Monat 19</w:t>
            </w:r>
          </w:p>
        </w:tc>
      </w:tr>
      <w:tr>
        <w:trPr/>
        <w:tc>
          <w:tcPr>
            <w:tcW w:w="5300" w:type="dxa"/>
            <w:tcBorders>
              <w:top w:val="single" w:sz="4" w:space="0" w:color="FFFFFF"/>
              <w:bottom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Kassenminimum</w:t>
            </w:r>
          </w:p>
        </w:tc>
        <w:tc>
          <w:tcPr>
            <w:tcW w:w="4337" w:type="dxa"/>
            <w:tcBorders>
              <w:top w:val="single" w:sz="4" w:space="0" w:color="FFFFFF"/>
              <w:bottom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107.975 € (Monat 18)</w:t>
            </w:r>
          </w:p>
        </w:tc>
      </w:tr>
      <w:tr>
        <w:trPr/>
        <w:tc>
          <w:tcPr>
            <w:tcW w:w="5300" w:type="dxa"/>
            <w:tcBorders>
              <w:top w:val="single" w:sz="4" w:space="0" w:color="FFFFFF"/>
            </w:tcBorders>
            <w:shd w:color="auto" w:fill="F4F6F9" w:val="clear"/>
            <w:vAlign w:val="center"/>
          </w:tcPr>
          <w:p>
            <w:pPr>
              <w:pStyle w:val="Normal"/>
              <w:spacing w:lineRule="exact" w:line="240" w:before="0" w:after="0"/>
              <w:jc w:val="left"/>
              <w:rPr/>
            </w:pPr>
            <w:r>
              <w:rPr>
                <w:rFonts w:eastAsia="Arial" w:cs="Arial"/>
                <w:sz w:val="20"/>
                <w:szCs w:val="20"/>
              </w:rPr>
              <w:t>DSCR Jahr 3 / 4 / 5</w:t>
            </w:r>
          </w:p>
        </w:tc>
        <w:tc>
          <w:tcPr>
            <w:tcW w:w="4337" w:type="dxa"/>
            <w:tcBorders>
              <w:top w:val="single" w:sz="4" w:space="0" w:color="FFFFFF"/>
            </w:tcBorders>
            <w:shd w:color="auto" w:fill="F4F6F9" w:val="clear"/>
            <w:vAlign w:val="center"/>
          </w:tcPr>
          <w:p>
            <w:pPr>
              <w:pStyle w:val="Normal"/>
              <w:spacing w:lineRule="exact" w:line="240" w:before="0" w:after="0"/>
              <w:jc w:val="right"/>
              <w:rPr/>
            </w:pPr>
            <w:r>
              <w:rPr>
                <w:rFonts w:eastAsia="Arial" w:cs="Arial"/>
                <w:b/>
                <w:bCs/>
                <w:sz w:val="20"/>
                <w:szCs w:val="20"/>
              </w:rPr>
              <w:t>2,12 / 1,61 / 1,58</w:t>
            </w:r>
          </w:p>
        </w:tc>
      </w:tr>
    </w:tbl>
    <w:p>
      <w:pPr>
        <w:pStyle w:val="Normal"/>
        <w:spacing w:lineRule="exact" w:line="276" w:before="0" w:after="80"/>
        <w:jc w:val="both"/>
        <w:rPr/>
      </w:pPr>
      <w:r>
        <w:rPr/>
      </w:r>
      <w:r>
        <w:br w:type="page"/>
      </w:r>
    </w:p>
    <w:p>
      <w:pPr>
        <w:pStyle w:val="Heading1"/>
        <w:spacing w:before="360" w:after="200"/>
        <w:rPr/>
      </w:pPr>
      <w:bookmarkStart w:id="95" w:name="__RefHeading___Toc21291_3809407278"/>
      <w:bookmarkEnd w:id="95"/>
      <w:r>
        <w:rPr/>
        <w:t>11 Anhang – Übersicht und Unterlagen</w:t>
      </w:r>
    </w:p>
    <w:p>
      <w:pPr>
        <w:pStyle w:val="Normal"/>
        <w:spacing w:lineRule="exact" w:line="276" w:before="0" w:after="120"/>
        <w:jc w:val="both"/>
        <w:rPr/>
      </w:pPr>
      <w:r>
        <w:rPr>
          <w:rFonts w:eastAsia="Arial" w:cs="Arial"/>
          <w:sz w:val="22"/>
          <w:szCs w:val="22"/>
        </w:rPr>
        <w:t>Die Anhänge A bis I enthalten die vollständigen Zahlentabellen der Planrechnung, den Grundriss, die Immobilien-Shortlist, die Regularien-Checkliste und das Quellenverzeichnis. Alle Zahlen in den Anhängen A bis E stammen aus der beiliegenden Excel-Planrechnung Finanzplan_No1.xlsx (Stand 27.09.2026); die Excel-Datei enthält alle Formeln und ein Blatt „Annahmen“, über das die Hausbank einzelne Planannahmen selbst verändern und die Wirkung auf Liquidität, Rentabilität und Kapitaldienstfähigkeit nachvollziehen kann. Die Anhänge F, G und H beruhen auf dem Planungsprojekt „No.1 (überarbeitet)“ der Planungssoftware GymPlanner (Export 26.09.2026) und der Standortrecherche vom September 2026. Dieses Kapitel gibt einen Überblick über die Anhänge, listet die Unterlagen für das Bankgespräch auf und erläutert die verwendeten Fachbegriffe.</w:t>
      </w:r>
    </w:p>
    <w:p>
      <w:pPr>
        <w:pStyle w:val="Heading2"/>
        <w:keepNext w:val="true"/>
        <w:spacing w:before="280" w:after="120"/>
        <w:rPr/>
      </w:pPr>
      <w:bookmarkStart w:id="96" w:name="__RefHeading___Toc21293_3809407278"/>
      <w:bookmarkEnd w:id="96"/>
      <w:r>
        <w:rPr/>
        <w:t>11.1 Anhang A – Investitions- und Geräteliste</w:t>
      </w:r>
    </w:p>
    <w:p>
      <w:pPr>
        <w:pStyle w:val="Normal"/>
        <w:spacing w:lineRule="exact" w:line="276" w:before="0" w:after="120"/>
        <w:jc w:val="both"/>
        <w:rPr/>
      </w:pPr>
      <w:r>
        <w:rPr>
          <w:rFonts w:eastAsia="Arial" w:cs="Arial"/>
          <w:sz w:val="22"/>
          <w:szCs w:val="22"/>
        </w:rPr>
        <w:t>Anhang A enthält den vollständigen Investitionsplan mit allen Positionen (netto, 1.912.583 €), die Geräte- und Ausstattungssummen je Bereich, die 30 größten Gerätepositionen sowie die Stückliste aller 147 Positionen und 369 Objekte nach Bereichen mit Hersteller, Modell, Stückzahl, Stückpreis und Preisbasis (Listenpreis, Händlerpreis oder Schätzung). Die Liste dient der Bank als Grundlage für die Sicherungsübereignung und ist vor der Kreditzusage durch verbindliche Angebote der Hersteller und Händler zu unterlegen (Quellen: Anhang I).</w:t>
      </w:r>
    </w:p>
    <w:p>
      <w:pPr>
        <w:pStyle w:val="Heading2"/>
        <w:keepNext w:val="true"/>
        <w:spacing w:before="280" w:after="120"/>
        <w:rPr/>
      </w:pPr>
      <w:bookmarkStart w:id="97" w:name="__RefHeading___Toc21295_3809407278"/>
      <w:bookmarkEnd w:id="97"/>
      <w:r>
        <w:rPr/>
        <w:t>11.2 Anhang B – Tilgungspläne</w:t>
      </w:r>
    </w:p>
    <w:p>
      <w:pPr>
        <w:pStyle w:val="Normal"/>
        <w:spacing w:lineRule="exact" w:line="276" w:before="0" w:after="120"/>
        <w:jc w:val="both"/>
        <w:rPr/>
      </w:pPr>
      <w:r>
        <w:rPr>
          <w:rFonts w:eastAsia="Arial" w:cs="Arial"/>
          <w:sz w:val="22"/>
          <w:szCs w:val="22"/>
        </w:rPr>
        <w:t>Anhang B zeigt für jeden Finanzierungsbaustein (MBG-Beteiligung 250.000 €, KfW 077 500.000 €, L-Bank GuW-BW 1.752.583 €) Auszahlung, Zinsen beziehungsweise Beteiligungsvergütung, Tilgung, Kapitaldienst und Restschuld am Jahresende für die Planjahre 1 bis 5 sowie in Tabelle B.5 den Kapitaldienst aller Bausteine über die gesamte Laufzeit von 20 Jahren; die vollständigen Tilgungspläne je Baustein stehen in der Excel-Datei. Die Zinssätze sind Planannahmen (6,40 bis 7,00 % p. a.); den individuellen Satz legt die Hausbank nach Preisklasse fest. Der KfW ERP-Gründerkredit StartGeld (067) wurde geprüft und nicht angesetzt, weil er nur bei einem Gesamtfremdfinanzierungsbedarf von höchstens 200.000 € förderfähig ist (Quellen: Anhang I).</w:t>
      </w:r>
    </w:p>
    <w:p>
      <w:pPr>
        <w:pStyle w:val="Heading2"/>
        <w:keepNext w:val="true"/>
        <w:spacing w:before="280" w:after="120"/>
        <w:rPr/>
      </w:pPr>
      <w:bookmarkStart w:id="98" w:name="__RefHeading___Toc21297_3809407278"/>
      <w:bookmarkEnd w:id="98"/>
      <w:r>
        <w:rPr/>
        <w:t>11.3 Anhang C – Liquiditätsplan (monatlich)</w:t>
      </w:r>
    </w:p>
    <w:p>
      <w:pPr>
        <w:pStyle w:val="Normal"/>
        <w:spacing w:lineRule="exact" w:line="276" w:before="0" w:after="120"/>
        <w:jc w:val="both"/>
        <w:rPr/>
      </w:pPr>
      <w:r>
        <w:rPr>
          <w:rFonts w:eastAsia="Arial" w:cs="Arial"/>
          <w:sz w:val="22"/>
          <w:szCs w:val="22"/>
        </w:rPr>
        <w:t>Anhang C enthält den monatlichen Liquiditätsplan des Basisszenarios für die Monate −5 bis 36 (April 2027 bis August 2030) mit allen Zahlungsströmen brutto: Einzahlungen aus Beiträgen und Nebenumsätzen, Auszahlungen für Investition, Betriebskosten und Kapitaldienst, Umsatzsteuer-Zahllast und Vorsteuererstattung mit einem Monat Verzögerung, Eigenkapital- und Darlehenszuflüsse sowie Kassenbestand am Monatsende. Der Kassentiefststand von 107.975 € im 18. Monat und die Deckung der Anlaufphase durch die Reserve von 740.000 € sind hier nachvollziehbar; alle 60 Betriebsmonate stehen in der Excel-Datei.</w:t>
      </w:r>
    </w:p>
    <w:p>
      <w:pPr>
        <w:pStyle w:val="Heading2"/>
        <w:keepNext w:val="true"/>
        <w:spacing w:before="280" w:after="120"/>
        <w:rPr/>
      </w:pPr>
      <w:bookmarkStart w:id="99" w:name="__RefHeading___Toc21299_3809407278"/>
      <w:bookmarkEnd w:id="99"/>
      <w:r>
        <w:rPr/>
        <w:t>11.4 Anhang D – Rentabilitätsvorschau (Plan-GuV)</w:t>
      </w:r>
    </w:p>
    <w:p>
      <w:pPr>
        <w:pStyle w:val="Normal"/>
        <w:spacing w:lineRule="exact" w:line="276" w:before="0" w:after="120"/>
        <w:jc w:val="both"/>
        <w:rPr/>
      </w:pPr>
      <w:r>
        <w:rPr>
          <w:rFonts w:eastAsia="Arial" w:cs="Arial"/>
          <w:sz w:val="22"/>
          <w:szCs w:val="22"/>
        </w:rPr>
        <w:t>Anhang D enthält die vollständige Plan-Gewinn-und-Verlustrechnung der Jahre 1 bis 5 für das Basisszenario (Umsatz nach Erlösarten, Wareneinsatz, Personal, Raumkosten, Marketing, Sachkosten, EBITDA, Abschreibungen, Zinsen, Ergebnis vor und nach Steuern, Verlustvortrag) sowie Kurzfassungen für das pessimistische und das optimistische Szenario. Die Kapitaldienstfähigkeit (DSCR) je Jahr ist ausgewiesen.</w:t>
      </w:r>
    </w:p>
    <w:p>
      <w:pPr>
        <w:pStyle w:val="Heading2"/>
        <w:keepNext w:val="true"/>
        <w:spacing w:before="280" w:after="120"/>
        <w:rPr/>
      </w:pPr>
      <w:bookmarkStart w:id="100" w:name="__RefHeading___Toc21301_3809407278"/>
      <w:bookmarkEnd w:id="100"/>
      <w:r>
        <w:rPr/>
        <w:t>11.5 Anhang E – Planungsannahmen</w:t>
      </w:r>
    </w:p>
    <w:p>
      <w:pPr>
        <w:pStyle w:val="Normal"/>
        <w:spacing w:lineRule="exact" w:line="276" w:before="0" w:after="120"/>
        <w:jc w:val="both"/>
        <w:rPr/>
      </w:pPr>
      <w:r>
        <w:rPr>
          <w:rFonts w:eastAsia="Arial" w:cs="Arial"/>
          <w:sz w:val="22"/>
          <w:szCs w:val="22"/>
        </w:rPr>
        <w:t>Anhang E listet die wesentlichen Annahmen des Finanzmodells als Auszug aus dem Excel-Blatt „Annahmen“, das alle Annahmen vollständig enthält: Projekt und Flächen, Miete und Nebenkosten, Tarife und Nebenumsätze, Mitgliederentwicklung und Kündigungsquote, Stellenplan und Abgabensätze, Sachkosten, Vorlaufkosten, Investitions- und Abschreibungsregeln, Zahlungsplan, Finanzierungsbausteine, Steuersätze und Szenariofaktoren. Jede Annahme ist mit ihrer Quelle oder Herleitung versehen.</w:t>
      </w:r>
    </w:p>
    <w:p>
      <w:pPr>
        <w:pStyle w:val="Heading2"/>
        <w:keepNext w:val="true"/>
        <w:spacing w:before="280" w:after="120"/>
        <w:rPr/>
      </w:pPr>
      <w:bookmarkStart w:id="101" w:name="__RefHeading___Toc21303_3809407278"/>
      <w:bookmarkEnd w:id="101"/>
      <w:r>
        <w:rPr/>
        <w:t>11.6 Anhang F – Grundriss</w:t>
      </w:r>
    </w:p>
    <w:p>
      <w:pPr>
        <w:pStyle w:val="Normal"/>
        <w:spacing w:lineRule="exact" w:line="276" w:before="0" w:after="120"/>
        <w:jc w:val="both"/>
        <w:rPr/>
      </w:pPr>
      <w:r>
        <w:rPr>
          <w:rFonts w:eastAsia="Arial" w:cs="Arial"/>
          <w:sz w:val="22"/>
          <w:szCs w:val="22"/>
        </w:rPr>
        <w:t>Anhang F zeigt den Grundriss des Studios aus der Planungssoftware GymPlanner (Erdgeschoss, Halle 59,50 × 33,20 m, 1.975,40 m² Bruttofläche) mit allen 26 Räumen und Zonen samt Flächen, der Geräteaufstellung mit Sicherheitsabständen, den sechs Notausgängen, den zwölf gezeichneten Fluchtwegen und der Sicherheitsausstattung (Feuerlöscher, AED, Verbandkästen, Rettungszeichenleuchten). Der Grundriss ist die Vorlage für die Bauvorlagen der Nutzungsänderung und für die Kostenschätzung der Fachplaner (Quellen: Anhang I).</w:t>
      </w:r>
    </w:p>
    <w:p>
      <w:pPr>
        <w:pStyle w:val="Heading2"/>
        <w:keepNext w:val="true"/>
        <w:spacing w:before="280" w:after="120"/>
        <w:rPr/>
      </w:pPr>
      <w:bookmarkStart w:id="102" w:name="__RefHeading___Toc21305_3809407278"/>
      <w:bookmarkEnd w:id="102"/>
      <w:r>
        <w:rPr/>
        <w:t>11.7 Anhang G – Immobilien-Shortlist</w:t>
      </w:r>
    </w:p>
    <w:p>
      <w:pPr>
        <w:pStyle w:val="Normal"/>
        <w:spacing w:lineRule="exact" w:line="276" w:before="0" w:after="120"/>
        <w:jc w:val="both"/>
        <w:rPr/>
      </w:pPr>
      <w:r>
        <w:rPr>
          <w:rFonts w:eastAsia="Arial" w:cs="Arial"/>
          <w:sz w:val="22"/>
          <w:szCs w:val="22"/>
        </w:rPr>
        <w:t>Anhang G enthält je zwölf Hallenobjekte in der Bodenseeregion und in der Region Stuttgart aus der Portalrecherche vom September 2026 mit Ort, Fläche, Kaltmiete, Deckenhöhe und Bemerkungen zur Eignung. Alle Angaben beruhen auf Suchseiten-Snippets von Immowelt und ImmobilienScout24 und sind vor dem Bankgespräch durch Exposés, Bebauungsplan-Auszüge und Mietangebote der Eigentümer zu ersetzen (Quellen: Anhang I).</w:t>
      </w:r>
    </w:p>
    <w:p>
      <w:pPr>
        <w:pStyle w:val="Heading2"/>
        <w:keepNext w:val="true"/>
        <w:spacing w:before="280" w:after="120"/>
        <w:rPr/>
      </w:pPr>
      <w:bookmarkStart w:id="103" w:name="__RefHeading___Toc21307_3809407278"/>
      <w:bookmarkEnd w:id="103"/>
      <w:r>
        <w:rPr/>
        <w:t>11.8 Anhang H – Regularien-Checkliste</w:t>
      </w:r>
    </w:p>
    <w:p>
      <w:pPr>
        <w:pStyle w:val="Normal"/>
        <w:spacing w:lineRule="exact" w:line="276" w:before="0" w:after="120"/>
        <w:jc w:val="both"/>
        <w:rPr/>
      </w:pPr>
      <w:r>
        <w:rPr>
          <w:rFonts w:eastAsia="Arial" w:cs="Arial"/>
          <w:sz w:val="22"/>
          <w:szCs w:val="22"/>
        </w:rPr>
        <w:t>Anhang H fasst das Ergebnis der automatisierten Regularienprüfung der Planungssoftware zusammen: 121 Prüfpunkte nach Arbeitsstättenregeln (ASR), DGUV-Vorschriften, Musterbauordnung, DIN EN ISO 20957-1, DIN 18040-1 und Trinkwasserverordnung, davon 114 erfüllt, 6 organisatorische Hinweise und 1 nicht anwendbar (Versammlungsstättenverordnung). Die Checkliste ist eine Planungshilfe und ersetzt nicht das Brandschutzkonzept und die Abstimmung mit der Baurechtsbehörde (Quellen: Anhang I).</w:t>
      </w:r>
    </w:p>
    <w:p>
      <w:pPr>
        <w:pStyle w:val="Heading2"/>
        <w:keepNext w:val="true"/>
        <w:spacing w:before="280" w:after="120"/>
        <w:rPr/>
      </w:pPr>
      <w:bookmarkStart w:id="104" w:name="__RefHeading___Toc21309_3809407278"/>
      <w:bookmarkEnd w:id="104"/>
      <w:r>
        <w:rPr/>
        <w:t>11.9 Anhang I – Quellen</w:t>
      </w:r>
    </w:p>
    <w:p>
      <w:pPr>
        <w:pStyle w:val="Normal"/>
        <w:spacing w:lineRule="exact" w:line="276" w:before="0" w:after="120"/>
        <w:jc w:val="both"/>
        <w:rPr/>
      </w:pPr>
      <w:r>
        <w:rPr>
          <w:rFonts w:eastAsia="Arial" w:cs="Arial"/>
          <w:sz w:val="22"/>
          <w:szCs w:val="22"/>
        </w:rPr>
        <w:t>Anhang I führt alle in den Kapiteln zitierten Quellen alphabetisch mit Kurzzitat, Adresse und Abrufdatum auf: Branchenstatistiken (DSSV, Deloitte, DHfPG), Förderprogramme (KfW, L-Bank, Bürgschaftsbank und MBG Baden-Württemberg), Betriebskennzahlen (DSSV-Kostenrichtwerte, GEHALT.de, GEMA, Versicherer), Standortdaten (Statistisches Landesamt, IHK, Pendleratlas, Immobilienportale) sowie Rechtsquellen (BGB, GmbHG, UStG, LBO, BauNVO, DSGVO). Die vollständigen Rechercheprotokolle liegen dem Plan digital bei.</w:t>
      </w:r>
    </w:p>
    <w:p>
      <w:pPr>
        <w:pStyle w:val="Heading2"/>
        <w:keepNext w:val="true"/>
        <w:spacing w:before="280" w:after="120"/>
        <w:rPr/>
      </w:pPr>
      <w:bookmarkStart w:id="105" w:name="__RefHeading___Toc21311_3809407278"/>
      <w:bookmarkEnd w:id="105"/>
      <w:r>
        <w:rPr/>
        <w:t>11.10 Checkliste der Unterlagen für das Bankgespräch</w:t>
      </w:r>
    </w:p>
    <w:p>
      <w:pPr>
        <w:pStyle w:val="Normal"/>
        <w:spacing w:lineRule="exact" w:line="276" w:before="0" w:after="120"/>
        <w:jc w:val="both"/>
        <w:rPr/>
      </w:pPr>
      <w:r>
        <w:rPr>
          <w:rFonts w:eastAsia="Arial" w:cs="Arial"/>
          <w:sz w:val="22"/>
          <w:szCs w:val="22"/>
        </w:rPr>
        <w:t>Die Sparkassen-Finanzgruppe nennt als Standardunterlagen für eine Gründungsfinanzierung den Businessplan, den Investitionsplan mit Angeboten, eine Vermögensaufstellung beziehungsweise Selbstauskunft, eine Schufa-Auskunft, die Einkommensteuerbescheide der letzten zwei Jahre sowie die Entwürfe von Miet- und Gesellschaftsvertrag (Sparkasse Gründungsfinanzierung). Für die Förderanträge über KfW, L-Bank, Bürgschaftsbank und MBG kommen die programmspezifischen Antragsformulare der Hausbank hinzu. Tabelle 11.1 fasst die Unterlagen mit Status zusammen; die persönlichen Nachweise des Gründers sind in Kapitel 2 (Tabelle 2.2) im Einzelnen aufgeführt.</w:t>
      </w:r>
    </w:p>
    <w:p>
      <w:pPr>
        <w:pStyle w:val="Normal"/>
        <w:keepNext w:val="true"/>
        <w:spacing w:before="160" w:after="80"/>
        <w:jc w:val="left"/>
        <w:rPr/>
      </w:pPr>
      <w:r>
        <w:rPr>
          <w:rFonts w:eastAsia="Arial" w:cs="Arial"/>
          <w:b/>
          <w:bCs/>
          <w:sz w:val="20"/>
          <w:szCs w:val="20"/>
        </w:rPr>
        <w:t>Tabelle 11.1: Unterlagen für das Bankgespräch (Status vom Gründer zu pflegen)</w:t>
      </w:r>
    </w:p>
    <w:tbl>
      <w:tblPr>
        <w:tblW w:w="9638" w:type="dxa"/>
        <w:jc w:val="left"/>
        <w:tblInd w:w="0" w:type="dxa"/>
        <w:tblLayout w:type="fixed"/>
        <w:tblCellMar>
          <w:top w:w="40" w:type="dxa"/>
          <w:left w:w="70" w:type="dxa"/>
          <w:bottom w:w="40" w:type="dxa"/>
          <w:right w:w="70" w:type="dxa"/>
        </w:tblCellMar>
      </w:tblPr>
      <w:tblGrid>
        <w:gridCol w:w="2120"/>
        <w:gridCol w:w="4241"/>
        <w:gridCol w:w="1542"/>
        <w:gridCol w:w="1734"/>
      </w:tblGrid>
      <w:tr>
        <w:trPr>
          <w:tblHeader w:val="true"/>
        </w:trPr>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Unterlage</w:t>
            </w:r>
          </w:p>
        </w:tc>
        <w:tc>
          <w:tcPr>
            <w:tcW w:w="424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Inhalt / Zweck</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Anlage</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Status</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Businessplan mit Finanzplan</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Dieses Dokument (Kapitel 1 bis 11) mit Anhängen A bis I und Excel-Planrechnung Finanzplan_No1.xlsx</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Hauptdokument, Excel digital</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vor</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Investitionsplan mit Angeboten</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Anhang A; verbindliche Angebote Atlantis/Prime (Europa-Vertrieb), Cardio-Hersteller, Sauna-/Dampfbadbauer; mindestens zwei Kostenschätzungen Fachplaner für Ausbau und Lüftung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Anhang A + Angebote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[Angebote einzuholen]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Angebote der Gerätehersteller</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Kraftgeräte 268.570 €, Cardio 104.760 €, Wellness 55.850 € (netto) mit Lieferzeiten und CE-Konformität der Importgeräte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 zu Anhang A</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[einzuholen]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Vermögensaufstellung / Selbstauskunft</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Formular der Hausbank; Nachweis der Eigenmittel [Eigenmittel] mit Kontoauszügen, ggf. Schenkungs- oder Nachrangdarlehensvertrag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[auszufüllen]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Schufa-Auskunft</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Nicht älter als drei Monate</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[zu beantragen]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Einkommensteuerbescheide</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Letzte zwei Jahre; bei fehlender Veranlagung Aufstellung der bisherigen Einkünfte mit Erklärung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 / Erklärung]</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Lebenslauf und Zeugnisse</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Tabellarischer Lebenslauf, Schul- und Ausbildungszeugnisse, Trainerlizenzen, Arbeitszeugnisse; Lebenslauf der stellvertretenden Studioleitung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[liegt bei]</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Mietvertragsentwurf / Letter of Intent</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Objekt aus Anhang G mit Exposé, Grundriss, Bebauungsplan-Auszug; 10 Jahre, 8,50 €/m², 3 mietfreie Monate, aufschiebende Bedingung Baugenehmigung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[nach Objektwahl]</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Gesellschaftsvertragsentwurf</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GmbH, Stammkapital 25.000 €, Vertretungsregelung, Thesaurierung; daneben Entwurf des Beteiligungsvertrags der MBG (Nachrang) nach deren Vorgaben</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[Notar / Anwalt]</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Versicherungsangebote</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Betriebshaftpflicht, Geschäftsinhalt (ca. 1,5 Mio. € Sachwert), Betriebsunterbrechung, Elektronik; Risikolebens- und BU-Versicherung des Gründers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[Makler]</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Fachkundige Stellungnahme</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IHK-Gründungsberatung zur Plausibilität von Konzept und Finanzplan</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[zu beauftragen]</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Förderanträge</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KfW 077 (Antrag vor Vorhabensbeginn), L-Bank GuW-BW, Bürgschaftsantrag Bürgschaftsbank BW, Beteiligungsanfrage MBG</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Formulare der Hausbank</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[mit der Bank]</w:t>
            </w:r>
          </w:p>
        </w:tc>
      </w:tr>
      <w:tr>
        <w:trPr/>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Ergänzende Nachweise</w:t>
            </w:r>
          </w:p>
        </w:tc>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Bauvoranfrage oder Stellungnahme der Baurechtsbehörde, Angebot Steuerberater, Studiosoftware, Interessentenliste Vorverkauf, Absichtserklärungen Firmenfitness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Anlage</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[optional, stärkt den Antrag]</w:t>
            </w:r>
          </w:p>
        </w:tc>
      </w:tr>
    </w:tbl>
    <w:p>
      <w:pPr>
        <w:pStyle w:val="Normal"/>
        <w:spacing w:before="60" w:after="200"/>
        <w:jc w:val="left"/>
        <w:rPr/>
      </w:pPr>
      <w:r>
        <w:rPr>
          <w:rFonts w:eastAsia="Arial" w:cs="Arial"/>
          <w:i/>
          <w:iCs/>
          <w:color w:val="5A5A5A"/>
          <w:sz w:val="18"/>
          <w:szCs w:val="18"/>
        </w:rPr>
        <w:t>Quelle: Sparkasse Gründungsfinanzierung (Rechercheprotokoll (Anhang I)); KfW-Merkblatt 077; Bürgschaftsbank BW; MBG BW; Kapitel 2, 3, 5, 8 und 10 dieses Plans.</w:t>
      </w:r>
    </w:p>
    <w:p>
      <w:pPr>
        <w:pStyle w:val="Heading2"/>
        <w:keepNext w:val="true"/>
        <w:spacing w:before="280" w:after="120"/>
        <w:rPr/>
      </w:pPr>
      <w:bookmarkStart w:id="106" w:name="__RefHeading___Toc21313_3809407278"/>
      <w:bookmarkEnd w:id="106"/>
      <w:r>
        <w:rPr/>
        <w:t>11.11 Glossar</w:t>
      </w:r>
    </w:p>
    <w:p>
      <w:pPr>
        <w:pStyle w:val="Normal"/>
        <w:keepNext w:val="true"/>
        <w:spacing w:before="160" w:after="80"/>
        <w:jc w:val="left"/>
        <w:rPr/>
      </w:pPr>
      <w:r>
        <w:rPr>
          <w:rFonts w:eastAsia="Arial" w:cs="Arial"/>
          <w:b/>
          <w:bCs/>
          <w:sz w:val="20"/>
          <w:szCs w:val="20"/>
        </w:rPr>
        <w:t>Tabelle 11.2: Fachbegriffe des Finanzplans</w:t>
      </w:r>
    </w:p>
    <w:tbl>
      <w:tblPr>
        <w:tblW w:w="9638" w:type="dxa"/>
        <w:jc w:val="left"/>
        <w:tblInd w:w="0" w:type="dxa"/>
        <w:tblLayout w:type="fixed"/>
        <w:tblCellMar>
          <w:top w:w="40" w:type="dxa"/>
          <w:left w:w="70" w:type="dxa"/>
          <w:bottom w:w="40" w:type="dxa"/>
          <w:right w:w="70" w:type="dxa"/>
        </w:tblCellMar>
      </w:tblPr>
      <w:tblGrid>
        <w:gridCol w:w="2698"/>
        <w:gridCol w:w="6939"/>
      </w:tblGrid>
      <w:tr>
        <w:trPr>
          <w:tblHeader w:val="true"/>
        </w:trPr>
        <w:tc>
          <w:tcPr>
            <w:tcW w:w="269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Begriff</w:t>
            </w:r>
          </w:p>
        </w:tc>
        <w:tc>
          <w:tcPr>
            <w:tcW w:w="693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Erklärung und Bezug zum Plan</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Kapitaldienst</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Summe aus Zinsen, Beteiligungsvergütung und Tilgung eines Jahres; im Plan 187.801 € im dritten und 260.585 € im vierten Jahr.</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Kapitaldienstfähigkeit / DSCR</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Debt Service Coverage Ratio: EBITDA abzüglich Ertragsteuern geteilt durch den Kapitaldienst; Werte über 1,0 bedeuten, dass der Kapitaldienst aus dem laufenden Betrieb gedeckt ist. Plan: 2,12 (Jahr 3), 1,61 (Jahr 4); Der Plan verwendet nach der Anlaufphase eine Warnschwelle von 1,2 als bankübliche Größenordnung (Kapitel 10.8, Tabelle 10.16); die IHK Stuttgart bezeichnet die Kapitaldienstfähigkeit als Kernstück jeder Kreditbeurteilung (Quellen: Anhang I).</w:t>
            </w:r>
          </w:p>
        </w:tc>
      </w:tr>
      <w:tr>
        <w:trPr/>
        <w:tc>
          <w:tcPr>
            <w:tcW w:w="269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EBITDA</w:t>
            </w:r>
          </w:p>
        </w:tc>
        <w:tc>
          <w:tcPr>
            <w:tcW w:w="693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Ergebnis vor Zinsen, Steuern und Abschreibungen; Maß für den Cashflow aus dem Betrieb. Plan Jahr 3: 398.960 € (EBITDA-Marge 29,2 %).</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Annuität / Ratentilgung</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Annuität: gleichbleibende Rate aus Zins und Tilgung; Ratentilgung: gleichbleibende Tilgung, mit sinkender Restschuld fallende Rate. Die Tilgungspläne in Anhang B rechnen mit Ratentilgung nach den tilgungsfreien Jahren.</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Tilgungsfreie Anlaufjahre</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Jahre zu Beginn der Laufzeit, in denen nur Zinsen gezahlt werden; KfW 077: 5 Jahre, L-Bank GuW-BW: 3 Jahre. Sie passen den Kapitaldienst an den Mitgliederaufbau an.</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Zinsbindung</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Zeitraum mit festem Zinssatz; KfW 077 und L-Bank 10 Jahre. Danach ist ein Anschlusszins zu vereinbaren (Zinsrisiko, Kapitel 9).</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Haftungsfreistellung</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Übernahme eines Teils des Ausfallrisikos der Hausbank durch die KfW, beim ERP-Gründerkredit StartGeld (067) 80 %. Das StartGeld wurde geprüft und nicht angesetzt, weil es nur bei einem Gesamtfremdfinanzierungsbedarf bis 200.000 € förderfähig ist; im Plan übernimmt die Bürgschaftsbank diese Funktion (siehe Ausfallbürgschaft / Garantie).</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Ausfallbürgschaft / Garantie</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Die Bürgschaftsbank Baden-Württemberg haftet gegenüber der Hausbank für einen Teil des Kredits (L-Bank-Darlehen 80 %, KfW 077 100 % mit anteiliger Rückgarantie des Bundes); sie ersetzt fehlende bankübliche Sicherheiten, verlangt aber die persönliche Mitverpflichtung des Gesellschafters.</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Stille Beteiligung / Nachrangkapital</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Beteiligung der MBG Baden-Württemberg (250.000 €) ohne Stimmrechte, im Insolvenzfall nachrangig gegenüber Bankdarlehen und deshalb wirtschaftliches Eigenkapital; feste plus erfolgsabhängige Vergütung, endfällig nach 10 Jahren.</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Eigenkapitalquote</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von Eigenmitteln und eigenkapitalähnlichen Mitteln am Kapitalbedarf; Plan 400.000 € von 2.652.583 € = 15,1 %.</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Vorsteuer / Umsatzsteuer-Zwischenfinanzierung</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Die in Eingangsrechnungen enthaltene Umsatzsteuer (340.941 € auf die Investition), die das Finanzamt nach der Voranmeldung erstattet; bis dahin ist sie aus der Kasse oder dem Kontokorrent zu finanzieren (höchster offener Betrag 366.018 €).</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Anlaufreserve (Betriebsmittelreserve)</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Im Kapitalbedarf enthaltener Betrag (740.000 €), der die Verluste und den Kapitaldienst der Anlaufphase bis zum 24. Betriebsmonat deckt; Herleitung aus dem maximalen kumulierten Fehlbetrag (640.858 € im 18. Betriebsmonat) plus 15 % Puffer = 736.987 €, aufgerundet.</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Break-even</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Punkt, ab dem Erlöse die Kosten decken. EBITDA-Break-even Monat 12, Cashflow-Break-even nach Kapitaldienst Monat 19; Break-even-Mitgliederzahl 1.572 (ohne) bzw. 2.018 (mit Kapitaldienst).</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ARPU</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Average Revenue per User: durchschnittlicher Beitrag je Mitglied und Monat; Plan 50,15 € brutto bzw. 42,14 € netto, zuzüglich 6,20 € brutto Nebenumsatz.</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Churn (Kündigungsquote)</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der Mitglieder, die je Monat kündigen; Plan 2,2 % je Monat (kumuliert 23,4 % je Jahr), Branchendurchschnitt rund 25 % je Jahr (DSSV 2019 in Kruse 2021).</w:t>
            </w:r>
          </w:p>
        </w:tc>
      </w:tr>
      <w:tr>
        <w:trPr/>
        <w:tc>
          <w:tcPr>
            <w:tcW w:w="26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Deckungsbeitrag je Mitglied</w:t>
            </w:r>
          </w:p>
        </w:tc>
        <w:tc>
          <w:tcPr>
            <w:tcW w:w="69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Nettoerlös je Mitglied und Monat abzüglich variabler Kosten (Wareneinsatz, Zahlungsentgelte); Plan 49,40 € netto, Grundlage der Break-even-Rechnung.</w:t>
            </w:r>
          </w:p>
        </w:tc>
      </w:tr>
    </w:tbl>
    <w:p>
      <w:pPr>
        <w:pStyle w:val="Normal"/>
        <w:spacing w:before="60" w:after="200"/>
        <w:jc w:val="left"/>
        <w:rPr/>
      </w:pPr>
      <w:r>
        <w:rPr>
          <w:rFonts w:eastAsia="Arial" w:cs="Arial"/>
          <w:i/>
          <w:iCs/>
          <w:color w:val="5A5A5A"/>
          <w:sz w:val="18"/>
          <w:szCs w:val="18"/>
        </w:rPr>
        <w:t>Quelle: Excel-Planrechnung (Finanzmodell), Rechercheprotokoll (Anhang I; KfW, L-Bank, Bürgschaftsbank BW, MBG BW, IHK Stuttgart); Definitionen nach banküblicher Verwendung.</w:t>
      </w:r>
    </w:p>
    <w:p>
      <w:pPr>
        <w:pStyle w:val="Normal"/>
        <w:pBdr>
          <w:left w:val="single" w:sz="18" w:space="8" w:color="EDA100"/>
        </w:pBdr>
        <w:shd w:val="clear" w:color="auto" w:fill="FFF8DC"/>
        <w:spacing w:lineRule="exact" w:line="260" w:before="120" w:after="160"/>
        <w:ind w:left="120"/>
        <w:jc w:val="left"/>
        <w:rPr/>
      </w:pPr>
      <w:r>
        <w:rPr>
          <w:rFonts w:eastAsia="Arial" w:cs="Arial"/>
          <w:b/>
          <w:bCs/>
          <w:color w:val="1F3A5F"/>
          <w:sz w:val="20"/>
          <w:szCs w:val="20"/>
        </w:rPr>
        <w:t xml:space="preserve">Hinweis: </w:t>
      </w:r>
      <w:r>
        <w:rPr>
          <w:rFonts w:eastAsia="Arial" w:cs="Arial"/>
          <w:sz w:val="20"/>
          <w:szCs w:val="20"/>
        </w:rPr>
        <w:t>Alle Zahlen dieses Businessplans und der Anhänge A bis E stammen aus der beiliegenden Excel-Planrechnung Finanzplan_No1.xlsx (Stand 27.09.2026). Änderungen an Annahmen sind ausschließlich dort vorzunehmen; die Tabellen des Plans sind danach neu zu erzeugen, damit Text, Anhänge und Excel-Datei übereinstimmen.</w:t>
      </w:r>
      <w:r>
        <w:br w:type="page"/>
      </w:r>
    </w:p>
    <w:p>
      <w:pPr>
        <w:pStyle w:val="Heading1"/>
        <w:spacing w:before="360" w:after="200"/>
        <w:rPr/>
      </w:pPr>
      <w:bookmarkStart w:id="107" w:name="__RefHeading___Toc21315_3809407278"/>
      <w:bookmarkEnd w:id="107"/>
      <w:r>
        <w:rPr/>
        <w:t>Anhang A – Investitions- und Geräteliste</w:t>
      </w:r>
    </w:p>
    <w:p>
      <w:pPr>
        <w:pStyle w:val="Normal"/>
        <w:keepNext w:val="true"/>
        <w:spacing w:before="200" w:after="80"/>
        <w:jc w:val="left"/>
        <w:rPr/>
      </w:pPr>
      <w:r>
        <w:rPr>
          <w:rFonts w:eastAsia="Arial" w:cs="Arial"/>
          <w:b/>
          <w:bCs/>
          <w:sz w:val="20"/>
          <w:szCs w:val="20"/>
        </w:rPr>
        <w:t>Tabelle A.1: Investitionsplan (netto, EUR)</w:t>
      </w:r>
    </w:p>
    <w:tbl>
      <w:tblPr>
        <w:tblW w:w="9638" w:type="dxa"/>
        <w:jc w:val="left"/>
        <w:tblInd w:w="0" w:type="dxa"/>
        <w:tblLayout w:type="fixed"/>
        <w:tblCellMar>
          <w:top w:w="40" w:type="dxa"/>
          <w:left w:w="70" w:type="dxa"/>
          <w:bottom w:w="40" w:type="dxa"/>
          <w:right w:w="70" w:type="dxa"/>
        </w:tblCellMar>
      </w:tblPr>
      <w:tblGrid>
        <w:gridCol w:w="3276"/>
        <w:gridCol w:w="964"/>
        <w:gridCol w:w="1157"/>
        <w:gridCol w:w="771"/>
        <w:gridCol w:w="1156"/>
        <w:gridCol w:w="2313"/>
      </w:tblGrid>
      <w:tr>
        <w:trPr>
          <w:tblHeader w:val="true"/>
        </w:trPr>
        <w:tc>
          <w:tcPr>
            <w:tcW w:w="327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Position</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Gruppe</w:t>
            </w:r>
          </w:p>
        </w:tc>
        <w:tc>
          <w:tcPr>
            <w:tcW w:w="115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Betrag netto</w:t>
            </w:r>
          </w:p>
        </w:tc>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AfA Jahre</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Zahlung ab Monat</w:t>
            </w:r>
          </w:p>
        </w:tc>
        <w:tc>
          <w:tcPr>
            <w:tcW w:w="231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Hinweis</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Kraftgeräte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268.570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52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Freihantel-Zubehör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4.300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10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Cardio</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104.760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20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Functional</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6.709</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22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Kursraum</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20.610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28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Empfang &amp; Lounge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25.274</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28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Umkleide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32.310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39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Sanitär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26.250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18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Wellness</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55.850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8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Büro &amp; Personal</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5.450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12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Lager &amp; Technik</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8.850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14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Geräte Ausstattung</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Geraete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32.035</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111 Objekte lt. Stückliste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Import-Nebenkosten (Fracht, Zoll) Atlantis/Prime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Import</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32.228</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Fracht, Zoll, EUSt auf Atlantis/Prime-Geräte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Grundausbau (Trockenbau, Elektro, LED, Heizung, Maler)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Ausbau</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482.784</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1931 m² × 250 €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Sportboden Trainingsfläche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Ausbau</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62.622</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1139 m² × 55 €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Nassbereich-Boden Umkleide/Sanitär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Ausbau</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14.309</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159 m² × 90 €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Lüftung (RLT-Anlage)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Ausbau</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212.425</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1931 m² × 110 €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Spiegelwände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Ausbau</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21.714</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33 m × 660 €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Brandschutz / Sicherheitsbeleuchtung</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Ausbau</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57.934</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1931 m² × 30 €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Sanitärinstallation Duschen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Sanitaer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27.000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18 Stk. × 1500 €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Sanitärinstallation WCs/Urinale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Sanitaer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8.800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11 Stk. × 800 €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Sanitärinstallation Waschtische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Sanitaer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4.000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8 Stk. × 500 €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Planung, Fachplaner, Genehmigung (Nutzungsänderung)</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Planung</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106.991</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 (5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Prozent der Ausbau- und Sanitärsumme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Zutrittssystem, Studiosoftware-Einrichtung, Kleinmaterial, Brandschutzkonzept</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Sonstiges</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32.000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-2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Marketing, Software, Kleinmaterial</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Unvorhergesehenes (10 % der Investitionssumme)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Unvorhergesehen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165.378</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 (4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Reserve für Mehrkosten im Ausbau</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Mietkaution (3 Monatsmieten inkl. Nebenkosten)</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Kaution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85.930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Sicherheitsleistung, kein Aufwand</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Gründungskosten GmbH (Notar, Handelsregister, Gewerbeanmeldung)</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Gruendung</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2.500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Beratung (Businessplan, Steuerberatung Gründung)</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Gruendung</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5.000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-5 (1 Mon.)</w:t>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Investitionssumme (ohne Anlaufreserve)</w:t>
            </w:r>
          </w:p>
        </w:tc>
        <w:tc>
          <w:tcPr>
            <w:tcW w:w="96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115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1.912.583</w:t>
            </w:r>
          </w:p>
        </w:tc>
        <w:tc>
          <w:tcPr>
            <w:tcW w:w="77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115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231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Anlaufreserve / Betriebsmittel (24 Monate)</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Reserve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740.000</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c>
          <w:tcPr>
            <w:tcW w:w="231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Kapitalbedarf gesamt</w:t>
            </w:r>
          </w:p>
        </w:tc>
        <w:tc>
          <w:tcPr>
            <w:tcW w:w="96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115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2.652.583</w:t>
            </w:r>
          </w:p>
        </w:tc>
        <w:tc>
          <w:tcPr>
            <w:tcW w:w="77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115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c>
          <w:tcPr>
            <w:tcW w:w="231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
          </w:p>
        </w:tc>
      </w:tr>
    </w:tbl>
    <w:p>
      <w:pPr>
        <w:pStyle w:val="Normal"/>
        <w:spacing w:before="60" w:after="200"/>
        <w:jc w:val="left"/>
        <w:rPr/>
      </w:pPr>
      <w:r>
        <w:rPr>
          <w:rFonts w:eastAsia="Arial" w:cs="Arial"/>
          <w:i/>
          <w:iCs/>
          <w:color w:val="5A5A5A"/>
          <w:sz w:val="18"/>
          <w:szCs w:val="18"/>
        </w:rPr>
        <w:t>Quelle: Kostenkalkulation GymPlanner (Projekt No.1 überarbeitet), Miete 8,50 €/m²; Stand 2026-09-27</w:t>
      </w:r>
    </w:p>
    <w:p>
      <w:pPr>
        <w:pStyle w:val="Normal"/>
        <w:keepNext w:val="true"/>
        <w:spacing w:before="200" w:after="80"/>
        <w:jc w:val="left"/>
        <w:rPr/>
      </w:pPr>
      <w:r>
        <w:rPr>
          <w:rFonts w:eastAsia="Arial" w:cs="Arial"/>
          <w:b/>
          <w:bCs/>
          <w:sz w:val="20"/>
          <w:szCs w:val="20"/>
        </w:rPr>
        <w:t>Tabelle A.2: Geräte und Ausstattung je Bibliotheksbereich (Stückliste, netto EUR)</w:t>
      </w:r>
    </w:p>
    <w:tbl>
      <w:tblPr>
        <w:tblW w:w="9638" w:type="dxa"/>
        <w:jc w:val="left"/>
        <w:tblInd w:w="0" w:type="dxa"/>
        <w:tblLayout w:type="fixed"/>
        <w:tblCellMar>
          <w:top w:w="40" w:type="dxa"/>
          <w:left w:w="70" w:type="dxa"/>
          <w:bottom w:w="40" w:type="dxa"/>
          <w:right w:w="70" w:type="dxa"/>
        </w:tblCellMar>
      </w:tblPr>
      <w:tblGrid>
        <w:gridCol w:w="4433"/>
        <w:gridCol w:w="1735"/>
        <w:gridCol w:w="1735"/>
        <w:gridCol w:w="1734"/>
      </w:tblGrid>
      <w:tr>
        <w:trPr>
          <w:tblHeader w:val="true"/>
        </w:trPr>
        <w:tc>
          <w:tcPr>
            <w:tcW w:w="443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Bereich</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Positionen</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Objekte</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 netto</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Kraftgeräte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41</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52</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268.570</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Cardio</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104.760</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Wellness</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55.850</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Umkleide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39</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32.310</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Ausstattung</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111</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32.035</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Sanitär</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26.250</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Empfang &amp; Lounge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25.274</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Kursraum</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20.610</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Lager &amp; Technik</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8.850</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Functional</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6.709</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Büro &amp; Personal</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5.450</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Freihantel-Zubehör</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4.300</w:t>
            </w:r>
          </w:p>
        </w:tc>
      </w:tr>
      <w:tr>
        <w:trPr/>
        <w:tc>
          <w:tcPr>
            <w:tcW w:w="443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Bauelemente</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4433"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147</w:t>
            </w:r>
          </w:p>
        </w:tc>
        <w:tc>
          <w:tcPr>
            <w:tcW w:w="173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369</w:t>
            </w:r>
          </w:p>
        </w:tc>
        <w:tc>
          <w:tcPr>
            <w:tcW w:w="173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590.968</w:t>
            </w:r>
          </w:p>
        </w:tc>
      </w:tr>
    </w:tbl>
    <w:p>
      <w:pPr>
        <w:pStyle w:val="Normal"/>
        <w:spacing w:before="60" w:after="200"/>
        <w:jc w:val="left"/>
        <w:rPr/>
      </w:pPr>
      <w:r>
        <w:rPr>
          <w:rFonts w:eastAsia="Arial" w:cs="Arial"/>
          <w:i/>
          <w:iCs/>
          <w:color w:val="5A5A5A"/>
          <w:sz w:val="18"/>
          <w:szCs w:val="18"/>
        </w:rPr>
        <w:t>Quelle: Stückliste GymPlanner; Preise recherchiert (Preisbasis: liste 11, haendler 128, schaetzung 230, None 0); Import-Anteil Atlantis/Prime 268.570 €</w:t>
      </w:r>
    </w:p>
    <w:p>
      <w:pPr>
        <w:pStyle w:val="Normal"/>
        <w:keepNext w:val="true"/>
        <w:spacing w:before="200" w:after="80"/>
        <w:jc w:val="left"/>
        <w:rPr/>
      </w:pPr>
      <w:r>
        <w:rPr>
          <w:rFonts w:eastAsia="Arial" w:cs="Arial"/>
          <w:b/>
          <w:bCs/>
          <w:sz w:val="20"/>
          <w:szCs w:val="20"/>
        </w:rPr>
        <w:t>Tabelle A.3: Die 30 größten Gerätepositionen (netto EUR)</w:t>
      </w:r>
    </w:p>
    <w:tbl>
      <w:tblPr>
        <w:tblW w:w="9638" w:type="dxa"/>
        <w:jc w:val="left"/>
        <w:tblInd w:w="0" w:type="dxa"/>
        <w:tblLayout w:type="fixed"/>
        <w:tblCellMar>
          <w:top w:w="40" w:type="dxa"/>
          <w:left w:w="70" w:type="dxa"/>
          <w:bottom w:w="40" w:type="dxa"/>
          <w:right w:w="70" w:type="dxa"/>
        </w:tblCellMar>
      </w:tblPr>
      <w:tblGrid>
        <w:gridCol w:w="2890"/>
        <w:gridCol w:w="1157"/>
        <w:gridCol w:w="1349"/>
        <w:gridCol w:w="771"/>
        <w:gridCol w:w="1156"/>
        <w:gridCol w:w="1158"/>
        <w:gridCol w:w="1156"/>
      </w:tblGrid>
      <w:tr>
        <w:trPr>
          <w:tblHeader w:val="true"/>
        </w:trPr>
        <w:tc>
          <w:tcPr>
            <w:tcW w:w="289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Position</w:t>
            </w:r>
          </w:p>
        </w:tc>
        <w:tc>
          <w:tcPr>
            <w:tcW w:w="115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Hersteller</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Bereich</w:t>
            </w:r>
          </w:p>
        </w:tc>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Anzahl</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Stückpreis</w:t>
            </w:r>
          </w:p>
        </w:tc>
        <w:tc>
          <w:tcPr>
            <w:tcW w:w="115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Summe</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Preisbasis</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Laufband</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Cardio</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8.000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40.000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Stairmaster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Cardio</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6.500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26.000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schaetzung</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Finnische Sauna 400 × 300</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Wellness</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schaetzung</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Crosstrainer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Cardio</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7.000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21.000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schaetzung</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Dampfbad</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Wellness</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schaetzung</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Converging incline bench press</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5.080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15.240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Wasserspender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Ausstattung</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15.000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Indoor-Cycling-Rad (Kurs)</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Kursraum</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1.850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14.800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Smith machine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7.240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14.480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Unilateral lat pulldown (NM500 model)</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7.020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14.040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Low Row (D124 model)</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5.870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11.740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Horizontal leg press</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10.610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10.610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Lat Pulldown (D123 model)</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5.270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10.540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Reihendusche (4 Plätze)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Sanitär</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10.400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schaetzung</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Ergometer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Cardio</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3.300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9.900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Biceps isolator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9.400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9.400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Half rack</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3.100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9.300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Pendulum Squat Pro</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9.280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9.280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40 Degree leg press</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8.470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8.470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Hack squat</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8.310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8.310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Standing lateral raise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8.140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8.140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Assisted chin/dip</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7.950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7.950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Triceps pushdown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7.950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7.950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Leg extension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7.590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7.590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Incline pec fly</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3.750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7.500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schaetzung</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Kneeling leg curl</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7.410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7.410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Lying leg curl</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7.220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7.220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WC-Kabine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Generisch</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Sanitär</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1.150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6.900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Glute Abductor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6.830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6.830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r>
        <w:trPr/>
        <w:tc>
          <w:tcPr>
            <w:tcW w:w="289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Lat pulldown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Atlantis</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Kraftgeräte</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6.480</w:t>
            </w:r>
          </w:p>
        </w:tc>
        <w:tc>
          <w:tcPr>
            <w:tcW w:w="115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6.480</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haendler</w:t>
            </w:r>
          </w:p>
        </w:tc>
      </w:tr>
    </w:tbl>
    <w:p>
      <w:pPr>
        <w:pStyle w:val="Normal"/>
        <w:spacing w:before="60" w:after="200"/>
        <w:jc w:val="left"/>
        <w:rPr/>
      </w:pPr>
      <w:r>
        <w:rPr>
          <w:rFonts w:eastAsia="Arial" w:cs="Arial"/>
          <w:i/>
          <w:iCs/>
          <w:color w:val="5A5A5A"/>
          <w:sz w:val="18"/>
          <w:szCs w:val="18"/>
        </w:rPr>
        <w:t>Preisbasis: liste = Herstellerliste, haendler = Händlerangebot, schaetzung = Richtwert; vor Bestellung durch Angebote zu ersetzen</w:t>
      </w:r>
    </w:p>
    <w:p>
      <w:pPr>
        <w:pStyle w:val="Normal"/>
        <w:keepNext w:val="true"/>
        <w:spacing w:before="200" w:after="80"/>
        <w:jc w:val="left"/>
        <w:rPr/>
      </w:pPr>
      <w:r>
        <w:rPr>
          <w:rFonts w:eastAsia="Arial" w:cs="Arial"/>
          <w:b/>
          <w:bCs/>
          <w:sz w:val="20"/>
          <w:szCs w:val="20"/>
        </w:rPr>
        <w:t>Tabelle A.4: Geräteliste Bereich Kraftgeräte (52 Objekte, 268.570 €)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Converging incline bench press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P443</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15.240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Smith machine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E155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7.240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14.480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Unilateral lat pulldown (NM500 model)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MS12</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7.020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14.040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Low Row (D124 model)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MS7</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5.870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11.740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Horizontal leg press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C403</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10.610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10.610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Lat Pulldown (D123 model)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MS6</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5.270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10.540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Biceps isolator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B160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9.400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9.400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Half rack</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C511</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3.100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9.300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Pendulum Squat Pro</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PW212</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9.280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9.280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40 Degree leg press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C401</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8.470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8.470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Hack squat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C412</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8.310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8.310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Standing lateral raise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E252</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8.140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8.140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Assisted chin/dip</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D131</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7.950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7.950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Triceps pushdown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T163</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7.950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7.950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Leg extension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C105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7.590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7.590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Incline pec fly</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PW256</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3.750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Kneeling leg curl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C118</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7.410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7.410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Lying leg curl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C106</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7.220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7.220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Glute Abductor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PW429</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6.830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6.830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Lat pulldown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D123</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6.480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6.480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Hip Thruster Pro</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PW702</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6.450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6.450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Pec / Rear delt fly combo</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P156</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6.430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6.430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Decline vertical chest press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PW739</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5.660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5.660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Incline triceps pushdown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T215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5.520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5.520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Converging shoulder press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E449</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Inner Thigh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Prime Inner Thigh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5.260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5.260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Abdominal Crunch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Prime Abdominal Crunch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4.910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4.910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Arm Curl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Prime Arm Curl</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4.690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4.690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Low row</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PW637</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4.420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4.420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Row</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PW437</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4.420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4.420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Power rack</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C513</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4.380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4.380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Seated calf press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PW319</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4.240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4.240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Incline T-Bar Row</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PW625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3.160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3.160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Incline Hyper Extension Pro</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D828</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3.010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3.010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Platform with hardwood surface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B4800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2.540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Seated preacher curl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B256</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2.380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2.380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DOUBLE-SIDED PREACHER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Prime DOUBLE-SIDED PREACHER</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2.360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Dip bars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P245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1.940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Adjustable Bench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Prime Adjustable Bench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640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Flat bench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B275</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Adjustable Single Leg Squat Stand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Atlantis C220</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660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660</w:t>
            </w:r>
          </w:p>
        </w:tc>
      </w:tr>
    </w:tbl>
    <w:p>
      <w:pPr>
        <w:pStyle w:val="Normal"/>
        <w:keepNext w:val="true"/>
        <w:spacing w:before="200" w:after="80"/>
        <w:jc w:val="left"/>
        <w:rPr/>
      </w:pPr>
      <w:r>
        <w:rPr>
          <w:rFonts w:eastAsia="Arial" w:cs="Arial"/>
          <w:b/>
          <w:bCs/>
          <w:sz w:val="20"/>
          <w:szCs w:val="20"/>
        </w:rPr>
        <w:t>Tabelle A.4: Geräteliste Bereich Ausstattung (111 Objekte, 32.035 €)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Wasserspender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TV 65″ (Wand)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Desinfektionsstation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AED / Defibrillator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Feuerlöscher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1.995</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Lautsprecher (Wand)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Pflanze groß (Kübel)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Kamera</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Mülleimer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960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Handtuch-/Sprühflaschenhalter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Notausgang-Schild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 und Rettungsplan (Aushang)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Pflanze (Kübel)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Erste-Hilfe-Kasten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Sicherheitsleuchte / Rettungszeichenleuchte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bl>
    <w:p>
      <w:pPr>
        <w:pStyle w:val="Normal"/>
        <w:keepNext w:val="true"/>
        <w:spacing w:before="200" w:after="80"/>
        <w:jc w:val="left"/>
        <w:rPr/>
      </w:pPr>
      <w:r>
        <w:rPr>
          <w:rFonts w:eastAsia="Arial" w:cs="Arial"/>
          <w:b/>
          <w:bCs/>
          <w:sz w:val="20"/>
          <w:szCs w:val="20"/>
        </w:rPr>
        <w:t>Tabelle A.4: Geräteliste Bereich Büro &amp; Personal (12 Objekte, 5.450 €)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Teeküche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Aktenschrank</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Besprechungstisch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Personalschrank</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Rollcontainer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Schreibtisch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Bürostuhl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Pausentisch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w:t>
            </w:r>
          </w:p>
        </w:tc>
      </w:tr>
    </w:tbl>
    <w:p>
      <w:pPr>
        <w:pStyle w:val="Normal"/>
        <w:keepNext w:val="true"/>
        <w:spacing w:before="200" w:after="80"/>
        <w:jc w:val="left"/>
        <w:rPr/>
      </w:pPr>
      <w:r>
        <w:rPr>
          <w:rFonts w:eastAsia="Arial" w:cs="Arial"/>
          <w:b/>
          <w:bCs/>
          <w:sz w:val="20"/>
          <w:szCs w:val="20"/>
        </w:rPr>
        <w:t>Tabelle A.4: Geräteliste Bereich Sanitär (18 Objekte, 26.250 €)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Reihendusche (4 Plätze)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10.400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WC-Kabine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6.900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Barrierefreie Dusche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Barrierefreies WC</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Urinal (mit Trennwand)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Ausgussbecken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w:t>
            </w:r>
          </w:p>
        </w:tc>
      </w:tr>
    </w:tbl>
    <w:p>
      <w:pPr>
        <w:pStyle w:val="Normal"/>
        <w:keepNext w:val="true"/>
        <w:spacing w:before="200" w:after="80"/>
        <w:jc w:val="left"/>
        <w:rPr/>
      </w:pPr>
      <w:r>
        <w:rPr>
          <w:rFonts w:eastAsia="Arial" w:cs="Arial"/>
          <w:b/>
          <w:bCs/>
          <w:sz w:val="20"/>
          <w:szCs w:val="20"/>
        </w:rPr>
        <w:t>Tabelle A.4: Geräteliste Bereich Empfang &amp; Lounge (28 Objekte, 25.274 €)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Drehkreuz</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Getränkeautomat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Theke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Theke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Shakebar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Stuhl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Sofa 3-Sitzer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Sofa 2-Sitzer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Barhocker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Info-Bildschirm 55″ (Wand)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Getränkekühlschrank</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534</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534</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Loungetisch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r>
    </w:tbl>
    <w:p>
      <w:pPr>
        <w:pStyle w:val="Normal"/>
        <w:keepNext w:val="true"/>
        <w:spacing w:before="200" w:after="80"/>
        <w:jc w:val="left"/>
        <w:rPr/>
      </w:pPr>
      <w:r>
        <w:rPr>
          <w:rFonts w:eastAsia="Arial" w:cs="Arial"/>
          <w:b/>
          <w:bCs/>
          <w:sz w:val="20"/>
          <w:szCs w:val="20"/>
        </w:rPr>
        <w:t>Tabelle A.4: Geräteliste Bereich Functional (22 Objekte, 6.709 €)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Sled-Bahn (Kunstrasen)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1.920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1.920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Sandbag-Regal (10–30 kg)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Wall-Ball-Regal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Schlitten (Prowler)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327</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654</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Plyo-Box Soft 3er-Set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Intervall-Timer (Wand)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Farmers-Carry-Griffe (Paar)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Kettlebell-Regal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Bodenmatte (Stretching)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Wall-Ball-Ziel (Wandmontage, 2,7/3 m)</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Medizinball-Regal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Trainingsmatte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Trainingsmatte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w:t>
            </w:r>
          </w:p>
        </w:tc>
      </w:tr>
    </w:tbl>
    <w:p>
      <w:pPr>
        <w:pStyle w:val="Normal"/>
        <w:keepNext w:val="true"/>
        <w:spacing w:before="200" w:after="80"/>
        <w:jc w:val="left"/>
        <w:rPr/>
      </w:pPr>
      <w:r>
        <w:rPr>
          <w:rFonts w:eastAsia="Arial" w:cs="Arial"/>
          <w:b/>
          <w:bCs/>
          <w:sz w:val="20"/>
          <w:szCs w:val="20"/>
        </w:rPr>
        <w:t>Tabelle A.4: Geräteliste Bereich Wellness (8 Objekte, 55.850 €)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Finnische Sauna 400 × 300</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Dampfbad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Cold Plunge „ReGen OG Plunge / The Blast“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Erlebnisdusche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Ruheliege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Teestation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w:t>
            </w:r>
          </w:p>
        </w:tc>
      </w:tr>
    </w:tbl>
    <w:p>
      <w:pPr>
        <w:pStyle w:val="Normal"/>
        <w:keepNext w:val="true"/>
        <w:spacing w:before="200" w:after="80"/>
        <w:jc w:val="left"/>
        <w:rPr/>
      </w:pPr>
      <w:r>
        <w:rPr>
          <w:rFonts w:eastAsia="Arial" w:cs="Arial"/>
          <w:b/>
          <w:bCs/>
          <w:sz w:val="20"/>
          <w:szCs w:val="20"/>
        </w:rPr>
        <w:t>Tabelle A.4: Geräteliste Bereich Cardio (20 Objekte, 104.760 €)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Laufband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Stairmaster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Crosstrainer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Ergometer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3.300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9.900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Curved Treadmill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3.780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3.780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SkiErg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1.040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2.080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Rudergerät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2.000</w:t>
            </w:r>
          </w:p>
        </w:tc>
      </w:tr>
    </w:tbl>
    <w:p>
      <w:pPr>
        <w:pStyle w:val="Normal"/>
        <w:keepNext w:val="true"/>
        <w:spacing w:before="200" w:after="80"/>
        <w:jc w:val="left"/>
        <w:rPr/>
      </w:pPr>
      <w:r>
        <w:rPr>
          <w:rFonts w:eastAsia="Arial" w:cs="Arial"/>
          <w:b/>
          <w:bCs/>
          <w:sz w:val="20"/>
          <w:szCs w:val="20"/>
        </w:rPr>
        <w:t>Tabelle A.4: Geräteliste Bereich Umkleide (39 Objekte, 32.310 €)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Spindreihe 2-stöckig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Spindreihe 2-stöckig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4.750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4.750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Spindreihe 2-stöckig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Spindreihe 2-stöckig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Spindreihe 2-stöckig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Doppelwaschtisch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Spindreihe 2-stöckig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Umkleidebank freistehend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Wertfächer (20 Fächer)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Einzel-Umkleidekabine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Wäschesammler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Föhnplatz</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Umkleidebank freistehend</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Waschtisch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Handtuchspender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160</w:t>
            </w:r>
          </w:p>
        </w:tc>
      </w:tr>
    </w:tbl>
    <w:p>
      <w:pPr>
        <w:pStyle w:val="Normal"/>
        <w:keepNext w:val="true"/>
        <w:spacing w:before="200" w:after="80"/>
        <w:jc w:val="left"/>
        <w:rPr/>
      </w:pPr>
      <w:r>
        <w:rPr>
          <w:rFonts w:eastAsia="Arial" w:cs="Arial"/>
          <w:b/>
          <w:bCs/>
          <w:sz w:val="20"/>
          <w:szCs w:val="20"/>
        </w:rPr>
        <w:t>Tabelle A.4: Geräteliste Bereich Kursraum (28 Objekte, 20.610 €)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Indoor-Cycling-Rad (Kurs)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14.800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Musikanlage (Rack)</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Trainer-Podest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Mattenregal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Kursmatte</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360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Kurshantel-Regal (Pump-Sets)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Step-Wagen (20 Steps)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Gymnastikball-Regal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w:t>
            </w:r>
          </w:p>
        </w:tc>
      </w:tr>
    </w:tbl>
    <w:p>
      <w:pPr>
        <w:pStyle w:val="Normal"/>
        <w:keepNext w:val="true"/>
        <w:spacing w:before="200" w:after="80"/>
        <w:jc w:val="left"/>
        <w:rPr/>
      </w:pPr>
      <w:r>
        <w:rPr>
          <w:rFonts w:eastAsia="Arial" w:cs="Arial"/>
          <w:b/>
          <w:bCs/>
          <w:sz w:val="20"/>
          <w:szCs w:val="20"/>
        </w:rPr>
        <w:t>Tabelle A.4: Geräteliste Bereich Freihantel-Zubehör (10 Objekte, 4.300 €)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Kurzhantel-Rack 3-lagig (15 Paar)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Scheibenständer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Hantelscheiben-Satz 300 kg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Hantelscheiben-Satz 150 kg</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Langhantelständer (10 Stangen)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w:t>
            </w:r>
          </w:p>
        </w:tc>
      </w:tr>
    </w:tbl>
    <w:p>
      <w:pPr>
        <w:pStyle w:val="Normal"/>
        <w:keepNext w:val="true"/>
        <w:spacing w:before="200" w:after="80"/>
        <w:jc w:val="left"/>
        <w:rPr/>
      </w:pPr>
      <w:r>
        <w:rPr>
          <w:rFonts w:eastAsia="Arial" w:cs="Arial"/>
          <w:b/>
          <w:bCs/>
          <w:sz w:val="20"/>
          <w:szCs w:val="20"/>
        </w:rPr>
        <w:t>Tabelle A.4: Geräteliste Bereich Bauelemente (7 Objekte, 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Heizkörper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Lüftungsauslass</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bl>
    <w:p>
      <w:pPr>
        <w:pStyle w:val="Normal"/>
        <w:keepNext w:val="true"/>
        <w:spacing w:before="200" w:after="80"/>
        <w:jc w:val="left"/>
        <w:rPr/>
      </w:pPr>
      <w:r>
        <w:rPr>
          <w:rFonts w:eastAsia="Arial" w:cs="Arial"/>
          <w:b/>
          <w:bCs/>
          <w:sz w:val="20"/>
          <w:szCs w:val="20"/>
        </w:rPr>
        <w:t>Tabelle A.4: Geräteliste Bereich Lager &amp; Technik (14 Objekte, 8.850 €)</w:t>
      </w:r>
    </w:p>
    <w:tbl>
      <w:tblPr>
        <w:tblW w:w="9638" w:type="dxa"/>
        <w:jc w:val="left"/>
        <w:tblInd w:w="0" w:type="dxa"/>
        <w:tblLayout w:type="fixed"/>
        <w:tblCellMar>
          <w:top w:w="40" w:type="dxa"/>
          <w:left w:w="70" w:type="dxa"/>
          <w:bottom w:w="40" w:type="dxa"/>
          <w:right w:w="70" w:type="dxa"/>
        </w:tblCellMar>
      </w:tblPr>
      <w:tblGrid>
        <w:gridCol w:w="3662"/>
        <w:gridCol w:w="2506"/>
        <w:gridCol w:w="964"/>
        <w:gridCol w:w="1253"/>
        <w:gridCol w:w="1253"/>
      </w:tblGrid>
      <w:tr>
        <w:trPr>
          <w:tblHeader w:val="true"/>
        </w:trPr>
        <w:tc>
          <w:tcPr>
            <w:tcW w:w="366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Position</w:t>
            </w:r>
          </w:p>
        </w:tc>
        <w:tc>
          <w:tcPr>
            <w:tcW w:w="250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Hersteller / Modell</w:t>
            </w:r>
          </w:p>
        </w:tc>
        <w:tc>
          <w:tcPr>
            <w:tcW w:w="96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Anzahl</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Stückpreis</w:t>
            </w:r>
          </w:p>
        </w:tc>
        <w:tc>
          <w:tcPr>
            <w:tcW w:w="1253"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Summe</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Waschmaschine (gewerblich)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Trockner (gewerblich)</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Warmwasserspeicher</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Serverschrank / Netzwerk</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Regal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Schwerlastregal</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Putzwagen</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Lüftungsanlage (RLT-Gerät)</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366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Schaltschrank</w:t>
            </w:r>
          </w:p>
        </w:tc>
        <w:tc>
          <w:tcPr>
            <w:tcW w:w="250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Generisch</w:t>
            </w:r>
          </w:p>
        </w:tc>
        <w:tc>
          <w:tcPr>
            <w:tcW w:w="96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253"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bl>
    <w:p>
      <w:pPr>
        <w:pStyle w:val="Heading1"/>
        <w:spacing w:before="360" w:after="200"/>
        <w:rPr/>
      </w:pPr>
      <w:r>
        <w:br w:type="page"/>
      </w:r>
      <w:bookmarkStart w:id="108" w:name="__RefHeading___Toc21317_3809407278"/>
      <w:bookmarkEnd w:id="108"/>
      <w:r>
        <w:rPr/>
        <w:t>Anhang B – Tilgungspläne</w:t>
      </w:r>
    </w:p>
    <w:p>
      <w:pPr>
        <w:pStyle w:val="Normal"/>
        <w:keepNext w:val="true"/>
        <w:spacing w:before="200" w:after="80"/>
        <w:jc w:val="left"/>
        <w:rPr/>
      </w:pPr>
      <w:r>
        <w:rPr>
          <w:rFonts w:eastAsia="Arial" w:cs="Arial"/>
          <w:b/>
          <w:bCs/>
          <w:sz w:val="20"/>
          <w:szCs w:val="20"/>
        </w:rPr>
        <w:t>Tabelle B.1: MBG Baden-Württemberg – stille Beteiligung Existenzgründung (wirtschaftliches Eigenkapital) – 250.000 €, 7,00 % p. a., 10 Jahre, 10 tilgungsfreie Jahre (endfällig, wirtschaftliches Eigenkapital)</w:t>
      </w:r>
    </w:p>
    <w:tbl>
      <w:tblPr>
        <w:tblW w:w="9638" w:type="dxa"/>
        <w:jc w:val="left"/>
        <w:tblInd w:w="0" w:type="dxa"/>
        <w:tblLayout w:type="fixed"/>
        <w:tblCellMar>
          <w:top w:w="40" w:type="dxa"/>
          <w:left w:w="70" w:type="dxa"/>
          <w:bottom w:w="40" w:type="dxa"/>
          <w:right w:w="70" w:type="dxa"/>
        </w:tblCellMar>
      </w:tblPr>
      <w:tblGrid>
        <w:gridCol w:w="1156"/>
        <w:gridCol w:w="1639"/>
        <w:gridCol w:w="1734"/>
        <w:gridCol w:w="1639"/>
        <w:gridCol w:w="1735"/>
        <w:gridCol w:w="1734"/>
      </w:tblGrid>
      <w:tr>
        <w:trPr>
          <w:tblHeader w:val="true"/>
        </w:trPr>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Jahr</w:t>
            </w:r>
          </w:p>
        </w:tc>
        <w:tc>
          <w:tcPr>
            <w:tcW w:w="163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Auszahlung</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Zinsen/Vergütung</w:t>
            </w:r>
          </w:p>
        </w:tc>
        <w:tc>
          <w:tcPr>
            <w:tcW w:w="163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Tilgung</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Kapitaldienst</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Restschuld Ende</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1</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250.000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24.792</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24.792</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250.000</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2</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17.500</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17.500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250.000</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3</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17.500</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17.500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250.000</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4</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17.500</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17.500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250.000</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5</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17.500</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17.500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250.000</w:t>
            </w:r>
          </w:p>
        </w:tc>
      </w:tr>
    </w:tbl>
    <w:p>
      <w:pPr>
        <w:pStyle w:val="Normal"/>
        <w:spacing w:before="60" w:after="200"/>
        <w:jc w:val="left"/>
        <w:rPr/>
      </w:pPr>
      <w:r>
        <w:rPr>
          <w:rFonts w:eastAsia="Arial" w:cs="Arial"/>
          <w:i/>
          <w:iCs/>
          <w:color w:val="5A5A5A"/>
          <w:sz w:val="18"/>
          <w:szCs w:val="18"/>
        </w:rPr>
        <w:t>Jahr 1 inkl. Vorlaufmonate; lineare Tilgung nach der tilgungsfreien Zeit (KfW-/L-Bank-üblich); Zinssätze Planannahmen</w:t>
      </w:r>
    </w:p>
    <w:p>
      <w:pPr>
        <w:pStyle w:val="Normal"/>
        <w:keepNext w:val="true"/>
        <w:spacing w:before="200" w:after="80"/>
        <w:jc w:val="left"/>
        <w:rPr/>
      </w:pPr>
      <w:r>
        <w:rPr>
          <w:rFonts w:eastAsia="Arial" w:cs="Arial"/>
          <w:b/>
          <w:bCs/>
          <w:sz w:val="20"/>
          <w:szCs w:val="20"/>
        </w:rPr>
        <w:t>Tabelle B.2: KfW ERP-Förderkredit Gründung und Nachfolge (077), 100 % Garantie Bürgschaftsbank – 500.000 €, 6,50 % p. a., 15 Jahre, 5 tilgungsfreie Jahre</w:t>
      </w:r>
    </w:p>
    <w:tbl>
      <w:tblPr>
        <w:tblW w:w="9638" w:type="dxa"/>
        <w:jc w:val="left"/>
        <w:tblInd w:w="0" w:type="dxa"/>
        <w:tblLayout w:type="fixed"/>
        <w:tblCellMar>
          <w:top w:w="40" w:type="dxa"/>
          <w:left w:w="70" w:type="dxa"/>
          <w:bottom w:w="40" w:type="dxa"/>
          <w:right w:w="70" w:type="dxa"/>
        </w:tblCellMar>
      </w:tblPr>
      <w:tblGrid>
        <w:gridCol w:w="1156"/>
        <w:gridCol w:w="1639"/>
        <w:gridCol w:w="1734"/>
        <w:gridCol w:w="1639"/>
        <w:gridCol w:w="1735"/>
        <w:gridCol w:w="1734"/>
      </w:tblGrid>
      <w:tr>
        <w:trPr>
          <w:tblHeader w:val="true"/>
        </w:trPr>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Jahr</w:t>
            </w:r>
          </w:p>
        </w:tc>
        <w:tc>
          <w:tcPr>
            <w:tcW w:w="163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Auszahlung</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Zinsen/Vergütung</w:t>
            </w:r>
          </w:p>
        </w:tc>
        <w:tc>
          <w:tcPr>
            <w:tcW w:w="163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Tilgung</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Kapitaldienst</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Restschuld Ende</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1</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500.000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43.333</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43.333</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500.000</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2</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32.500</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32.500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500.000</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3</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32.500</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32.500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500.000</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4</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32.500</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32.500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500.000</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5</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32.365</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16.667</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49.031</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483.333</w:t>
            </w:r>
          </w:p>
        </w:tc>
      </w:tr>
    </w:tbl>
    <w:p>
      <w:pPr>
        <w:pStyle w:val="Normal"/>
        <w:spacing w:before="60" w:after="200"/>
        <w:jc w:val="left"/>
        <w:rPr/>
      </w:pPr>
      <w:r>
        <w:rPr>
          <w:rFonts w:eastAsia="Arial" w:cs="Arial"/>
          <w:i/>
          <w:iCs/>
          <w:color w:val="5A5A5A"/>
          <w:sz w:val="18"/>
          <w:szCs w:val="18"/>
        </w:rPr>
        <w:t>Jahr 1 inkl. Vorlaufmonate; lineare Tilgung nach der tilgungsfreien Zeit (KfW-/L-Bank-üblich); Zinssätze Planannahmen</w:t>
      </w:r>
    </w:p>
    <w:p>
      <w:pPr>
        <w:pStyle w:val="Normal"/>
        <w:keepNext w:val="true"/>
        <w:spacing w:before="200" w:after="80"/>
        <w:jc w:val="left"/>
        <w:rPr/>
      </w:pPr>
      <w:r>
        <w:rPr>
          <w:rFonts w:eastAsia="Arial" w:cs="Arial"/>
          <w:b/>
          <w:bCs/>
          <w:sz w:val="20"/>
          <w:szCs w:val="20"/>
        </w:rPr>
        <w:t>Tabelle B.3: L-Bank Gründungsfinanzierung (GuW-BW) über Hausbank, 80 % Bürgschaft Bürgschaftsbank BW (Restfinanzierung) – 1.752.583 €, 6,40 % p. a., 20 Jahre, 3 tilgungsfreie Jahre</w:t>
      </w:r>
    </w:p>
    <w:tbl>
      <w:tblPr>
        <w:tblW w:w="9638" w:type="dxa"/>
        <w:jc w:val="left"/>
        <w:tblInd w:w="0" w:type="dxa"/>
        <w:tblLayout w:type="fixed"/>
        <w:tblCellMar>
          <w:top w:w="40" w:type="dxa"/>
          <w:left w:w="70" w:type="dxa"/>
          <w:bottom w:w="40" w:type="dxa"/>
          <w:right w:w="70" w:type="dxa"/>
        </w:tblCellMar>
      </w:tblPr>
      <w:tblGrid>
        <w:gridCol w:w="1156"/>
        <w:gridCol w:w="1639"/>
        <w:gridCol w:w="1734"/>
        <w:gridCol w:w="1639"/>
        <w:gridCol w:w="1735"/>
        <w:gridCol w:w="1734"/>
      </w:tblGrid>
      <w:tr>
        <w:trPr>
          <w:tblHeader w:val="true"/>
        </w:trPr>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Jahr</w:t>
            </w:r>
          </w:p>
        </w:tc>
        <w:tc>
          <w:tcPr>
            <w:tcW w:w="163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Auszahlung</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Zinsen/Vergütung</w:t>
            </w:r>
          </w:p>
        </w:tc>
        <w:tc>
          <w:tcPr>
            <w:tcW w:w="163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Tilgung</w:t>
            </w:r>
          </w:p>
        </w:tc>
        <w:tc>
          <w:tcPr>
            <w:tcW w:w="173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Kapitaldienst</w:t>
            </w:r>
          </w:p>
        </w:tc>
        <w:tc>
          <w:tcPr>
            <w:tcW w:w="173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Restschuld Ende</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1</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1.752.583</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140.207</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140.207</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1.752.583</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2</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112.165</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112.165</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1.752.583</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3</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112.028</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25.773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137.801</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1.726.810</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4</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107.492</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103.093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210.585</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1.623.717</w:t>
            </w:r>
          </w:p>
        </w:tc>
      </w:tr>
      <w:tr>
        <w:trPr/>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Jahr 5</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100.894</w:t>
            </w:r>
          </w:p>
        </w:tc>
        <w:tc>
          <w:tcPr>
            <w:tcW w:w="163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103.093</w:t>
            </w:r>
          </w:p>
        </w:tc>
        <w:tc>
          <w:tcPr>
            <w:tcW w:w="173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203.987</w:t>
            </w:r>
          </w:p>
        </w:tc>
        <w:tc>
          <w:tcPr>
            <w:tcW w:w="173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1.520.623</w:t>
            </w:r>
          </w:p>
        </w:tc>
      </w:tr>
    </w:tbl>
    <w:p>
      <w:pPr>
        <w:pStyle w:val="Normal"/>
        <w:spacing w:before="60" w:after="200"/>
        <w:jc w:val="left"/>
        <w:rPr/>
      </w:pPr>
      <w:r>
        <w:rPr>
          <w:rFonts w:eastAsia="Arial" w:cs="Arial"/>
          <w:i/>
          <w:iCs/>
          <w:color w:val="5A5A5A"/>
          <w:sz w:val="18"/>
          <w:szCs w:val="18"/>
        </w:rPr>
        <w:t>Jahr 1 inkl. Vorlaufmonate; lineare Tilgung nach der tilgungsfreien Zeit (KfW-/L-Bank-üblich); Zinssätze Planannahmen</w:t>
      </w:r>
    </w:p>
    <w:p>
      <w:pPr>
        <w:pStyle w:val="Normal"/>
        <w:keepNext w:val="true"/>
        <w:spacing w:before="200" w:after="80"/>
        <w:jc w:val="left"/>
        <w:rPr/>
      </w:pPr>
      <w:r>
        <w:rPr>
          <w:rFonts w:eastAsia="Arial" w:cs="Arial"/>
          <w:b/>
          <w:bCs/>
          <w:sz w:val="20"/>
          <w:szCs w:val="20"/>
        </w:rPr>
        <w:t>Tabelle B.5: Kapitaldienst gesamt über 20 Jahre (Jahreswerte, Näherung)</w:t>
      </w:r>
    </w:p>
    <w:tbl>
      <w:tblPr>
        <w:tblW w:w="9638" w:type="dxa"/>
        <w:jc w:val="left"/>
        <w:tblInd w:w="0" w:type="dxa"/>
        <w:tblLayout w:type="fixed"/>
        <w:tblCellMar>
          <w:top w:w="40" w:type="dxa"/>
          <w:left w:w="70" w:type="dxa"/>
          <w:bottom w:w="40" w:type="dxa"/>
          <w:right w:w="70" w:type="dxa"/>
        </w:tblCellMar>
      </w:tblPr>
      <w:tblGrid>
        <w:gridCol w:w="1542"/>
        <w:gridCol w:w="2024"/>
        <w:gridCol w:w="2024"/>
        <w:gridCol w:w="2024"/>
        <w:gridCol w:w="2024"/>
      </w:tblGrid>
      <w:tr>
        <w:trPr>
          <w:tblHeader w:val="true"/>
        </w:trPr>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Jahr</w:t>
            </w:r>
          </w:p>
        </w:tc>
        <w:tc>
          <w:tcPr>
            <w:tcW w:w="202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Zinsen</w:t>
            </w:r>
          </w:p>
        </w:tc>
        <w:tc>
          <w:tcPr>
            <w:tcW w:w="202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Tilgung</w:t>
            </w:r>
          </w:p>
        </w:tc>
        <w:tc>
          <w:tcPr>
            <w:tcW w:w="202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Kapitaldienst</w:t>
            </w:r>
          </w:p>
        </w:tc>
        <w:tc>
          <w:tcPr>
            <w:tcW w:w="202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Restschuld Ende</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2.502.583</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2</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2.502.583</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2.502.583</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4</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162.165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265.258</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2.399.490</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155.567</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258.660</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2.296.397</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6</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148.969</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302.063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2.143.304</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7</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139.121</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292.215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1.990.211</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8</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129.273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282.367</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1.837.117</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9</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119.426</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272.519</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1.684.024</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10</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109.578</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512.671</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1.280.931</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11</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82.230</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235.323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1.127.838</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12</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72.382</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225.475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974.745</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62.534</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215.627</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821.652</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14</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52.686</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205.779</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668.559</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42.838</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195.931</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515.466</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16</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32.990</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136.083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412.372</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17</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26.392</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129.485</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309.279</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18</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19.794</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122.887</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206.186</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19</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13.196</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116.289</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Jahr 20</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6.598</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103.093</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109.691</w:t>
            </w:r>
          </w:p>
        </w:tc>
        <w:tc>
          <w:tcPr>
            <w:tcW w:w="202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bl>
    <w:p>
      <w:pPr>
        <w:sectPr>
          <w:headerReference w:type="default" r:id="rId11"/>
          <w:footerReference w:type="default" r:id="rId12"/>
          <w:type w:val="nextPage"/>
          <w:pgSz w:w="11906" w:h="16838"/>
          <w:pgMar w:left="1134" w:right="1134" w:gutter="0" w:header="708" w:top="1134" w:footer="708" w:bottom="1134"/>
          <w:pgNumType w:fmt="decimal"/>
          <w:formProt w:val="false"/>
          <w:textDirection w:val="lrTb"/>
          <w:docGrid w:type="default" w:linePitch="360" w:charSpace="4096"/>
        </w:sectPr>
        <w:pStyle w:val="Normal"/>
        <w:spacing w:before="60" w:after="200"/>
        <w:jc w:val="left"/>
        <w:rPr/>
      </w:pPr>
      <w:r>
        <w:rPr>
          <w:rFonts w:eastAsia="Arial" w:cs="Arial"/>
          <w:i/>
          <w:iCs/>
          <w:color w:val="5A5A5A"/>
          <w:sz w:val="18"/>
          <w:szCs w:val="18"/>
        </w:rPr>
        <w:t>Vereinfachte Jahresrechnung (Auszahlung zu Beginn, Zins auf Jahresanfangssaldo)</w:t>
      </w:r>
      <w:r>
        <w:br w:type="page"/>
      </w:r>
    </w:p>
    <w:p>
      <w:pPr>
        <w:pStyle w:val="Heading1"/>
        <w:spacing w:before="360" w:after="200"/>
        <w:rPr/>
      </w:pPr>
      <w:bookmarkStart w:id="109" w:name="__RefHeading___Toc21319_3809407278"/>
      <w:bookmarkEnd w:id="109"/>
      <w:r>
        <w:rPr/>
        <w:t>Anhang C – Liquiditätsplan (monatlich)</w:t>
      </w:r>
    </w:p>
    <w:p>
      <w:pPr>
        <w:pStyle w:val="Normal"/>
        <w:spacing w:lineRule="exact" w:line="276" w:before="0" w:after="120"/>
        <w:jc w:val="both"/>
        <w:rPr/>
      </w:pPr>
      <w:r>
        <w:rPr>
          <w:rFonts w:eastAsia="Arial" w:cs="Arial"/>
          <w:sz w:val="22"/>
          <w:szCs w:val="22"/>
        </w:rPr>
        <w:t>Zahlungsströme brutto (inklusive Umsatzsteuer) je Monat; Monate −5 bis −1 = Ausbau- und Vorverkaufsphase, Monat 1 = Eröffnung (September 2027). Die Umsatzsteuer-Zahllast wird im Folgemonat gezahlt, Vorsteuerüberhänge werden im Folgemonat erstattet; Ertragsteuern werden im Folgejahr fällig. Der Plan enthält alle 60 Betriebsmonate in der Excel-Datei; hier sind die ersten 36 Monate abgebildet.</w:t>
      </w:r>
    </w:p>
    <w:p>
      <w:pPr>
        <w:pStyle w:val="Normal"/>
        <w:keepNext w:val="true"/>
        <w:spacing w:before="200" w:after="80"/>
        <w:jc w:val="left"/>
        <w:rPr/>
      </w:pPr>
      <w:r>
        <w:rPr>
          <w:rFonts w:eastAsia="Arial" w:cs="Arial"/>
          <w:b/>
          <w:bCs/>
          <w:sz w:val="20"/>
          <w:szCs w:val="20"/>
        </w:rPr>
        <w:t>Tabelle C.1: Liquiditätsplan Monate -5 bis 6 (EUR, Zahlungsströme brutto)</w:t>
      </w:r>
    </w:p>
    <w:tbl>
      <w:tblPr>
        <w:tblW w:w="14570" w:type="dxa"/>
        <w:jc w:val="left"/>
        <w:tblInd w:w="0" w:type="dxa"/>
        <w:tblLayout w:type="fixed"/>
        <w:tblCellMar>
          <w:top w:w="40" w:type="dxa"/>
          <w:left w:w="70" w:type="dxa"/>
          <w:bottom w:w="40" w:type="dxa"/>
          <w:right w:w="70" w:type="dxa"/>
        </w:tblCellMar>
      </w:tblPr>
      <w:tblGrid>
        <w:gridCol w:w="2622"/>
        <w:gridCol w:w="1087"/>
        <w:gridCol w:w="1085"/>
        <w:gridCol w:w="1087"/>
        <w:gridCol w:w="1086"/>
        <w:gridCol w:w="1085"/>
        <w:gridCol w:w="1087"/>
        <w:gridCol w:w="1086"/>
        <w:gridCol w:w="1087"/>
        <w:gridCol w:w="1085"/>
        <w:gridCol w:w="1087"/>
        <w:gridCol w:w="1085"/>
      </w:tblGrid>
      <w:tr>
        <w:trPr>
          <w:tblHeader w:val="true"/>
        </w:trPr>
        <w:tc>
          <w:tcPr>
            <w:tcW w:w="262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4"/>
                <w:szCs w:val="14"/>
              </w:rPr>
              <w:t>Position</w:t>
            </w:r>
          </w:p>
        </w:tc>
        <w:tc>
          <w:tcPr>
            <w:tcW w:w="108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-5</w:t>
            </w:r>
          </w:p>
        </w:tc>
        <w:tc>
          <w:tcPr>
            <w:tcW w:w="108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-4</w:t>
            </w:r>
          </w:p>
        </w:tc>
        <w:tc>
          <w:tcPr>
            <w:tcW w:w="108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-3</w:t>
            </w:r>
          </w:p>
        </w:tc>
        <w:tc>
          <w:tcPr>
            <w:tcW w:w="108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w:t>
            </w:r>
          </w:p>
        </w:tc>
        <w:tc>
          <w:tcPr>
            <w:tcW w:w="108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w:t>
            </w:r>
          </w:p>
        </w:tc>
        <w:tc>
          <w:tcPr>
            <w:tcW w:w="108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w:t>
            </w:r>
          </w:p>
        </w:tc>
        <w:tc>
          <w:tcPr>
            <w:tcW w:w="108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w:t>
            </w:r>
          </w:p>
        </w:tc>
        <w:tc>
          <w:tcPr>
            <w:tcW w:w="108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3</w:t>
            </w:r>
          </w:p>
        </w:tc>
        <w:tc>
          <w:tcPr>
            <w:tcW w:w="108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4</w:t>
            </w:r>
          </w:p>
        </w:tc>
        <w:tc>
          <w:tcPr>
            <w:tcW w:w="108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5</w:t>
            </w:r>
          </w:p>
        </w:tc>
        <w:tc>
          <w:tcPr>
            <w:tcW w:w="108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6</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Umsatz brutto (inkl. USt)</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29.979</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37.895</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45.637</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50.627</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55.638</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60.540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Eigenkapital</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150.000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Darlehen/Beteiligung</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250.000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500.000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1.752.583</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4"/>
                <w:szCs w:val="14"/>
              </w:rPr>
              <w:t>Summe Einzahlungen</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400.000</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500.000</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1.752.583</w:t>
            </w:r>
          </w:p>
        </w:tc>
        <w:tc>
          <w:tcPr>
            <w:tcW w:w="108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0</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0</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29.979</w:t>
            </w:r>
          </w:p>
        </w:tc>
        <w:tc>
          <w:tcPr>
            <w:tcW w:w="108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37.895</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45.637</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50.627</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55.638</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60.540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Betriebskosten brutto</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1.190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19.319</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48.368</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55.646</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87.567</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87.781</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87.990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81.011</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81.146</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81.279</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Investition brutto</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120.319</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339.911</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339.911</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377.991</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1.075.391</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USt-Zahllast (−) / Erstattung (+)</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5.491</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54.462</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56.678</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66.699</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172.903</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4.460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3.222</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2.010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93</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-691</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Zinsen</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1.458</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4.167</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Tilgung</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Ertragsteuern</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4"/>
                <w:szCs w:val="14"/>
              </w:rPr>
              <w:t>Summe Auszahlungen</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121.777</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339.777</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318.282</w:t>
            </w:r>
          </w:p>
        </w:tc>
        <w:tc>
          <w:tcPr>
            <w:tcW w:w="108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383.195</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1.077.852</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-71.822</w:t>
            </w:r>
          </w:p>
        </w:tc>
        <w:tc>
          <w:tcPr>
            <w:tcW w:w="108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96.834</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98.282</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92.515</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94.567</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95.484</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Kassenbestand Anfang</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278.223</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438.446</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1.872.746</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1.489.551</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411.699</w:t>
            </w:r>
          </w:p>
        </w:tc>
        <w:tc>
          <w:tcPr>
            <w:tcW w:w="108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513.500</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454.561</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401.916</w:t>
            </w:r>
          </w:p>
        </w:tc>
        <w:tc>
          <w:tcPr>
            <w:tcW w:w="108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360.027</w:t>
            </w:r>
          </w:p>
        </w:tc>
        <w:tc>
          <w:tcPr>
            <w:tcW w:w="108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321.099</w:t>
            </w:r>
          </w:p>
        </w:tc>
      </w:tr>
      <w:tr>
        <w:trPr/>
        <w:tc>
          <w:tcPr>
            <w:tcW w:w="262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4"/>
                <w:szCs w:val="14"/>
              </w:rPr>
              <w:t>Kassenbestand Ende</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278.223</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438.446</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1.872.746</w:t>
            </w:r>
          </w:p>
        </w:tc>
        <w:tc>
          <w:tcPr>
            <w:tcW w:w="108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1.489.551</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411.699</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513.500</w:t>
            </w:r>
          </w:p>
        </w:tc>
        <w:tc>
          <w:tcPr>
            <w:tcW w:w="108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454.561</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401.916</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360.027</w:t>
            </w:r>
          </w:p>
        </w:tc>
        <w:tc>
          <w:tcPr>
            <w:tcW w:w="108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321.099</w:t>
            </w:r>
          </w:p>
        </w:tc>
        <w:tc>
          <w:tcPr>
            <w:tcW w:w="108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286.155</w:t>
            </w:r>
          </w:p>
        </w:tc>
      </w:tr>
    </w:tbl>
    <w:p>
      <w:pPr>
        <w:pStyle w:val="Normal"/>
        <w:spacing w:before="60" w:after="200"/>
        <w:jc w:val="left"/>
        <w:rPr/>
      </w:pPr>
      <w:r>
        <w:rPr>
          <w:rFonts w:eastAsia="Arial" w:cs="Arial"/>
          <w:i/>
          <w:iCs/>
          <w:color w:val="5A5A5A"/>
          <w:sz w:val="18"/>
          <w:szCs w:val="18"/>
        </w:rPr>
        <w:t>Monat −5 bis −1 = Ausbau/Vorverkauf; USt-Erstattung im Folgemonat; Ertragsteuern im Folgejahr (Monat 18/30)</w:t>
      </w:r>
    </w:p>
    <w:p>
      <w:pPr>
        <w:pStyle w:val="Normal"/>
        <w:keepNext w:val="true"/>
        <w:spacing w:before="200" w:after="80"/>
        <w:jc w:val="left"/>
        <w:rPr/>
      </w:pPr>
      <w:r>
        <w:rPr>
          <w:rFonts w:eastAsia="Arial" w:cs="Arial"/>
          <w:b/>
          <w:bCs/>
          <w:sz w:val="20"/>
          <w:szCs w:val="20"/>
        </w:rPr>
        <w:t>Tabelle C.2: Liquiditätsplan Monate 7 bis 18 (EUR, Zahlungsströme brutto)</w:t>
      </w:r>
    </w:p>
    <w:tbl>
      <w:tblPr>
        <w:tblW w:w="14570" w:type="dxa"/>
        <w:jc w:val="left"/>
        <w:tblInd w:w="0" w:type="dxa"/>
        <w:tblLayout w:type="fixed"/>
        <w:tblCellMar>
          <w:top w:w="40" w:type="dxa"/>
          <w:left w:w="70" w:type="dxa"/>
          <w:bottom w:w="40" w:type="dxa"/>
          <w:right w:w="70" w:type="dxa"/>
        </w:tblCellMar>
      </w:tblPr>
      <w:tblGrid>
        <w:gridCol w:w="2622"/>
        <w:gridCol w:w="995"/>
        <w:gridCol w:w="995"/>
        <w:gridCol w:w="997"/>
        <w:gridCol w:w="995"/>
        <w:gridCol w:w="995"/>
        <w:gridCol w:w="997"/>
        <w:gridCol w:w="995"/>
        <w:gridCol w:w="997"/>
        <w:gridCol w:w="995"/>
        <w:gridCol w:w="995"/>
        <w:gridCol w:w="996"/>
        <w:gridCol w:w="995"/>
      </w:tblGrid>
      <w:tr>
        <w:trPr>
          <w:tblHeader w:val="true"/>
        </w:trPr>
        <w:tc>
          <w:tcPr>
            <w:tcW w:w="262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4"/>
                <w:szCs w:val="14"/>
              </w:rPr>
              <w:t>Position</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7</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8</w:t>
            </w:r>
          </w:p>
        </w:tc>
        <w:tc>
          <w:tcPr>
            <w:tcW w:w="99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9</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10</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11</w:t>
            </w:r>
          </w:p>
        </w:tc>
        <w:tc>
          <w:tcPr>
            <w:tcW w:w="99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12</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13</w:t>
            </w:r>
          </w:p>
        </w:tc>
        <w:tc>
          <w:tcPr>
            <w:tcW w:w="99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14</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15</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16</w:t>
            </w:r>
          </w:p>
        </w:tc>
        <w:tc>
          <w:tcPr>
            <w:tcW w:w="99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17</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18</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Umsatz brutto (inkl. USt)</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65.333</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70.022</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74.607</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79.091</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83.476</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87.765</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91.314</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94.818</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98.245</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101.597</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104.874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108.080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Eigenkapital</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Darlehen/Beteiligung</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4"/>
                <w:szCs w:val="14"/>
              </w:rPr>
              <w:t>Summe Einzahlungen</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65.333</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70.022</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74.607</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79.091</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83.476</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87.765</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91.314</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94.818</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98.245</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101.597</w:t>
            </w:r>
          </w:p>
        </w:tc>
        <w:tc>
          <w:tcPr>
            <w:tcW w:w="99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104.874</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108.080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Betriebskosten brutto</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81.408</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81.535</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81.659</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81.780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81.899</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82.014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86.960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87.054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87.147</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87.237</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87.326</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87.413</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Investition brutto</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USt-Zahllast (−) / Erstattung (+)</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-1.458</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-2.208</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-2.942</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-3.659</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-4.361</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-5.047</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-5.719</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-6.209</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-6.758</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-7.294</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-7.818</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-8.331</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Zinsen</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Tilgung</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Ertragsteuern</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4"/>
                <w:szCs w:val="14"/>
              </w:rPr>
              <w:t>Summe Auszahlungen</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96.380</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97.257</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98.115</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98.953</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99.773</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100.576</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106.192</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106.777</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107.418</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108.045</w:t>
            </w:r>
          </w:p>
        </w:tc>
        <w:tc>
          <w:tcPr>
            <w:tcW w:w="99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108.658</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109.258</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Kassenbestand Anfang</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286.155</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255.109</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227.873</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204.365</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184.503</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168.205</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155.395</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140.517</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128.558</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119.385</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112.936</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109.153</w:t>
            </w:r>
          </w:p>
        </w:tc>
      </w:tr>
      <w:tr>
        <w:trPr/>
        <w:tc>
          <w:tcPr>
            <w:tcW w:w="262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4"/>
                <w:szCs w:val="14"/>
              </w:rPr>
              <w:t>Kassenbestand Ende</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255.109</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227.873</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204.365</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184.503</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168.205</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155.395</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140.517</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128.558</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119.385</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112.936</w:t>
            </w:r>
          </w:p>
        </w:tc>
        <w:tc>
          <w:tcPr>
            <w:tcW w:w="99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109.153</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107.975</w:t>
            </w:r>
          </w:p>
        </w:tc>
      </w:tr>
    </w:tbl>
    <w:p>
      <w:pPr>
        <w:pStyle w:val="Normal"/>
        <w:spacing w:before="60" w:after="200"/>
        <w:jc w:val="left"/>
        <w:rPr/>
      </w:pPr>
      <w:r>
        <w:rPr>
          <w:rFonts w:eastAsia="Arial" w:cs="Arial"/>
          <w:i/>
          <w:iCs/>
          <w:color w:val="5A5A5A"/>
          <w:sz w:val="18"/>
          <w:szCs w:val="18"/>
        </w:rPr>
        <w:t>Monat −5 bis −1 = Ausbau/Vorverkauf; USt-Erstattung im Folgemonat; Ertragsteuern im Folgejahr (Monat 18/30)</w:t>
      </w:r>
    </w:p>
    <w:p>
      <w:pPr>
        <w:pStyle w:val="Normal"/>
        <w:keepNext w:val="true"/>
        <w:spacing w:before="200" w:after="80"/>
        <w:jc w:val="left"/>
        <w:rPr/>
      </w:pPr>
      <w:r>
        <w:rPr>
          <w:rFonts w:eastAsia="Arial" w:cs="Arial"/>
          <w:b/>
          <w:bCs/>
          <w:sz w:val="20"/>
          <w:szCs w:val="20"/>
        </w:rPr>
        <w:t>Tabelle C.3: Liquiditätsplan Monate 19 bis 30 (EUR, Zahlungsströme brutto)</w:t>
      </w:r>
    </w:p>
    <w:tbl>
      <w:tblPr>
        <w:tblW w:w="14570" w:type="dxa"/>
        <w:jc w:val="left"/>
        <w:tblInd w:w="0" w:type="dxa"/>
        <w:tblLayout w:type="fixed"/>
        <w:tblCellMar>
          <w:top w:w="40" w:type="dxa"/>
          <w:left w:w="70" w:type="dxa"/>
          <w:bottom w:w="40" w:type="dxa"/>
          <w:right w:w="70" w:type="dxa"/>
        </w:tblCellMar>
      </w:tblPr>
      <w:tblGrid>
        <w:gridCol w:w="2622"/>
        <w:gridCol w:w="995"/>
        <w:gridCol w:w="995"/>
        <w:gridCol w:w="997"/>
        <w:gridCol w:w="995"/>
        <w:gridCol w:w="995"/>
        <w:gridCol w:w="997"/>
        <w:gridCol w:w="995"/>
        <w:gridCol w:w="997"/>
        <w:gridCol w:w="995"/>
        <w:gridCol w:w="995"/>
        <w:gridCol w:w="996"/>
        <w:gridCol w:w="995"/>
      </w:tblGrid>
      <w:tr>
        <w:trPr>
          <w:tblHeader w:val="true"/>
        </w:trPr>
        <w:tc>
          <w:tcPr>
            <w:tcW w:w="262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4"/>
                <w:szCs w:val="14"/>
              </w:rPr>
              <w:t>Position</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19</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20</w:t>
            </w:r>
          </w:p>
        </w:tc>
        <w:tc>
          <w:tcPr>
            <w:tcW w:w="99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21</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22</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23</w:t>
            </w:r>
          </w:p>
        </w:tc>
        <w:tc>
          <w:tcPr>
            <w:tcW w:w="99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24</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25</w:t>
            </w:r>
          </w:p>
        </w:tc>
        <w:tc>
          <w:tcPr>
            <w:tcW w:w="99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26</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27</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28</w:t>
            </w:r>
          </w:p>
        </w:tc>
        <w:tc>
          <w:tcPr>
            <w:tcW w:w="99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29</w:t>
            </w:r>
          </w:p>
        </w:tc>
        <w:tc>
          <w:tcPr>
            <w:tcW w:w="99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4"/>
                <w:szCs w:val="14"/>
              </w:rPr>
              <w:t>M 30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Umsatz brutto (inkl. USt)</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111.215</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114.281</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117.280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120.213</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123.081</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125.886</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130.061</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132.180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134.252</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136.279</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137.002</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136.967</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Eigenkapital</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Darlehen/Beteiligung</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4"/>
                <w:szCs w:val="14"/>
              </w:rPr>
              <w:t>Summe Einzahlungen</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111.215</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114.281</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117.280</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120.213</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123.081</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125.886</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130.061</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132.180</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134.252</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136.279</w:t>
            </w:r>
          </w:p>
        </w:tc>
        <w:tc>
          <w:tcPr>
            <w:tcW w:w="99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137.002</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136.967</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Betriebskosten brutto</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87.497</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87.580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87.661</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87.740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87.818</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87.894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89.205</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89.262</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89.317</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89.372</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89.403</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89.410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Investition brutto</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USt-Zahllast (−) / Erstattung (+)</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-8.833</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-9.324</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-9.803</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-10.273</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-10.732</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-11.181</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-11.620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-12.213</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-12.545</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-12.869</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-13.187</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-13.298</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Zinsen</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13.514</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Tilgung</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Ertragsteuern</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0</w:t>
            </w:r>
          </w:p>
        </w:tc>
      </w:tr>
      <w:tr>
        <w:trPr/>
        <w:tc>
          <w:tcPr>
            <w:tcW w:w="262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4"/>
                <w:szCs w:val="14"/>
              </w:rPr>
              <w:t>Summe Auszahlungen</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109.844</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110.418</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110.978</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111.527</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112.063</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112.588</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114.339</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114.989</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115.376</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115.755</w:t>
            </w:r>
          </w:p>
        </w:tc>
        <w:tc>
          <w:tcPr>
            <w:tcW w:w="99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116.104</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116.222</w:t>
            </w:r>
          </w:p>
        </w:tc>
      </w:tr>
      <w:tr>
        <w:trPr/>
        <w:tc>
          <w:tcPr>
            <w:tcW w:w="262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4"/>
                <w:szCs w:val="14"/>
              </w:rPr>
              <w:t>Kassenbestand Anfang</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107.975</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109.346</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113.210</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119.512</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128.198</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139.216</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152.514</w:t>
            </w:r>
          </w:p>
        </w:tc>
        <w:tc>
          <w:tcPr>
            <w:tcW w:w="99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168.236</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185.426</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204.302</w:t>
            </w:r>
          </w:p>
        </w:tc>
        <w:tc>
          <w:tcPr>
            <w:tcW w:w="9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224.827</w:t>
            </w:r>
          </w:p>
        </w:tc>
        <w:tc>
          <w:tcPr>
            <w:tcW w:w="9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4"/>
                <w:szCs w:val="14"/>
              </w:rPr>
              <w:t>245.725</w:t>
            </w:r>
          </w:p>
        </w:tc>
      </w:tr>
      <w:tr>
        <w:trPr/>
        <w:tc>
          <w:tcPr>
            <w:tcW w:w="2622"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4"/>
                <w:szCs w:val="14"/>
              </w:rPr>
              <w:t>Kassenbestand Ende</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109.346</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113.210</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119.512</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128.198</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139.216</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152.514</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168.236</w:t>
            </w:r>
          </w:p>
        </w:tc>
        <w:tc>
          <w:tcPr>
            <w:tcW w:w="997"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185.426</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204.302</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224.827</w:t>
            </w:r>
          </w:p>
        </w:tc>
        <w:tc>
          <w:tcPr>
            <w:tcW w:w="996"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245.725</w:t>
            </w:r>
          </w:p>
        </w:tc>
        <w:tc>
          <w:tcPr>
            <w:tcW w:w="99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4"/>
                <w:szCs w:val="14"/>
              </w:rPr>
              <w:t>266.470</w:t>
            </w:r>
          </w:p>
        </w:tc>
      </w:tr>
    </w:tbl>
    <w:p>
      <w:pPr>
        <w:pStyle w:val="Normal"/>
        <w:spacing w:before="60" w:after="200"/>
        <w:jc w:val="left"/>
        <w:rPr/>
      </w:pPr>
      <w:r>
        <w:rPr>
          <w:rFonts w:eastAsia="Arial" w:cs="Arial"/>
          <w:i/>
          <w:iCs/>
          <w:color w:val="5A5A5A"/>
          <w:sz w:val="18"/>
          <w:szCs w:val="18"/>
        </w:rPr>
        <w:t>Monat −5 bis −1 = Ausbau/Vorverkauf; USt-Erstattung im Folgemonat; Ertragsteuern im Folgejahr (Monat 18/30)</w:t>
      </w:r>
    </w:p>
    <w:p>
      <w:pPr>
        <w:pStyle w:val="Normal"/>
        <w:keepNext w:val="true"/>
        <w:spacing w:before="200" w:after="80"/>
        <w:jc w:val="left"/>
        <w:rPr/>
      </w:pPr>
      <w:r>
        <w:rPr>
          <w:rFonts w:eastAsia="Arial" w:cs="Arial"/>
          <w:b/>
          <w:bCs/>
          <w:sz w:val="20"/>
          <w:szCs w:val="20"/>
        </w:rPr>
        <w:t>Tabelle C.4: Liquiditätsplan Monate 31 bis 36 (EUR, Zahlungsströme brutto)</w:t>
      </w:r>
    </w:p>
    <w:tbl>
      <w:tblPr>
        <w:tblW w:w="14570" w:type="dxa"/>
        <w:jc w:val="left"/>
        <w:tblInd w:w="0" w:type="dxa"/>
        <w:tblLayout w:type="fixed"/>
        <w:tblCellMar>
          <w:top w:w="40" w:type="dxa"/>
          <w:left w:w="70" w:type="dxa"/>
          <w:bottom w:w="40" w:type="dxa"/>
          <w:right w:w="70" w:type="dxa"/>
        </w:tblCellMar>
      </w:tblPr>
      <w:tblGrid>
        <w:gridCol w:w="3205"/>
        <w:gridCol w:w="1894"/>
        <w:gridCol w:w="1894"/>
        <w:gridCol w:w="1894"/>
        <w:gridCol w:w="1894"/>
        <w:gridCol w:w="1894"/>
        <w:gridCol w:w="1894"/>
      </w:tblGrid>
      <w:tr>
        <w:trPr>
          <w:tblHeader w:val="true"/>
        </w:trPr>
        <w:tc>
          <w:tcPr>
            <w:tcW w:w="320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Position</w:t>
            </w:r>
          </w:p>
        </w:tc>
        <w:tc>
          <w:tcPr>
            <w:tcW w:w="189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 31</w:t>
            </w:r>
          </w:p>
        </w:tc>
        <w:tc>
          <w:tcPr>
            <w:tcW w:w="189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 32</w:t>
            </w:r>
          </w:p>
        </w:tc>
        <w:tc>
          <w:tcPr>
            <w:tcW w:w="189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 33</w:t>
            </w:r>
          </w:p>
        </w:tc>
        <w:tc>
          <w:tcPr>
            <w:tcW w:w="189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 34</w:t>
            </w:r>
          </w:p>
        </w:tc>
        <w:tc>
          <w:tcPr>
            <w:tcW w:w="189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 35</w:t>
            </w:r>
          </w:p>
        </w:tc>
        <w:tc>
          <w:tcPr>
            <w:tcW w:w="1894"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 36</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Umsatz brutto (inkl. USt)</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136.967</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136.967</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136.967</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136.967</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136.967</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136.967</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Eigenkapital</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Darlehen/Beteiligung</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r>
      <w:tr>
        <w:trPr/>
        <w:tc>
          <w:tcPr>
            <w:tcW w:w="320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Summe Einzahlungen</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136.967</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136.967</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136.967</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136.967</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136.967</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136.967</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Betriebskosten brutto</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89.410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89.410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89.410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89.410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89.410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89.410</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Investition brutto</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USt-Zahllast (−) / Erstattung (+)</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-13.291</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-13.291</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-13.291</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-13.291</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-13.291</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-13.291</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Zinsen</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13.514</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13.514</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13.514</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13.514</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13.468</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13.422</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Tilgung</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8.591</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8.591</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8.591</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Ertragsteuern</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r>
      <w:tr>
        <w:trPr/>
        <w:tc>
          <w:tcPr>
            <w:tcW w:w="320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Summe Auszahlungen</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116.215</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116.215</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116.215</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124.806</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124.760</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124.714</w:t>
            </w:r>
          </w:p>
        </w:tc>
      </w:tr>
      <w:tr>
        <w:trPr/>
        <w:tc>
          <w:tcPr>
            <w:tcW w:w="32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Kassenbestand Anfang</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266.470</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287.221</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307.973</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328.725</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340.885</w:t>
            </w:r>
          </w:p>
        </w:tc>
        <w:tc>
          <w:tcPr>
            <w:tcW w:w="189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353.092</w:t>
            </w:r>
          </w:p>
        </w:tc>
      </w:tr>
      <w:tr>
        <w:trPr/>
        <w:tc>
          <w:tcPr>
            <w:tcW w:w="3205"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Kassenbestand Ende</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287.221</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307.973</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328.725</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340.885</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353.092</w:t>
            </w:r>
          </w:p>
        </w:tc>
        <w:tc>
          <w:tcPr>
            <w:tcW w:w="1894"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365.344</w:t>
            </w:r>
          </w:p>
        </w:tc>
      </w:tr>
    </w:tbl>
    <w:p>
      <w:pPr>
        <w:sectPr>
          <w:headerReference w:type="default" r:id="rId13"/>
          <w:headerReference w:type="first" r:id="rId14"/>
          <w:footerReference w:type="default" r:id="rId15"/>
          <w:footerReference w:type="first" r:id="rId16"/>
          <w:type w:val="nextPage"/>
          <w:pgSz w:orient="landscape" w:w="16838" w:h="11906"/>
          <w:pgMar w:left="1134" w:right="1134" w:gutter="0" w:header="708" w:top="1134" w:footer="708" w:bottom="1134"/>
          <w:pgNumType w:fmt="decimal"/>
          <w:formProt w:val="false"/>
          <w:textDirection w:val="lrTb"/>
          <w:docGrid w:type="default" w:linePitch="360" w:charSpace="4096"/>
        </w:sectPr>
        <w:pStyle w:val="Normal"/>
        <w:spacing w:before="60" w:after="200"/>
        <w:jc w:val="left"/>
        <w:rPr/>
      </w:pPr>
      <w:r>
        <w:rPr>
          <w:rFonts w:eastAsia="Arial" w:cs="Arial"/>
          <w:i/>
          <w:iCs/>
          <w:color w:val="5A5A5A"/>
          <w:sz w:val="18"/>
          <w:szCs w:val="18"/>
        </w:rPr>
        <w:t>Monat −5 bis −1 = Ausbau/Vorverkauf; USt-Erstattung im Folgemonat; Ertragsteuern im Folgejahr (Monat 18/30)</w:t>
      </w:r>
      <w:r>
        <w:br w:type="page"/>
      </w:r>
    </w:p>
    <w:p>
      <w:pPr>
        <w:pStyle w:val="Heading1"/>
        <w:spacing w:before="360" w:after="200"/>
        <w:rPr/>
      </w:pPr>
      <w:bookmarkStart w:id="110" w:name="__RefHeading___Toc21321_3809407278"/>
      <w:bookmarkEnd w:id="110"/>
      <w:r>
        <w:rPr/>
        <w:t>Anhang D – Rentabilitätsvorschau (Plan-GuV)</w:t>
      </w:r>
    </w:p>
    <w:p>
      <w:pPr>
        <w:pStyle w:val="Normal"/>
        <w:keepNext w:val="true"/>
        <w:spacing w:before="200" w:after="80"/>
        <w:jc w:val="left"/>
        <w:rPr/>
      </w:pPr>
      <w:r>
        <w:rPr>
          <w:rFonts w:eastAsia="Arial" w:cs="Arial"/>
          <w:b/>
          <w:bCs/>
          <w:sz w:val="20"/>
          <w:szCs w:val="20"/>
        </w:rPr>
        <w:t>Tabelle D.1: Rentabilitätsvorschau Jahr 1–5, Basis-Szenario (netto EUR)</w:t>
      </w:r>
    </w:p>
    <w:tbl>
      <w:tblPr>
        <w:tblW w:w="9638" w:type="dxa"/>
        <w:jc w:val="left"/>
        <w:tblInd w:w="0" w:type="dxa"/>
        <w:tblLayout w:type="fixed"/>
        <w:tblCellMar>
          <w:top w:w="40" w:type="dxa"/>
          <w:left w:w="70" w:type="dxa"/>
          <w:bottom w:w="40" w:type="dxa"/>
          <w:right w:w="70" w:type="dxa"/>
        </w:tblCellMar>
      </w:tblPr>
      <w:tblGrid>
        <w:gridCol w:w="2891"/>
        <w:gridCol w:w="1349"/>
        <w:gridCol w:w="1350"/>
        <w:gridCol w:w="1349"/>
        <w:gridCol w:w="1349"/>
        <w:gridCol w:w="1349"/>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Position</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1</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2</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3</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4</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5</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Umsatzerlöse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622.361</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1.101.585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1.368.522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1.403.873</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1.427.024</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Wareneinsatz</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11.590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21.232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26.297</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26.622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26.622</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Personalkosten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371.144</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395.716</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405.609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415.749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426.143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Raumkosten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393.105</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355.651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359.761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363.954</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368.231</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Marketing</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108.200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55.200</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Sonstige betriebliche Aufwendungen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127.815</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120.403</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122.695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123.015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123.236</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EBITDA</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-389.492</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153.383</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398.960</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419.333</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427.593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Abschreibungen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200.695</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EBIT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-590.187</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-47.312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198.265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218.638</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226.898</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Zinsaufwand</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208.332</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162.165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162.028</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157.492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150.758</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Ergebnis vor Steuern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-798.519</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-209.477</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36.237</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61.146</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76.140</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Ertragsteuern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Jahresergebnis</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-798.519</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-209.477</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36.237</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61.146</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76.140</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Tilgung</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25.773</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103.093</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119.760</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Kapitaldienst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208.332</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162.165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187.801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260.585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270.518</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Cashflow nach Kapitaldienst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-597.824</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-8.782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211.159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158.748</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157.075</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Mitglieder am Jahresende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1.429</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2.053</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Kapitaldienstfähigkeit (DSCR)</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-1,87</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0,95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1,58</w:t>
            </w:r>
          </w:p>
        </w:tc>
      </w:tr>
    </w:tbl>
    <w:p>
      <w:pPr>
        <w:pStyle w:val="Normal"/>
        <w:spacing w:before="60" w:after="200"/>
        <w:jc w:val="left"/>
        <w:rPr/>
      </w:pPr>
      <w:r>
        <w:rPr>
          <w:rFonts w:eastAsia="Arial" w:cs="Arial"/>
          <w:i/>
          <w:iCs/>
          <w:color w:val="5A5A5A"/>
          <w:sz w:val="18"/>
          <w:szCs w:val="18"/>
        </w:rPr>
        <w:t>Jahr 1 = Vorlauf + Betriebsmonate 1–12; DSCR = (EBITDA − Steuern) ÷ Kapitaldienst</w:t>
      </w:r>
    </w:p>
    <w:p>
      <w:pPr>
        <w:pStyle w:val="Normal"/>
        <w:keepNext w:val="true"/>
        <w:spacing w:before="200" w:after="80"/>
        <w:jc w:val="left"/>
        <w:rPr/>
      </w:pPr>
      <w:r>
        <w:rPr>
          <w:rFonts w:eastAsia="Arial" w:cs="Arial"/>
          <w:b/>
          <w:bCs/>
          <w:sz w:val="20"/>
          <w:szCs w:val="20"/>
        </w:rPr>
        <w:t>Tabelle D.2: Rentabilitätsvorschau Szenario pessimistisch (Kurzfassung, netto EUR)</w:t>
      </w:r>
    </w:p>
    <w:tbl>
      <w:tblPr>
        <w:tblW w:w="9638" w:type="dxa"/>
        <w:jc w:val="left"/>
        <w:tblInd w:w="0" w:type="dxa"/>
        <w:tblLayout w:type="fixed"/>
        <w:tblCellMar>
          <w:top w:w="40" w:type="dxa"/>
          <w:left w:w="70" w:type="dxa"/>
          <w:bottom w:w="40" w:type="dxa"/>
          <w:right w:w="70" w:type="dxa"/>
        </w:tblCellMar>
      </w:tblPr>
      <w:tblGrid>
        <w:gridCol w:w="2891"/>
        <w:gridCol w:w="1349"/>
        <w:gridCol w:w="1350"/>
        <w:gridCol w:w="1349"/>
        <w:gridCol w:w="1349"/>
        <w:gridCol w:w="1349"/>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Position</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1</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2</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3</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4</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5</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Umsatzerlöse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408.704</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698.004</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871.770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971.851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1.040.237</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Personalkosten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371.144</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395.716</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405.609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415.749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426.143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Raumkosten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393.105</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355.651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359.761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363.954</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368.231</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EBITDA</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-597.613</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-239.472</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-84.558</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-1.425</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50.655</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Jahresergebnis</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-1.006.639</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-602.333</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-447.281</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-359.612</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-300.799</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Kapitaldienst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208.332</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162.165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187.801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260.585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270.518</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Cashflow nach Kapitaldienst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-805.944</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-401.637</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-272.359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-262.010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-219.863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Mitglieder am Jahresende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959</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1.332</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1.525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1.626</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1.698</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DSCR</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-2,87</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-1,48</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-0,45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-0,01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0,19</w:t>
            </w:r>
          </w:p>
        </w:tc>
      </w:tr>
    </w:tbl>
    <w:p>
      <w:pPr>
        <w:pStyle w:val="Normal"/>
        <w:keepNext w:val="true"/>
        <w:spacing w:before="200" w:after="80"/>
        <w:jc w:val="left"/>
        <w:rPr/>
      </w:pPr>
      <w:r>
        <w:rPr>
          <w:rFonts w:eastAsia="Arial" w:cs="Arial"/>
          <w:b/>
          <w:bCs/>
          <w:sz w:val="20"/>
          <w:szCs w:val="20"/>
        </w:rPr>
        <w:t>Tabelle D.3: Rentabilitätsvorschau Szenario optimistisch (Kurzfassung, netto EUR)</w:t>
      </w:r>
    </w:p>
    <w:tbl>
      <w:tblPr>
        <w:tblW w:w="9638" w:type="dxa"/>
        <w:jc w:val="left"/>
        <w:tblInd w:w="0" w:type="dxa"/>
        <w:tblLayout w:type="fixed"/>
        <w:tblCellMar>
          <w:top w:w="40" w:type="dxa"/>
          <w:left w:w="70" w:type="dxa"/>
          <w:bottom w:w="40" w:type="dxa"/>
          <w:right w:w="70" w:type="dxa"/>
        </w:tblCellMar>
      </w:tblPr>
      <w:tblGrid>
        <w:gridCol w:w="2891"/>
        <w:gridCol w:w="1349"/>
        <w:gridCol w:w="1350"/>
        <w:gridCol w:w="1349"/>
        <w:gridCol w:w="1349"/>
        <w:gridCol w:w="1349"/>
      </w:tblGrid>
      <w:tr>
        <w:trPr>
          <w:tblHeader w:val="true"/>
        </w:trPr>
        <w:tc>
          <w:tcPr>
            <w:tcW w:w="289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Position</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1</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2</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3</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4</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Jahr 5</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Umsatzerlöse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776.846</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1.334.159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1.412.178</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1.435.555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1.459.400</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Personalkosten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371.144</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395.716</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405.609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415.749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426.143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Raumkosten</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393.105</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355.651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359.761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363.954</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368.231</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EBITDA</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-238.913</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379.849</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441.892</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450.714</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459.661</w:t>
            </w:r>
          </w:p>
        </w:tc>
      </w:tr>
      <w:tr>
        <w:trPr/>
        <w:tc>
          <w:tcPr>
            <w:tcW w:w="289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6"/>
                <w:szCs w:val="16"/>
              </w:rPr>
              <w:t>Jahresergebnis</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-647.940</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16.989</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79.169</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92.527</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6"/>
                <w:szCs w:val="16"/>
              </w:rPr>
              <w:t>108.208</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Kapitaldienst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208.332</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162.165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187.801</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260.585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270.518</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Cashflow nach Kapitaldienst</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-447.245</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217.684</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254.090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190.129</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189.143</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Mitglieder am Jahresende</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1.763</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2.200</w:t>
            </w:r>
          </w:p>
        </w:tc>
      </w:tr>
      <w:tr>
        <w:trPr/>
        <w:tc>
          <w:tcPr>
            <w:tcW w:w="289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DSCR</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-1,15</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2,34</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2,35</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1,73</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1,70</w:t>
            </w:r>
          </w:p>
        </w:tc>
      </w:tr>
    </w:tbl>
    <w:p>
      <w:pPr>
        <w:pStyle w:val="Heading1"/>
        <w:spacing w:before="360" w:after="200"/>
        <w:rPr/>
      </w:pPr>
      <w:r>
        <w:br w:type="page"/>
      </w:r>
      <w:bookmarkStart w:id="111" w:name="__RefHeading___Toc21323_3809407278"/>
      <w:bookmarkEnd w:id="111"/>
      <w:r>
        <w:rPr/>
        <w:t>Anhang E – Planungsannahmen</w:t>
      </w:r>
    </w:p>
    <w:p>
      <w:pPr>
        <w:pStyle w:val="Normal"/>
        <w:keepNext w:val="true"/>
        <w:spacing w:before="200" w:after="80"/>
        <w:jc w:val="left"/>
        <w:rPr/>
      </w:pPr>
      <w:r>
        <w:rPr>
          <w:rFonts w:eastAsia="Arial" w:cs="Arial"/>
          <w:b/>
          <w:bCs/>
          <w:sz w:val="20"/>
          <w:szCs w:val="20"/>
        </w:rPr>
        <w:t>Tabelle E.1: Planungsannahmen (Auszug aus dem Blatt „Annahmen“ der Excel-Planrechnung)</w:t>
      </w:r>
    </w:p>
    <w:tbl>
      <w:tblPr>
        <w:tblW w:w="9638" w:type="dxa"/>
        <w:jc w:val="left"/>
        <w:tblInd w:w="0" w:type="dxa"/>
        <w:tblLayout w:type="fixed"/>
        <w:tblCellMar>
          <w:top w:w="40" w:type="dxa"/>
          <w:left w:w="70" w:type="dxa"/>
          <w:bottom w:w="40" w:type="dxa"/>
          <w:right w:w="70" w:type="dxa"/>
        </w:tblCellMar>
      </w:tblPr>
      <w:tblGrid>
        <w:gridCol w:w="3276"/>
        <w:gridCol w:w="3470"/>
        <w:gridCol w:w="2892"/>
      </w:tblGrid>
      <w:tr>
        <w:trPr>
          <w:tblHeader w:val="true"/>
        </w:trPr>
        <w:tc>
          <w:tcPr>
            <w:tcW w:w="327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Annahme</w:t>
            </w:r>
          </w:p>
        </w:tc>
        <w:tc>
          <w:tcPr>
            <w:tcW w:w="347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Wert</w:t>
            </w:r>
          </w:p>
        </w:tc>
        <w:tc>
          <w:tcPr>
            <w:tcW w:w="289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Hinweis</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Bruttofläche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1.975,4 m²</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Planung GymPlanner</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Nettofläche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1.931,1 m²</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Trainingsfläche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1.138,6 m²</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9 m² je Person → 126 Personen</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Eröffnung</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01.09.2027</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 Vorlaufmonate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Kaltmiete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8,50 €/m²/Monat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Vorgabe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Betriebskosten</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2,00 €/m²/Monat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Energie und Wasser</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4,00 €/m²/Monat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DSSV-Richtwerte 3,00–3,50 + ab 2,50 €/m² (Sauna)</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Kaution</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 Monatsmieten inkl. NK</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Mietfreie Ausbauzeit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 Monate</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Verhandlungsziel</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Mietindexierung</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2,0 % p. a.</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Jahr 2</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Tarif Basic</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44,90 €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40 %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Tarif Premium</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59,90 €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45 %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Tarif Student/Azubi/Senior</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34,90 €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Anteil 15 %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Ø Beitrag (Mix)</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50,15 € brutto = 42,14 € netto</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DSSV Ø 48,55 €, Einzelanlagen 59,24 €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Servicepauschale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24,90 € je Halbjahr</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Aufnahmegebühr</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49,00 €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70 % der Neuzugänge zahlen</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Beitragsanpassung</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2,0 % p. a.</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Jahr 3</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Nebenumsatz je Mitglied/Monat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6,20 € brutto</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Getränke 3,00 / Wellness 1,20 / PT-Kurse 1,50 / Merch 0,50</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Wareneinsatz Getränke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Vorverkauf</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350 Mitglieder zur Eröffnung</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Neuzugänge je Monat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M1–3: 140 / M4–12: 100 / M13–24: 90 / M25–36: 80 / M37–60: 75</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Basis-Szenario</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Kündigungsquote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2,2 % je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23 % p. a. (Branche Ø 25 %)</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Obergrenze Mitglieder</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1,11 je m²</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Spitzenlast gleichzeitig</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5,5 %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gegen 126 Personen Kapazität</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 Geschäftsführung / Studioleitung (Gründer)</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 3.500 €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-3</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 Stellv. Studioleitung / Trainer (Vollzeit, Lizenz A)</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 3.600 €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-2</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 Fitnesstrainer (Vollzeit)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 × 3.000 €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-1</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 Fitnesstrainer (Vollzeit, ab Jahr 2)</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 × 3.000 €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13</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 Trainer / Kursleiter (Teilzeit 50 %)</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 × 1.650 €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1</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 Empfang / Service (Teilzeit 50 %)</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 × 1.550 €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1</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 Empfang / Abend und Wochenende (Minijob)</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4 × 620 €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1, Minijob</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Personal: Reinigung Abend (Minijob)</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 × 620 € brutto/Monat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 Monat 1, Minijob</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Arbeitgeberabgaben</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21,3 % / Minijob 31,17 %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Gehaltssteigerung 2,5 % p. a.</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Marketing laufend</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4.600 €/Monat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Marketing Eröffnung (M 1–3 zusätzlich)</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6.000 €/Monat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Versicherungen</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900 €/Monat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GEMA/GVL</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Studiosoftware/Zutritt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450 €/Monat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Steuerberatung/Buchhaltung</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1.000 €/Monat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Reinigung/Hygiene/Verbrauch</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2.200 €/Monat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Telekommunikation/IT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Sonstiges</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1.500 €/Monat</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Zahlungsverkehr</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0,8 % vom Beitragsumsatz brutto</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Wartung Geräte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5 % vom Gerätewert p. a.</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Instandhaltung Gebäude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4,00 €/m²/Jahr</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Marketing Vorverkauf</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35.000 €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 Monate</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Unvorhergesehenes</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10 % der Investition</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Abschreibung</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 8 J., Ausbau 10 J., Sonstiges 5 J.</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Eigenkapital Bareinlage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150.000 €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vom Gründer zu bestätigen</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MBG Baden-Württemberg – stille Beteiligung Existenzgründung </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250.000 €, 7,00 %, 10 J., 10 tilgungsfrei</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wirtschaftliches EK</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KfW ERP-Förderkredit Gründung und Nachfolge (077), 100 % Gar</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500.000 €, 6,50 %, 15 J., 5 tilgungsfrei</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L-Bank Gründungsfinanzierung (GuW-BW) über Hausbank, 80 % Bü</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1.752.583 €, 6,40 %, 20 J., 3 tilgungsfrei</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Anlaufreserve</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740.000 €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Bedarf 24 Monate 736.987 € inkl. 15 % Puffer</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Kontokorrent (USt-Vorfinanzierung)</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200.000 €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nicht im Kapitalbedarf</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Gewerbesteuer-Hebesatz</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390 %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Planannahme (Friedrichshafen 350, Ravensburg 390, Konstanz 410)</w:t>
            </w:r>
          </w:p>
        </w:tc>
      </w:tr>
      <w:tr>
        <w:trPr/>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Ertragsteuersatz gesamt</w:t>
            </w:r>
          </w:p>
        </w:tc>
        <w:tc>
          <w:tcPr>
            <w:tcW w:w="347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29,47 %</w:t>
            </w:r>
          </w:p>
        </w:tc>
        <w:tc>
          <w:tcPr>
            <w:tcW w:w="289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KSt 15 % + Soli + GewSt</w:t>
            </w:r>
          </w:p>
        </w:tc>
      </w:tr>
    </w:tbl>
    <w:p>
      <w:pPr>
        <w:sectPr>
          <w:headerReference w:type="default" r:id="rId17"/>
          <w:headerReference w:type="first" r:id="rId18"/>
          <w:footerReference w:type="default" r:id="rId19"/>
          <w:footerReference w:type="first" r:id="rId20"/>
          <w:type w:val="nextPage"/>
          <w:pgSz w:w="11906" w:h="16838"/>
          <w:pgMar w:left="1134" w:right="1134" w:gutter="0" w:header="708" w:top="1134" w:footer="708" w:bottom="1134"/>
          <w:pgNumType w:fmt="decimal"/>
          <w:formProt w:val="false"/>
          <w:textDirection w:val="lrTb"/>
          <w:docGrid w:type="default" w:linePitch="360" w:charSpace="4096"/>
        </w:sectPr>
        <w:pStyle w:val="Normal"/>
        <w:spacing w:before="60" w:after="200"/>
        <w:jc w:val="left"/>
        <w:rPr/>
      </w:pPr>
      <w:r>
        <w:rPr>
          <w:rFonts w:eastAsia="Arial" w:cs="Arial"/>
          <w:i/>
          <w:iCs/>
          <w:color w:val="5A5A5A"/>
          <w:sz w:val="18"/>
          <w:szCs w:val="18"/>
        </w:rPr>
        <w:t>Alle Annahmen sind im Blatt „Annahmen“ der Datei Finanzplan_No1.xlsx änderbar; die Planung rechnet automatisch nach</w:t>
      </w:r>
      <w:r>
        <w:br w:type="page"/>
      </w:r>
    </w:p>
    <w:p>
      <w:pPr>
        <w:pStyle w:val="Heading1"/>
        <w:spacing w:before="360" w:after="200"/>
        <w:rPr/>
      </w:pPr>
      <w:bookmarkStart w:id="112" w:name="__RefHeading___Toc21325_3809407278"/>
      <w:bookmarkEnd w:id="112"/>
      <w:r>
        <w:rPr/>
        <w:t>Anhang F – Grundriss</w:t>
      </w:r>
    </w:p>
    <w:p>
      <w:pPr>
        <w:pStyle w:val="Normal"/>
        <w:spacing w:lineRule="exact" w:line="276" w:before="0" w:after="120"/>
        <w:jc w:val="both"/>
        <w:rPr/>
      </w:pPr>
      <w:r>
        <w:rPr>
          <w:rFonts w:eastAsia="Arial" w:cs="Arial"/>
          <w:sz w:val="22"/>
          <w:szCs w:val="22"/>
        </w:rPr>
        <w:t>Der Grundriss stammt aus der Planungssoftware GymPlanner (Projekt „No.1 (überarbeitet)“, Halle 59,5 × 33,2 m, 1.975 m² Bruttofläche). Er zeigt Räume mit Flächen, Trainingszonen, die Geräteaufstellung mit Sicherheitsabständen, Notausgänge, Fluchtwege und die Sicherheitsausstattung. Die Planungsdatei liegt digital bei.</w:t>
      </w:r>
    </w:p>
    <w:p>
      <w:pPr>
        <w:pStyle w:val="Normal"/>
        <w:keepNext w:val="true"/>
        <w:spacing w:before="120" w:after="40"/>
        <w:jc w:val="center"/>
        <w:rPr/>
      </w:pPr>
      <w:r>
        <w:rPr/>
        <w:drawing>
          <wp:inline distT="0" distB="0" distL="0" distR="0">
            <wp:extent cx="8096250" cy="49149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21"/>
                    <a:stretch>
                      <a:fillRect/>
                    </a:stretch>
                  </pic:blipFill>
                  <pic:spPr bwMode="auto">
                    <a:xfrm>
                      <a:off x="0" y="0"/>
                      <a:ext cx="8096250" cy="4914900"/>
                    </a:xfrm>
                    <a:prstGeom prst="rect">
                      <a:avLst/>
                    </a:prstGeom>
                  </pic:spPr>
                </pic:pic>
              </a:graphicData>
            </a:graphic>
          </wp:inline>
        </w:drawing>
      </w:r>
    </w:p>
    <w:p>
      <w:pPr>
        <w:sectPr>
          <w:headerReference w:type="default" r:id="rId22"/>
          <w:headerReference w:type="first" r:id="rId23"/>
          <w:footerReference w:type="default" r:id="rId24"/>
          <w:footerReference w:type="first" r:id="rId25"/>
          <w:type w:val="nextPage"/>
          <w:pgSz w:orient="landscape" w:w="16838" w:h="11906"/>
          <w:pgMar w:left="1134" w:right="1134" w:gutter="0" w:header="708" w:top="1134" w:footer="708" w:bottom="1134"/>
          <w:pgNumType w:fmt="decimal"/>
          <w:formProt w:val="false"/>
          <w:textDirection w:val="lrTb"/>
          <w:docGrid w:type="default" w:linePitch="360" w:charSpace="4096"/>
        </w:sectPr>
        <w:pStyle w:val="Normal"/>
        <w:spacing w:before="60" w:after="200"/>
        <w:jc w:val="left"/>
        <w:rPr/>
      </w:pPr>
      <w:r>
        <w:rPr>
          <w:rFonts w:eastAsia="Arial" w:cs="Arial"/>
          <w:i/>
          <w:iCs/>
          <w:color w:val="5A5A5A"/>
          <w:sz w:val="18"/>
          <w:szCs w:val="18"/>
        </w:rPr>
        <w:t>Abbildung F.1: Grundriss No.1 (überarbeitet), Erdgeschoss – Quelle: GymPlanner, Export September 2026; Legende der Raumtypen am unteren Bildrand</w:t>
      </w:r>
      <w:r>
        <w:br w:type="page"/>
      </w:r>
    </w:p>
    <w:p>
      <w:pPr>
        <w:pStyle w:val="Heading1"/>
        <w:spacing w:before="360" w:after="200"/>
        <w:rPr/>
      </w:pPr>
      <w:bookmarkStart w:id="113" w:name="__RefHeading___Toc21327_3809407278"/>
      <w:bookmarkEnd w:id="113"/>
      <w:r>
        <w:rPr/>
        <w:t>Anhang G – Immobilien-Shortlist</w:t>
      </w:r>
    </w:p>
    <w:p>
      <w:pPr>
        <w:pStyle w:val="Normal"/>
        <w:keepNext w:val="true"/>
        <w:spacing w:before="200" w:after="80"/>
        <w:jc w:val="left"/>
        <w:rPr/>
      </w:pPr>
      <w:r>
        <w:rPr>
          <w:rFonts w:eastAsia="Arial" w:cs="Arial"/>
          <w:b/>
          <w:bCs/>
          <w:sz w:val="20"/>
          <w:szCs w:val="20"/>
        </w:rPr>
        <w:t>Tabelle G: Immobilien-Shortlist Bodenseeregion (Recherche ImmoScout24/Immowelt, Stand September 2026)</w:t>
      </w:r>
    </w:p>
    <w:tbl>
      <w:tblPr>
        <w:tblW w:w="9638" w:type="dxa"/>
        <w:jc w:val="left"/>
        <w:tblInd w:w="0" w:type="dxa"/>
        <w:tblLayout w:type="fixed"/>
        <w:tblCellMar>
          <w:top w:w="40" w:type="dxa"/>
          <w:left w:w="70" w:type="dxa"/>
          <w:bottom w:w="40" w:type="dxa"/>
          <w:right w:w="70" w:type="dxa"/>
        </w:tblCellMar>
      </w:tblPr>
      <w:tblGrid>
        <w:gridCol w:w="3469"/>
        <w:gridCol w:w="1542"/>
        <w:gridCol w:w="1157"/>
        <w:gridCol w:w="1156"/>
        <w:gridCol w:w="771"/>
        <w:gridCol w:w="1542"/>
      </w:tblGrid>
      <w:tr>
        <w:trPr>
          <w:tblHeader w:val="true"/>
        </w:trPr>
        <w:tc>
          <w:tcPr>
            <w:tcW w:w="346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Objekt</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Ort</w:t>
            </w:r>
          </w:p>
        </w:tc>
        <w:tc>
          <w:tcPr>
            <w:tcW w:w="115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Fläche</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Miete</w:t>
            </w:r>
          </w:p>
        </w:tc>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Höhe</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Portal</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Produktionshalle, mehrere Bauabschnitte auf ca. 2.597 m² Grundstück</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Meersburg</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1.885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8,58 €/m²</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Produktionshalle Technologiepark (TRIWO bodensee business base), 3 Hal</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Immenstaad am Bodensee, Graf-v</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1.900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 xml:space="preserve">Lagerhalle "Altes Schmelzwerk" – neuer Standort für Gesundheit, Sport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Friedrichshafen, Colsmanstraße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13.000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Büro-, Lagerfläche in Konstanz – Flexible Nutzungsmöglichkeiten (Opels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Konstanz</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2.227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ImmoScout24</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Großzügige Industriehalle mit vielen Nutzungsmöglichkeiten</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Radolfzell am Bodensee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1.600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7,56 €/m²</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 drei flexibel nutzbare Einheiten, mehrere Zufahrten</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Radolfzell am Bodensee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1.676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Gewerbeliegenschaft (auch zum Kauf)</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Kressbronn am Bodensee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1.770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 2 mit Sheddach, sehr hell</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Neukirch, Schulstraße 27</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2.400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4,50 €/m²</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Ihre neuen Flächen in THE PLANT Konstanz – 3.000 m² Spezialgewerbe, By</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Konstanz</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3.000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ImmoScout24</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Hochwertige Produktions-/Büroimmobilie Gewerbegebiet Oberer Riedweg (a</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Bad Waldsee</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2.124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6,21 €/m²</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Gewerbegebiet Trauben, hervorragende Verkehrsanbindung (B30</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Weingarten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1.579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4,62 €/m²</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Industriepark Gottmadingen, Industriepark 200 – Halle 1.566 m², 4,50 €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Gottmadingen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1.566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4,50 €/m²</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ImmoScout24</w:t>
            </w:r>
          </w:p>
        </w:tc>
      </w:tr>
    </w:tbl>
    <w:p>
      <w:pPr>
        <w:pStyle w:val="Normal"/>
        <w:spacing w:before="60" w:after="200"/>
        <w:jc w:val="left"/>
        <w:rPr/>
      </w:pPr>
      <w:r>
        <w:rPr>
          <w:rFonts w:eastAsia="Arial" w:cs="Arial"/>
          <w:i/>
          <w:iCs/>
          <w:color w:val="5A5A5A"/>
          <w:sz w:val="18"/>
          <w:szCs w:val="18"/>
        </w:rPr>
        <w:t>Angaben aus den Suchseiten der Portale; Exposés und Verfügbarkeit sind zu prüfen</w:t>
      </w:r>
    </w:p>
    <w:p>
      <w:pPr>
        <w:pStyle w:val="Normal"/>
        <w:keepNext w:val="true"/>
        <w:spacing w:before="200" w:after="80"/>
        <w:jc w:val="left"/>
        <w:rPr/>
      </w:pPr>
      <w:r>
        <w:rPr>
          <w:rFonts w:eastAsia="Arial" w:cs="Arial"/>
          <w:b/>
          <w:bCs/>
          <w:sz w:val="20"/>
          <w:szCs w:val="20"/>
        </w:rPr>
        <w:t>Tabelle G: Immobilien-Shortlist Region Stuttgart (Recherche ImmoScout24/Immowelt, Stand September 2026)</w:t>
      </w:r>
    </w:p>
    <w:tbl>
      <w:tblPr>
        <w:tblW w:w="9638" w:type="dxa"/>
        <w:jc w:val="left"/>
        <w:tblInd w:w="0" w:type="dxa"/>
        <w:tblLayout w:type="fixed"/>
        <w:tblCellMar>
          <w:top w:w="40" w:type="dxa"/>
          <w:left w:w="70" w:type="dxa"/>
          <w:bottom w:w="40" w:type="dxa"/>
          <w:right w:w="70" w:type="dxa"/>
        </w:tblCellMar>
      </w:tblPr>
      <w:tblGrid>
        <w:gridCol w:w="3469"/>
        <w:gridCol w:w="1542"/>
        <w:gridCol w:w="1157"/>
        <w:gridCol w:w="1156"/>
        <w:gridCol w:w="771"/>
        <w:gridCol w:w="1542"/>
      </w:tblGrid>
      <w:tr>
        <w:trPr>
          <w:tblHeader w:val="true"/>
        </w:trPr>
        <w:tc>
          <w:tcPr>
            <w:tcW w:w="346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6"/>
                <w:szCs w:val="16"/>
              </w:rPr>
              <w:t>Objekt</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Ort</w:t>
            </w:r>
          </w:p>
        </w:tc>
        <w:tc>
          <w:tcPr>
            <w:tcW w:w="115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Fläche</w:t>
            </w:r>
          </w:p>
        </w:tc>
        <w:tc>
          <w:tcPr>
            <w:tcW w:w="115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Miete</w:t>
            </w:r>
          </w:p>
        </w:tc>
        <w:tc>
          <w:tcPr>
            <w:tcW w:w="77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Höhe</w:t>
            </w:r>
          </w:p>
        </w:tc>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6"/>
                <w:szCs w:val="16"/>
              </w:rPr>
              <w:t>Portal</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 xml:space="preserve">Unternehmensimmobilie Neuhausen a. d. F. – Halle ca. 6 m UKB, Rampe + </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Neuhausen auf den Fildern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1.606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 m</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Gewerbehalle Stuttgart-Feuerbach, ca. 9 m Deckenhöhe, 2.000 m² (VBT Gm</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Stuttgart-Feuerbach</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9 m</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 Esslingen-Zell, 7,50 m UKB, 1.816 m² Halle + 211 m² Büro (WFC Im</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Esslingen am Neckar (Zell)</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1.992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7.5 m</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Moderne Lagerhalle Böblingen, 2.765 m² teilbar ab 1.296 m², 5 t/m²</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Böblingen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2.765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 Maybachstraße 5/1 – 2.315 m² (teilbar ab 860 m²), 6,50 €/m², pro</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Leonberg</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2.315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6,50 €/m²</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ImmoScout24</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Herrenberg-Gültstein, 2.060 m²</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Herrenberg-Gültstein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2.060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6,50 €/m²</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Holzgerlingen, 2.000 m²</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Holzgerlingen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2.000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Renningen, 1.923 m²</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Renningen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1.923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 2.520 m²</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Renningen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2.520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ImmoScout24</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Halle 2.675 m², provisionsfrei</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Herrenberg</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2.675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ImmoScout24</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Produktions-/Lagerhalle Esslingen, 1.650 m² (Realogis)</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Esslingen am Neckar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1.650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r>
        <w:trPr/>
        <w:tc>
          <w:tcPr>
            <w:tcW w:w="346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Lagerhalle Sachsenheim, 1.600 m²</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Sachsenheim</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6"/>
                <w:szCs w:val="16"/>
              </w:rPr>
              <w:t>1.600 m²</w:t>
            </w:r>
          </w:p>
        </w:tc>
        <w:tc>
          <w:tcPr>
            <w:tcW w:w="115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77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w:t>
            </w:r>
          </w:p>
        </w:tc>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6"/>
                <w:szCs w:val="16"/>
              </w:rPr>
              <w:t>Immowelt</w:t>
            </w:r>
          </w:p>
        </w:tc>
      </w:tr>
    </w:tbl>
    <w:p>
      <w:pPr>
        <w:pStyle w:val="Normal"/>
        <w:spacing w:before="60" w:after="200"/>
        <w:jc w:val="left"/>
        <w:rPr/>
      </w:pPr>
      <w:r>
        <w:rPr>
          <w:rFonts w:eastAsia="Arial" w:cs="Arial"/>
          <w:i/>
          <w:iCs/>
          <w:color w:val="5A5A5A"/>
          <w:sz w:val="18"/>
          <w:szCs w:val="18"/>
        </w:rPr>
        <w:t>Angaben aus den Suchseiten der Portale; Exposés und Verfügbarkeit sind zu prüfen</w:t>
      </w:r>
      <w:r>
        <w:br w:type="page"/>
      </w:r>
    </w:p>
    <w:p>
      <w:pPr>
        <w:pStyle w:val="Heading1"/>
        <w:spacing w:before="360" w:after="200"/>
        <w:rPr/>
      </w:pPr>
      <w:bookmarkStart w:id="114" w:name="__RefHeading___Toc21329_3809407278"/>
      <w:bookmarkEnd w:id="114"/>
      <w:r>
        <w:rPr/>
        <w:t>Anhang H – Regularien-Checkliste</w:t>
      </w:r>
    </w:p>
    <w:p>
      <w:pPr>
        <w:pStyle w:val="Normal"/>
        <w:keepNext w:val="true"/>
        <w:spacing w:before="200" w:after="80"/>
        <w:jc w:val="left"/>
        <w:rPr/>
      </w:pPr>
      <w:r>
        <w:rPr>
          <w:rFonts w:eastAsia="Arial" w:cs="Arial"/>
          <w:b/>
          <w:bCs/>
          <w:sz w:val="20"/>
          <w:szCs w:val="20"/>
        </w:rPr>
        <w:t>Tabelle H.1: Ergebnis der Regularien-Prüfung der Planung je Themenfeld</w:t>
      </w:r>
    </w:p>
    <w:tbl>
      <w:tblPr>
        <w:tblW w:w="9638" w:type="dxa"/>
        <w:jc w:val="left"/>
        <w:tblInd w:w="0" w:type="dxa"/>
        <w:tblLayout w:type="fixed"/>
        <w:tblCellMar>
          <w:top w:w="40" w:type="dxa"/>
          <w:left w:w="70" w:type="dxa"/>
          <w:bottom w:w="40" w:type="dxa"/>
          <w:right w:w="70" w:type="dxa"/>
        </w:tblCellMar>
      </w:tblPr>
      <w:tblGrid>
        <w:gridCol w:w="4241"/>
        <w:gridCol w:w="1350"/>
        <w:gridCol w:w="1348"/>
        <w:gridCol w:w="1349"/>
        <w:gridCol w:w="1350"/>
      </w:tblGrid>
      <w:tr>
        <w:trPr>
          <w:tblHeader w:val="true"/>
        </w:trPr>
        <w:tc>
          <w:tcPr>
            <w:tcW w:w="4241"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Themenfeld</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erfüllt</w:t>
            </w:r>
          </w:p>
        </w:tc>
        <w:tc>
          <w:tcPr>
            <w:tcW w:w="1348"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prüfen</w:t>
            </w:r>
          </w:p>
        </w:tc>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nicht erfüllt</w:t>
            </w:r>
          </w:p>
        </w:tc>
        <w:tc>
          <w:tcPr>
            <w:tcW w:w="135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Hinweis</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89</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Verkehrswege</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Brandschutz</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Erste Hilfe</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2</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Kennzeichnung &amp; Sicherheitsbeleuchtung</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12</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Barrierefreiheit</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Sanitär &amp; Umkleiden</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3</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Gerätefreiräume</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Versammlungsstätte</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r>
      <w:tr>
        <w:trPr/>
        <w:tc>
          <w:tcPr>
            <w:tcW w:w="424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Organisatorisches</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1</w:t>
            </w:r>
          </w:p>
        </w:tc>
        <w:tc>
          <w:tcPr>
            <w:tcW w:w="134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0</w:t>
            </w:r>
          </w:p>
        </w:tc>
        <w:tc>
          <w:tcPr>
            <w:tcW w:w="135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right"/>
              <w:rPr/>
            </w:pPr>
            <w:r>
              <w:rPr>
                <w:rFonts w:eastAsia="Arial" w:cs="Arial"/>
                <w:b w:val="false"/>
                <w:bCs w:val="false"/>
                <w:sz w:val="18"/>
                <w:szCs w:val="18"/>
              </w:rPr>
              <w:t>4</w:t>
            </w:r>
          </w:p>
        </w:tc>
      </w:tr>
      <w:tr>
        <w:trPr/>
        <w:tc>
          <w:tcPr>
            <w:tcW w:w="4241"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left"/>
              <w:rPr/>
            </w:pPr>
            <w:r>
              <w:rPr>
                <w:rFonts w:eastAsia="Arial" w:cs="Arial"/>
                <w:b/>
                <w:bCs/>
                <w:sz w:val="18"/>
                <w:szCs w:val="18"/>
              </w:rPr>
              <w:t>Summe</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114</w:t>
            </w:r>
          </w:p>
        </w:tc>
        <w:tc>
          <w:tcPr>
            <w:tcW w:w="1348"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0</w:t>
            </w:r>
          </w:p>
        </w:tc>
        <w:tc>
          <w:tcPr>
            <w:tcW w:w="1349"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0</w:t>
            </w:r>
          </w:p>
        </w:tc>
        <w:tc>
          <w:tcPr>
            <w:tcW w:w="1350" w:type="dxa"/>
            <w:tcBorders>
              <w:top w:val="single" w:sz="4" w:space="0" w:color="BFBFBF"/>
              <w:left w:val="single" w:sz="4" w:space="0" w:color="BFBFBF"/>
              <w:bottom w:val="single" w:sz="4" w:space="0" w:color="BFBFBF"/>
              <w:right w:val="single" w:sz="4" w:space="0" w:color="BFBFBF"/>
            </w:tcBorders>
            <w:shd w:color="auto" w:fill="F4F6F9" w:val="clear"/>
            <w:vAlign w:val="center"/>
          </w:tcPr>
          <w:p>
            <w:pPr>
              <w:pStyle w:val="Normal"/>
              <w:spacing w:lineRule="exact" w:line="240" w:before="0" w:after="0"/>
              <w:jc w:val="right"/>
              <w:rPr/>
            </w:pPr>
            <w:r>
              <w:rPr>
                <w:rFonts w:eastAsia="Arial" w:cs="Arial"/>
                <w:b/>
                <w:bCs/>
                <w:sz w:val="18"/>
                <w:szCs w:val="18"/>
              </w:rPr>
              <w:t>6</w:t>
            </w:r>
          </w:p>
        </w:tc>
      </w:tr>
    </w:tbl>
    <w:p>
      <w:pPr>
        <w:pStyle w:val="Normal"/>
        <w:spacing w:before="60" w:after="200"/>
        <w:jc w:val="left"/>
        <w:rPr/>
      </w:pPr>
      <w:r>
        <w:rPr>
          <w:rFonts w:eastAsia="Arial" w:cs="Arial"/>
          <w:i/>
          <w:iCs/>
          <w:color w:val="5A5A5A"/>
          <w:sz w:val="18"/>
          <w:szCs w:val="18"/>
        </w:rPr>
        <w:t>Automatische Prüfung der Planungssoftware GymPlanner gegen ASR A2.3 (Fluchtwege), ASR A1.8, ASR A4.1/A4.2 (Sanitär), DIN EN 957/ISO 20957 (Geräteabstände), LBO BW; ersetzt keine Prüfung durch Behörden und Fachplaner</w:t>
      </w:r>
    </w:p>
    <w:p>
      <w:pPr>
        <w:pStyle w:val="Normal"/>
        <w:keepNext w:val="true"/>
        <w:spacing w:before="200" w:after="80"/>
        <w:jc w:val="left"/>
        <w:rPr/>
      </w:pPr>
      <w:r>
        <w:rPr>
          <w:rFonts w:eastAsia="Arial" w:cs="Arial"/>
          <w:b/>
          <w:bCs/>
          <w:sz w:val="20"/>
          <w:szCs w:val="20"/>
        </w:rPr>
        <w:t>Tabelle H.2: Offene Hinweise der Regularien-Prüfung (Status prüfen / Hinweis)</w:t>
      </w:r>
    </w:p>
    <w:tbl>
      <w:tblPr>
        <w:tblW w:w="9638" w:type="dxa"/>
        <w:jc w:val="left"/>
        <w:tblInd w:w="0" w:type="dxa"/>
        <w:tblLayout w:type="fixed"/>
        <w:tblCellMar>
          <w:top w:w="40" w:type="dxa"/>
          <w:left w:w="70" w:type="dxa"/>
          <w:bottom w:w="40" w:type="dxa"/>
          <w:right w:w="70" w:type="dxa"/>
        </w:tblCellMar>
      </w:tblPr>
      <w:tblGrid>
        <w:gridCol w:w="1349"/>
        <w:gridCol w:w="3276"/>
        <w:gridCol w:w="1927"/>
        <w:gridCol w:w="1929"/>
        <w:gridCol w:w="1157"/>
      </w:tblGrid>
      <w:tr>
        <w:trPr>
          <w:tblHeader w:val="true"/>
        </w:trPr>
        <w:tc>
          <w:tcPr>
            <w:tcW w:w="134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Thema</w:t>
            </w:r>
          </w:p>
        </w:tc>
        <w:tc>
          <w:tcPr>
            <w:tcW w:w="3276"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Prüfung</w:t>
            </w:r>
          </w:p>
        </w:tc>
        <w:tc>
          <w:tcPr>
            <w:tcW w:w="192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Soll</w:t>
            </w:r>
          </w:p>
        </w:tc>
        <w:tc>
          <w:tcPr>
            <w:tcW w:w="1929"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Ist</w:t>
            </w:r>
          </w:p>
        </w:tc>
        <w:tc>
          <w:tcPr>
            <w:tcW w:w="1157"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Status</w:t>
            </w:r>
          </w:p>
        </w:tc>
      </w:tr>
      <w:tr>
        <w:trPr/>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Barrierefreiheit</w:t>
            </w:r>
          </w:p>
        </w:tc>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Bewegungsfläche vor dem barrierefreien WC</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150 × 150 cm frei, seitlich 90 cm neben dem WC</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Objektmaß 150 cm × 220 cm (Bewegungsfläche enthalten)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Hinweis</w:t>
            </w:r>
          </w:p>
        </w:tc>
      </w:tr>
      <w:tr>
        <w:trPr/>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Sanitär &amp; Umkleiden</w:t>
            </w:r>
          </w:p>
        </w:tc>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Toiletten für Beschäftigte</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 Toilette (bis 5 Beschäftigte je Geschlecht 1)</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7 WC + 4 Urinale gesamt · 6 Beschäftigte angenommen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Hinweis</w:t>
            </w:r>
          </w:p>
        </w:tc>
      </w:tr>
      <w:tr>
        <w:trPr/>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Organisatorisches</w:t>
            </w:r>
          </w:p>
        </w:tc>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Brandschutzhelfer</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 Brandschutzhelfer (5 %, mind. 1)</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 Beschäftigte angenommen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Hinweis</w:t>
            </w:r>
          </w:p>
        </w:tc>
      </w:tr>
      <w:tr>
        <w:trPr/>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Organisatorisches</w:t>
            </w:r>
          </w:p>
        </w:tc>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Ersthelfer</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 Ersthelfer</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 Beschäftigte angenommen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Hinweis</w:t>
            </w:r>
          </w:p>
        </w:tc>
      </w:tr>
      <w:tr>
        <w:trPr/>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Organisatorisches</w:t>
            </w:r>
          </w:p>
        </w:tc>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Legionellenprüfung (Duschen)</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Untersuchung der Trinkwasser-Installation alle 3 Jahre (gewerblich), W</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Duschen</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Hinweis</w:t>
            </w:r>
          </w:p>
        </w:tc>
      </w:tr>
      <w:tr>
        <w:trPr/>
        <w:tc>
          <w:tcPr>
            <w:tcW w:w="134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Organisatorisches</w:t>
            </w:r>
          </w:p>
        </w:tc>
        <w:tc>
          <w:tcPr>
            <w:tcW w:w="327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Prüfung der Feuerlöscher</w:t>
            </w:r>
          </w:p>
        </w:tc>
        <w:tc>
          <w:tcPr>
            <w:tcW w:w="192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Sachkundigenprüfung alle 2 Jahre</w:t>
            </w:r>
          </w:p>
        </w:tc>
        <w:tc>
          <w:tcPr>
            <w:tcW w:w="192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21 Feuerlöscher</w:t>
            </w:r>
          </w:p>
        </w:tc>
        <w:tc>
          <w:tcPr>
            <w:tcW w:w="11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Hinweis</w:t>
            </w:r>
          </w:p>
        </w:tc>
      </w:tr>
    </w:tbl>
    <w:p>
      <w:pPr>
        <w:pStyle w:val="Normal"/>
        <w:keepNext w:val="true"/>
        <w:spacing w:before="200" w:after="80"/>
        <w:jc w:val="left"/>
        <w:rPr/>
      </w:pPr>
      <w:r>
        <w:rPr>
          <w:rFonts w:eastAsia="Arial" w:cs="Arial"/>
          <w:b/>
          <w:bCs/>
          <w:sz w:val="20"/>
          <w:szCs w:val="20"/>
        </w:rPr>
        <w:t>Tabelle H.3: Wichtige erfüllte Anforderungen (Auswahl)</w:t>
      </w:r>
    </w:p>
    <w:tbl>
      <w:tblPr>
        <w:tblW w:w="9638" w:type="dxa"/>
        <w:jc w:val="left"/>
        <w:tblInd w:w="0" w:type="dxa"/>
        <w:tblLayout w:type="fixed"/>
        <w:tblCellMar>
          <w:top w:w="40" w:type="dxa"/>
          <w:left w:w="70" w:type="dxa"/>
          <w:bottom w:w="40" w:type="dxa"/>
          <w:right w:w="70" w:type="dxa"/>
        </w:tblCellMar>
      </w:tblPr>
      <w:tblGrid>
        <w:gridCol w:w="1542"/>
        <w:gridCol w:w="3855"/>
        <w:gridCol w:w="2120"/>
        <w:gridCol w:w="2120"/>
      </w:tblGrid>
      <w:tr>
        <w:trPr>
          <w:tblHeader w:val="true"/>
        </w:trPr>
        <w:tc>
          <w:tcPr>
            <w:tcW w:w="1542"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left"/>
              <w:rPr/>
            </w:pPr>
            <w:r>
              <w:rPr>
                <w:rFonts w:eastAsia="Arial" w:cs="Arial"/>
                <w:b/>
                <w:bCs/>
                <w:sz w:val="18"/>
                <w:szCs w:val="18"/>
              </w:rPr>
              <w:t>Thema</w:t>
            </w:r>
          </w:p>
        </w:tc>
        <w:tc>
          <w:tcPr>
            <w:tcW w:w="3855"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Prüfung</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Soll</w:t>
            </w:r>
          </w:p>
        </w:tc>
        <w:tc>
          <w:tcPr>
            <w:tcW w:w="2120" w:type="dxa"/>
            <w:tcBorders>
              <w:top w:val="single" w:sz="4" w:space="0" w:color="BFBFBF"/>
              <w:left w:val="single" w:sz="4" w:space="0" w:color="BFBFBF"/>
              <w:bottom w:val="single" w:sz="4" w:space="0" w:color="BFBFBF"/>
              <w:right w:val="single" w:sz="4" w:space="0" w:color="BFBFBF"/>
            </w:tcBorders>
            <w:shd w:color="auto" w:fill="E8EEF5" w:val="clear"/>
            <w:vAlign w:val="center"/>
          </w:tcPr>
          <w:p>
            <w:pPr>
              <w:pStyle w:val="Normal"/>
              <w:spacing w:lineRule="exact" w:line="240" w:before="0" w:after="0"/>
              <w:jc w:val="right"/>
              <w:rPr/>
            </w:pPr>
            <w:r>
              <w:rPr>
                <w:rFonts w:eastAsia="Arial" w:cs="Arial"/>
                <w:b/>
                <w:bCs/>
                <w:sz w:val="18"/>
                <w:szCs w:val="18"/>
              </w:rPr>
              <w:t>Ist</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Anzahl Notausgänge „EG“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2 unabhängige Rettungswege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 Notausgänge · 1.931,13 m² · 132 Personen</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Aufschlagrichtung Notausgang „Haupteingang, zweiflügelig (200 cm), Panikbeschlag, schlägt </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 Fluchtrichtung (nach außen) aufschlagend</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schlägt nach außen auf</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Aufschlagrichtung Notausgang „Notausgang Kursraum“</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 Fluchtrichtung (nach außen) aufschlagend</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schlägt nach außen auf</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Aufschlagrichtung Notausgang „Notausgang Nord (Beine / HYROX)“</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 Fluchtrichtung (nach außen) aufschlagend</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schlägt nach außen auf</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Aufschlagrichtung Notausgang „Notausgang Nord-Ost (Cardio / HYROX)“</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 Fluchtrichtung (nach außen) aufschlagend</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schlägt nach außen auf</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Aufschlagrichtung Notausgang „Notausgang Süd (Flur Umkleiden)“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 Fluchtrichtung (nach außen) aufschlagend</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schlägt nach außen auf</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Aufschlagrichtung Notausgang „Notausgang West (Freihantel)“</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in Fluchtrichtung (nach außen) aufschlagend</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schlägt nach außen auf</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Ausgangsbreite gesamt „EG“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120 cm für 132 Personen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690 cm (200 cm + 100 cm + 90 cm + 100 cm + 100 cm + 100 cm)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 – Freihantel → Notausgang West: Endpunkt am Notausgang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100 cm zur Notausgangstür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cm bis Notausgang „Notausgang West (Freihantel)“</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 – Freihantel → Notausgang West: Korridor frei (120 cm)</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Breite 120 cm ohne Objekte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 – Freihantel → Notausgang West: Länge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52,5 m Lauflänge, ≤ 35 m Luftlinie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Lauflänge 24,9 m · Luftlinie 17,6 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 – Freihantel → Notausgang West: Wände nur durch Türen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Wände nur innerhalb einer Türöffnung kreuzen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Wanddurchdringung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10 – Technik/Lager → Haupteingang: Endpunkt am Notausgang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100 cm zur Notausgangstür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cm bis Notausgang „Haupteingang, zweiflügelig (200 cm), Panikbeschl</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10 – Technik/Lager → Haupteingang: Korridor frei (100 cm–120 cm)</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Breite 100 cm–120 cm ohne Objekte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10 – Technik/Lager → Haupteingang: Länge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52,5 m Lauflänge, ≤ 35 m Luftlinie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Lauflänge 23,6 m · Luftlinie 13,5 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10 – Technik/Lager → Haupteingang: Wände nur durch Türen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Wände nur innerhalb einer Türöffnung kreuzen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Wanddurchdringung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11 – Wellness → Notausgang Süd: Endpunkt am Notausgang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100 cm zur Notausgangstür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cm bis Notausgang „Notausgang Süd (Flur Umkleiden)“</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11 – Wellness → Notausgang Süd: Korridor frei (120 cm)</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Breite 120 cm ohne Objekte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11 – Wellness → Notausgang Süd: Länge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52,5 m Lauflänge, ≤ 35 m Luftlinie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Lauflänge 32,2 m · Luftlinie 15,8 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11 – Wellness → Notausgang Süd: Wände nur durch Türen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Wände nur innerhalb einer Türöffnung kreuzen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Wanddurchdringung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12 – Kursraum → Halle → Notausgang Süd: Endpunkt am Notausgang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100 cm zur Notausgangstür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cm bis Notausgang „Notausgang Süd (Flur Umkleiden)“</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12 – Kursraum → Halle → Notausgang Süd: Korridor frei (120 cm)</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Breite 120 cm ohne Objekte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12 – Kursraum → Halle → Notausgang Süd: Länge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52,5 m Lauflänge, ≤ 35 m Luftlinie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Lauflänge 34,4 m · Luftlinie 24 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12 – Kursraum → Halle → Notausgang Süd: Wände nur durch Türen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Wände nur innerhalb einer Türöffnung kreuzen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Wanddurchdringung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2 – Beine → Notausgang Nord: Endpunkt am Notausgang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100 cm zur Notausgangstür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cm bis Notausgang „Notausgang Nord (Beine / HYROX)“</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2 – Beine → Notausgang Nord: Korridor frei (120 cm)</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Breite 120 cm ohne Objekte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2 – Beine → Notausgang Nord: Länge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52,5 m Lauflänge, ≤ 35 m Luftlinie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Lauflänge 21,5 m · Luftlinie 17,4 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2 – Beine → Notausgang Nord: Wände nur durch Türen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Wände nur innerhalb einer Türöffnung kreuzen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Wanddurchdringung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3 – Cardio → Notausgang Nord-Ost: Endpunkt am Notausgang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100 cm zur Notausgangstür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cm bis Notausgang „Notausgang Nord-Ost (Cardio / HYROX)“</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3 – Cardio → Notausgang Nord-Ost: Korridor frei (120 cm)</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Breite 120 cm ohne Objekte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3 – Cardio → Notausgang Nord-Ost: Länge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52,5 m Lauflänge, ≤ 35 m Luftlinie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Lauflänge 19,5 m · Luftlinie 16,8 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3 – Cardio → Notausgang Nord-Ost: Wände nur durch Türen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Wände nur innerhalb einer Türöffnung kreuzen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Wanddurchdringung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4 – Rücken/Rack-Straße → Notausgang Nord-Ost: Endpunkt am Notausgang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100 cm zur Notausgangstür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cm bis Notausgang „Notausgang Nord-Ost (Cardio / HYROX)“</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4 – Rücken/Rack-Straße → Notausgang Nord-Ost: Korridor frei (120 cm)</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Breite 120 cm ohne Objekte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4 – Rücken/Rack-Straße → Notausgang Nord-Ost: Länge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52,5 m Lauflänge, ≤ 35 m Luftlinie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Lauflänge 35,2 m · Luftlinie 23,6 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4 – Rücken/Rack-Straße → Notausgang Nord-Ost: Wände nur durch Türen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Wände nur innerhalb einer Türöffnung kreuzen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Wanddurchdringung</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5 – Schultern &amp; Arme → Notausgang Süd: Endpunkt am Notausgang</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100 cm zur Notausgangstür</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18 cm bis Notausgang „Notausgang Süd (Flur Umkleiden)“</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5 – Schultern &amp; Arme → Notausgang Süd: Korridor frei (120 cm)</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Breite 120 cm ohne Objekte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frei</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5 – Schultern &amp; Arme → Notausgang Süd: Länge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 xml:space="preserve">≤ </w:t>
            </w:r>
            <w:r>
              <w:rPr>
                <w:rFonts w:eastAsia="Arial" w:cs="Arial"/>
                <w:b w:val="false"/>
                <w:bCs w:val="false"/>
                <w:sz w:val="18"/>
                <w:szCs w:val="18"/>
              </w:rPr>
              <w:t>52,5 m Lauflänge, ≤ 35 m Luftlinie</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Lauflänge 20,8 m · Luftlinie 14,8 m</w:t>
            </w:r>
          </w:p>
        </w:tc>
      </w:tr>
      <w:tr>
        <w:trPr/>
        <w:tc>
          <w:tcPr>
            <w:tcW w:w="154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Fluchtwege &amp; Notausgänge</w:t>
            </w:r>
          </w:p>
        </w:tc>
        <w:tc>
          <w:tcPr>
            <w:tcW w:w="385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Fluchtweg 5 – Schultern &amp; Arme → Notausgang Süd: Wände nur durch Türen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Wände nur innerhalb einer Türöffnung kreuzen</w:t>
            </w:r>
          </w:p>
        </w:tc>
        <w:tc>
          <w:tcPr>
            <w:tcW w:w="212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40" w:before="0" w:after="0"/>
              <w:jc w:val="left"/>
              <w:rPr/>
            </w:pPr>
            <w:r>
              <w:rPr>
                <w:rFonts w:eastAsia="Arial" w:cs="Arial"/>
                <w:b w:val="false"/>
                <w:bCs w:val="false"/>
                <w:sz w:val="18"/>
                <w:szCs w:val="18"/>
              </w:rPr>
              <w:t>keine Wanddurchdringung</w:t>
            </w:r>
          </w:p>
        </w:tc>
      </w:tr>
    </w:tbl>
    <w:p>
      <w:pPr>
        <w:pStyle w:val="Normal"/>
        <w:spacing w:before="60" w:after="200"/>
        <w:jc w:val="left"/>
        <w:rPr/>
      </w:pPr>
      <w:r>
        <w:rPr>
          <w:rFonts w:eastAsia="Arial" w:cs="Arial"/>
          <w:i/>
          <w:iCs/>
          <w:color w:val="5A5A5A"/>
          <w:sz w:val="18"/>
          <w:szCs w:val="18"/>
        </w:rPr>
        <w:t>Vollständige Liste (121 Prüfungen) in der Planungssoftware bzw. im PDF-Export des Projekts</w:t>
      </w:r>
      <w:r>
        <w:br w:type="page"/>
      </w:r>
    </w:p>
    <w:p>
      <w:pPr>
        <w:pStyle w:val="Heading1"/>
        <w:spacing w:before="360" w:after="200"/>
        <w:rPr/>
      </w:pPr>
      <w:bookmarkStart w:id="115" w:name="__RefHeading___Toc21331_3809407278"/>
      <w:bookmarkEnd w:id="115"/>
      <w:r>
        <w:rPr/>
        <w:t>Anhang I – Quellen</w:t>
      </w:r>
    </w:p>
    <w:p>
      <w:pPr>
        <w:pStyle w:val="Normal"/>
        <w:spacing w:lineRule="exact" w:line="276" w:before="0" w:after="120"/>
        <w:jc w:val="both"/>
        <w:rPr/>
      </w:pPr>
      <w:r>
        <w:rPr>
          <w:rFonts w:eastAsia="Arial" w:cs="Arial"/>
          <w:sz w:val="22"/>
          <w:szCs w:val="22"/>
        </w:rPr>
        <w:t>Die folgenden Quellen wurden für Marktdaten, Förderkonditionen, Betriebskennzahlen und Standortdaten herangezogen (Stand September 2026). Die vollständigen Rechercheprotokolle mit Abrufdaten liegen dem Plan digital bei.</w:t>
      </w:r>
    </w:p>
    <w:p>
      <w:pPr>
        <w:pStyle w:val="ListParagraph"/>
        <w:numPr>
          <w:ilvl w:val="0"/>
          <w:numId w:val="1"/>
        </w:numPr>
        <w:spacing w:lineRule="exact" w:line="276" w:before="0" w:after="60"/>
        <w:jc w:val="left"/>
        <w:rPr/>
      </w:pPr>
      <w:r>
        <w:rPr>
          <w:rFonts w:eastAsia="Arial" w:cs="Arial"/>
          <w:sz w:val="22"/>
          <w:szCs w:val="22"/>
        </w:rPr>
        <w:t>§ 11 BauNVO Sonstige Sondergebiete (Normtext) – https://www.juraforum.de/gesetze/baunvo/11-sonstige-sondergebiete</w:t>
      </w:r>
    </w:p>
    <w:p>
      <w:pPr>
        <w:pStyle w:val="ListParagraph"/>
        <w:numPr>
          <w:ilvl w:val="0"/>
          <w:numId w:val="1"/>
        </w:numPr>
        <w:spacing w:lineRule="exact" w:line="276" w:before="0" w:after="60"/>
        <w:jc w:val="left"/>
        <w:rPr/>
      </w:pPr>
      <w:r>
        <w:rPr>
          <w:rFonts w:eastAsia="Arial" w:cs="Arial"/>
          <w:sz w:val="22"/>
          <w:szCs w:val="22"/>
        </w:rPr>
        <w:t>§ 12 UStG – https://www.gesetze-im-internet.de/ustg_1980/__12.html</w:t>
      </w:r>
    </w:p>
    <w:p>
      <w:pPr>
        <w:pStyle w:val="ListParagraph"/>
        <w:numPr>
          <w:ilvl w:val="0"/>
          <w:numId w:val="1"/>
        </w:numPr>
        <w:spacing w:lineRule="exact" w:line="276" w:before="0" w:after="60"/>
        <w:jc w:val="left"/>
        <w:rPr/>
      </w:pPr>
      <w:r>
        <w:rPr>
          <w:rFonts w:eastAsia="Arial" w:cs="Arial"/>
          <w:sz w:val="22"/>
          <w:szCs w:val="22"/>
        </w:rPr>
        <w:t>§ 12 UStG Steuersätze – https://www.gesetze-im-internet.de/ustg_1980/__12.html; § 15 UStG Vorsteuerabzug – https://www.gesetze-im-internet.de/ustg_1980/__15.html (Fassung 2026)</w:t>
      </w:r>
    </w:p>
    <w:p>
      <w:pPr>
        <w:pStyle w:val="ListParagraph"/>
        <w:numPr>
          <w:ilvl w:val="0"/>
          <w:numId w:val="1"/>
        </w:numPr>
        <w:spacing w:lineRule="exact" w:line="276" w:before="0" w:after="60"/>
        <w:jc w:val="left"/>
        <w:rPr/>
      </w:pPr>
      <w:r>
        <w:rPr>
          <w:rFonts w:eastAsia="Arial" w:cs="Arial"/>
          <w:sz w:val="22"/>
          <w:szCs w:val="22"/>
        </w:rPr>
        <w:t>§ 309 Nr. 9 BGB (Laufzeit bei Dauerschuldverhältnissen, Fassung seit 01.03.2022) und § 312k BGB (Kündigungsbutton) – https://www.gesetze-im-internet.de/bgb/__309.html</w:t>
      </w:r>
    </w:p>
    <w:p>
      <w:pPr>
        <w:pStyle w:val="ListParagraph"/>
        <w:numPr>
          <w:ilvl w:val="0"/>
          <w:numId w:val="1"/>
        </w:numPr>
        <w:spacing w:lineRule="exact" w:line="276" w:before="0" w:after="60"/>
        <w:jc w:val="left"/>
        <w:rPr/>
      </w:pPr>
      <w:r>
        <w:rPr>
          <w:rFonts w:eastAsia="Arial" w:cs="Arial"/>
          <w:sz w:val="22"/>
          <w:szCs w:val="22"/>
        </w:rPr>
        <w:t>§ 309 Nr. 9 BGB (Vertragslaufzeiten) und § 312k BGB (Kündigungsbutton) – https://www.gesetze-im-internet.de/bgb/__309.html</w:t>
      </w:r>
    </w:p>
    <w:p>
      <w:pPr>
        <w:pStyle w:val="ListParagraph"/>
        <w:numPr>
          <w:ilvl w:val="0"/>
          <w:numId w:val="1"/>
        </w:numPr>
        <w:spacing w:lineRule="exact" w:line="276" w:before="0" w:after="60"/>
        <w:jc w:val="left"/>
        <w:rPr/>
      </w:pPr>
      <w:r>
        <w:rPr>
          <w:rFonts w:eastAsia="Arial" w:cs="Arial"/>
          <w:sz w:val="22"/>
          <w:szCs w:val="22"/>
        </w:rPr>
        <w:t>§ 5 und § 7 Abs. 2 GmbHG (Stammkapital 25.000 €, Mindesteinzahlung 12.500 €) – https://www.gesetze-im-internet.de/gmbhg/__7.html; § 5a GmbHG (UG) – https://www.gesetze-im-internet.de/gmbhg/__5a.html</w:t>
      </w:r>
    </w:p>
    <w:p>
      <w:pPr>
        <w:pStyle w:val="ListParagraph"/>
        <w:numPr>
          <w:ilvl w:val="0"/>
          <w:numId w:val="1"/>
        </w:numPr>
        <w:spacing w:lineRule="exact" w:line="276" w:before="0" w:after="60"/>
        <w:jc w:val="left"/>
        <w:rPr/>
      </w:pPr>
      <w:r>
        <w:rPr>
          <w:rFonts w:eastAsia="Arial" w:cs="Arial"/>
          <w:sz w:val="22"/>
          <w:szCs w:val="22"/>
        </w:rPr>
        <w:t>§ 54 LBO Baden-Württemberg – Fristen im Genehmigungsverfahren – https://lxgesetze.de/lbo/54 (Stand 16.03.2026); ARGE Baurecht – Gesetz für das schnelleres Bauen (Genehmigungsfiktion 3 Monate) – https://arge-baurecht.com/baurecht-wissen/fachartikel/artikel/das-neue-gesetz-fuer-das-schnellere-bauen (29.07.2025)</w:t>
      </w:r>
    </w:p>
    <w:p>
      <w:pPr>
        <w:pStyle w:val="ListParagraph"/>
        <w:numPr>
          <w:ilvl w:val="0"/>
          <w:numId w:val="1"/>
        </w:numPr>
        <w:spacing w:lineRule="exact" w:line="276" w:before="0" w:after="60"/>
        <w:jc w:val="left"/>
        <w:rPr/>
      </w:pPr>
      <w:r>
        <w:rPr>
          <w:rFonts w:eastAsia="Arial" w:cs="Arial"/>
          <w:sz w:val="22"/>
          <w:szCs w:val="22"/>
        </w:rPr>
        <w:t>§ 54 LBO Baden-Württemberg (Stand 16.03.2026) – https://www.lxgesetze.de/lbo-bw/54; ARGE Baurecht: LBO-Reform 2025 (29.07.2025)</w:t>
      </w:r>
    </w:p>
    <w:p>
      <w:pPr>
        <w:pStyle w:val="ListParagraph"/>
        <w:numPr>
          <w:ilvl w:val="0"/>
          <w:numId w:val="1"/>
        </w:numPr>
        <w:spacing w:lineRule="exact" w:line="276" w:before="0" w:after="60"/>
        <w:jc w:val="left"/>
        <w:rPr/>
      </w:pPr>
      <w:r>
        <w:rPr>
          <w:rFonts w:eastAsia="Arial" w:cs="Arial"/>
          <w:sz w:val="22"/>
          <w:szCs w:val="22"/>
        </w:rPr>
        <w:t>§ 54 LBO BW Fristen im Genehmigungsverfahren – https://lxgesetze.de/lbo/54 (Stand 16.03.2026)</w:t>
      </w:r>
    </w:p>
    <w:p>
      <w:pPr>
        <w:pStyle w:val="ListParagraph"/>
        <w:numPr>
          <w:ilvl w:val="0"/>
          <w:numId w:val="1"/>
        </w:numPr>
        <w:spacing w:lineRule="exact" w:line="276" w:before="0" w:after="60"/>
        <w:jc w:val="left"/>
        <w:rPr/>
      </w:pPr>
      <w:r>
        <w:rPr>
          <w:rFonts w:eastAsia="Arial" w:cs="Arial"/>
          <w:sz w:val="22"/>
          <w:szCs w:val="22"/>
        </w:rPr>
        <w:t>§ 7 GmbHG – https://www.gesetze-im-internet.de/gmbhg/__7.html</w:t>
      </w:r>
    </w:p>
    <w:p>
      <w:pPr>
        <w:pStyle w:val="ListParagraph"/>
        <w:numPr>
          <w:ilvl w:val="0"/>
          <w:numId w:val="1"/>
        </w:numPr>
        <w:spacing w:lineRule="exact" w:line="276" w:before="0" w:after="60"/>
        <w:jc w:val="left"/>
        <w:rPr/>
      </w:pPr>
      <w:r>
        <w:rPr>
          <w:rFonts w:eastAsia="Arial" w:cs="Arial"/>
          <w:sz w:val="22"/>
          <w:szCs w:val="22"/>
        </w:rPr>
        <w:t>§ 7 GmbHG Anmeldung der Gesellschaft – https://www.gesetze-im-internet.de/gmbhg/__7.html; notar-check.de Notarkosten GmbH-Gründung (18.05.2026); IHK Karlsruhe Wahl der Rechtsform (01/2025)</w:t>
      </w:r>
    </w:p>
    <w:p>
      <w:pPr>
        <w:pStyle w:val="ListParagraph"/>
        <w:numPr>
          <w:ilvl w:val="0"/>
          <w:numId w:val="1"/>
        </w:numPr>
        <w:spacing w:lineRule="exact" w:line="276" w:before="0" w:after="60"/>
        <w:jc w:val="left"/>
        <w:rPr/>
      </w:pPr>
      <w:r>
        <w:rPr>
          <w:rFonts w:eastAsia="Arial" w:cs="Arial"/>
          <w:sz w:val="22"/>
          <w:szCs w:val="22"/>
        </w:rPr>
        <w:t>§ 8 BauNVO Gewerbegebiete (Normtext; Anlagen für gesundheitliche Zwecke nur ausnahmsweise) – https://www.juraforum.de/gesetze/baunvo/8-gewerbegebiete</w:t>
      </w:r>
    </w:p>
    <w:p>
      <w:pPr>
        <w:pStyle w:val="ListParagraph"/>
        <w:numPr>
          <w:ilvl w:val="0"/>
          <w:numId w:val="1"/>
        </w:numPr>
        <w:spacing w:lineRule="exact" w:line="276" w:before="0" w:after="60"/>
        <w:jc w:val="left"/>
        <w:rPr/>
      </w:pPr>
      <w:r>
        <w:rPr>
          <w:rFonts w:eastAsia="Arial" w:cs="Arial"/>
          <w:sz w:val="22"/>
          <w:szCs w:val="22"/>
        </w:rPr>
        <w:t>§ 8 BauNVO Gewerbegebiete (Normtext) – https://www.juraforum.de/gesetze/baunvo/8-gewerbegebiete</w:t>
      </w:r>
    </w:p>
    <w:p>
      <w:pPr>
        <w:pStyle w:val="ListParagraph"/>
        <w:numPr>
          <w:ilvl w:val="0"/>
          <w:numId w:val="1"/>
        </w:numPr>
        <w:spacing w:lineRule="exact" w:line="276" w:before="0" w:after="60"/>
        <w:jc w:val="left"/>
        <w:rPr/>
      </w:pPr>
      <w:r>
        <w:rPr>
          <w:rFonts w:eastAsia="Arial" w:cs="Arial"/>
          <w:sz w:val="22"/>
          <w:szCs w:val="22"/>
        </w:rPr>
        <w:t>8Black Fitness Friedrichshafen/Ravensburg – 24/7 mit Zutrittschip – https://www.8black.fitness/ (abgerufen 27.09.2026)</w:t>
      </w:r>
    </w:p>
    <w:p>
      <w:pPr>
        <w:pStyle w:val="ListParagraph"/>
        <w:numPr>
          <w:ilvl w:val="0"/>
          <w:numId w:val="1"/>
        </w:numPr>
        <w:spacing w:lineRule="exact" w:line="276" w:before="0" w:after="60"/>
        <w:jc w:val="left"/>
        <w:rPr/>
      </w:pPr>
      <w:r>
        <w:rPr>
          <w:rFonts w:eastAsia="Arial" w:cs="Arial"/>
          <w:sz w:val="22"/>
          <w:szCs w:val="22"/>
        </w:rPr>
        <w:t>8Black Fitness Friedrichshafen/Ravensburg – Mitgliedschaften – https://www.8black.fitness/ (27.09.2026)</w:t>
      </w:r>
    </w:p>
    <w:p>
      <w:pPr>
        <w:pStyle w:val="ListParagraph"/>
        <w:numPr>
          <w:ilvl w:val="0"/>
          <w:numId w:val="1"/>
        </w:numPr>
        <w:spacing w:lineRule="exact" w:line="276" w:before="0" w:after="60"/>
        <w:jc w:val="left"/>
        <w:rPr/>
      </w:pPr>
      <w:r>
        <w:rPr>
          <w:rFonts w:eastAsia="Arial" w:cs="Arial"/>
          <w:sz w:val="22"/>
          <w:szCs w:val="22"/>
        </w:rPr>
        <w:t>8Black Fitness Friedrichshafen/Ravensburg – Mitgliedschaften (34,99 / 39,99 / 49,99 €, 50 € Aufnahme, 10 €/Quartal) – https://www.8black.fitness/ (abgerufen 27.09.2026)</w:t>
      </w:r>
    </w:p>
    <w:p>
      <w:pPr>
        <w:pStyle w:val="ListParagraph"/>
        <w:numPr>
          <w:ilvl w:val="0"/>
          <w:numId w:val="1"/>
        </w:numPr>
        <w:spacing w:lineRule="exact" w:line="276" w:before="0" w:after="60"/>
        <w:jc w:val="left"/>
        <w:rPr/>
      </w:pPr>
      <w:r>
        <w:rPr>
          <w:rFonts w:eastAsia="Arial" w:cs="Arial"/>
          <w:sz w:val="22"/>
          <w:szCs w:val="22"/>
        </w:rPr>
        <w:t>A. Bechler – Warum die Fitnessbranche sich mit dem Glauben an eine niedrige Fluktuationsquote selbst belügt (DSSV-Eckdaten) – https://de.linkedin.com/pulse/warum-die-fitnessbranche-sich-mit-dem-glauben-von-einer-bechler (02.05.2021)</w:t>
      </w:r>
    </w:p>
    <w:p>
      <w:pPr>
        <w:pStyle w:val="ListParagraph"/>
        <w:numPr>
          <w:ilvl w:val="0"/>
          <w:numId w:val="1"/>
        </w:numPr>
        <w:spacing w:lineRule="exact" w:line="276" w:before="0" w:after="60"/>
        <w:jc w:val="left"/>
        <w:rPr/>
      </w:pPr>
      <w:r>
        <w:rPr>
          <w:rFonts w:eastAsia="Arial" w:cs="Arial"/>
          <w:sz w:val="22"/>
          <w:szCs w:val="22"/>
        </w:rPr>
        <w:t>A. Bechler (LinkedIn) – Fluktuationsquote Fitnessbranche auf Basis DSSV-Eckdaten (Einzel 21–25 %, Ketten 25–28 %) – https://de.linkedin.com/pulse/warum-die-fitnessbranche-sich-mit-dem-glauben-von-einer-bechler (02.05.2021)</w:t>
      </w:r>
    </w:p>
    <w:p>
      <w:pPr>
        <w:pStyle w:val="ListParagraph"/>
        <w:numPr>
          <w:ilvl w:val="0"/>
          <w:numId w:val="1"/>
        </w:numPr>
        <w:spacing w:lineRule="exact" w:line="276" w:before="0" w:after="60"/>
        <w:jc w:val="left"/>
        <w:rPr/>
      </w:pPr>
      <w:r>
        <w:rPr>
          <w:rFonts w:eastAsia="Arial" w:cs="Arial"/>
          <w:sz w:val="22"/>
          <w:szCs w:val="22"/>
        </w:rPr>
        <w:t>ad-hoc-news – Eurobarometer 2026: 38 % treiben mehrmals pro Woche Sport (EU-Werte) – https://www.ad-hoc-news.de/wissenschaft/eurobarometer-38-prozent-treiben-mehrmals-pro-woche-sport/70167187 (23.09.2026)</w:t>
      </w:r>
    </w:p>
    <w:p>
      <w:pPr>
        <w:pStyle w:val="ListParagraph"/>
        <w:numPr>
          <w:ilvl w:val="0"/>
          <w:numId w:val="1"/>
        </w:numPr>
        <w:spacing w:lineRule="exact" w:line="276" w:before="0" w:after="60"/>
        <w:jc w:val="left"/>
        <w:rPr/>
      </w:pPr>
      <w:r>
        <w:rPr>
          <w:rFonts w:eastAsia="Arial" w:cs="Arial"/>
          <w:sz w:val="22"/>
          <w:szCs w:val="22"/>
        </w:rPr>
        <w:t>ai fitness Friedrichshafen – Studio und Preise – https://www.ai-fitness.de/studios/friedrichshafen; MC Shape Überlingen/Markdorf – Preise (abgerufen 27.09.2026)</w:t>
      </w:r>
    </w:p>
    <w:p>
      <w:pPr>
        <w:pStyle w:val="ListParagraph"/>
        <w:numPr>
          <w:ilvl w:val="0"/>
          <w:numId w:val="1"/>
        </w:numPr>
        <w:spacing w:lineRule="exact" w:line="276" w:before="0" w:after="60"/>
        <w:jc w:val="left"/>
        <w:rPr/>
      </w:pPr>
      <w:r>
        <w:rPr>
          <w:rFonts w:eastAsia="Arial" w:cs="Arial"/>
          <w:sz w:val="22"/>
          <w:szCs w:val="22"/>
        </w:rPr>
        <w:t>AKBW – Merkblatt 593 Stellplätze (VwV Stellplätze BW, Stand 01.09.2022); Rechercheprotokoll (Anhang I)</w:t>
      </w:r>
    </w:p>
    <w:p>
      <w:pPr>
        <w:pStyle w:val="ListParagraph"/>
        <w:numPr>
          <w:ilvl w:val="0"/>
          <w:numId w:val="1"/>
        </w:numPr>
        <w:spacing w:lineRule="exact" w:line="276" w:before="0" w:after="60"/>
        <w:jc w:val="left"/>
        <w:rPr/>
      </w:pPr>
      <w:r>
        <w:rPr>
          <w:rFonts w:eastAsia="Arial" w:cs="Arial"/>
          <w:sz w:val="22"/>
          <w:szCs w:val="22"/>
        </w:rPr>
        <w:t>all inclusive Fitness Friedrichshafen – https://www.ai-fitness.de/studios/friedrichshafen (27.09.2026)</w:t>
      </w:r>
    </w:p>
    <w:p>
      <w:pPr>
        <w:pStyle w:val="ListParagraph"/>
        <w:numPr>
          <w:ilvl w:val="0"/>
          <w:numId w:val="1"/>
        </w:numPr>
        <w:spacing w:lineRule="exact" w:line="276" w:before="0" w:after="60"/>
        <w:jc w:val="left"/>
        <w:rPr/>
      </w:pPr>
      <w:r>
        <w:rPr>
          <w:rFonts w:eastAsia="Arial" w:cs="Arial"/>
          <w:sz w:val="22"/>
          <w:szCs w:val="22"/>
        </w:rPr>
        <w:t>Arbeiterkammer (AT) – Unsportliche Klauseln bei Fitnesscentern (Pauschalen clever fit, McFit, Fit/One) – https://www.arbeiterkammer.at/fitness (14.01.2025)</w:t>
      </w:r>
    </w:p>
    <w:p>
      <w:pPr>
        <w:pStyle w:val="ListParagraph"/>
        <w:numPr>
          <w:ilvl w:val="0"/>
          <w:numId w:val="1"/>
        </w:numPr>
        <w:spacing w:lineRule="exact" w:line="276" w:before="0" w:after="60"/>
        <w:jc w:val="left"/>
        <w:rPr/>
      </w:pPr>
      <w:r>
        <w:rPr>
          <w:rFonts w:eastAsia="Arial" w:cs="Arial"/>
          <w:sz w:val="22"/>
          <w:szCs w:val="22"/>
        </w:rPr>
        <w:t>Arbeiterkammer (AT) – Unsportliche Klauseln bei Fitnesscentern (Pauschalen) – https://www.arbeiterkammer.at/fitness (14.01.2025)</w:t>
      </w:r>
    </w:p>
    <w:p>
      <w:pPr>
        <w:pStyle w:val="ListParagraph"/>
        <w:numPr>
          <w:ilvl w:val="0"/>
          <w:numId w:val="1"/>
        </w:numPr>
        <w:spacing w:lineRule="exact" w:line="276" w:before="0" w:after="60"/>
        <w:jc w:val="left"/>
        <w:rPr/>
      </w:pPr>
      <w:r>
        <w:rPr>
          <w:rFonts w:eastAsia="Arial" w:cs="Arial"/>
          <w:sz w:val="22"/>
          <w:szCs w:val="22"/>
        </w:rPr>
        <w:t>ArbSchG §§ 5, 12; ArbZG §§ 10, 11, 16; Nachweisgesetz; SGB VII § 192 (Anmeldung Unfallversicherung); DGUV Vorschrift 2 (Unternehmermodell)</w:t>
      </w:r>
    </w:p>
    <w:p>
      <w:pPr>
        <w:pStyle w:val="ListParagraph"/>
        <w:numPr>
          <w:ilvl w:val="0"/>
          <w:numId w:val="1"/>
        </w:numPr>
        <w:spacing w:lineRule="exact" w:line="276" w:before="0" w:after="60"/>
        <w:jc w:val="left"/>
        <w:rPr/>
      </w:pPr>
      <w:r>
        <w:rPr>
          <w:rFonts w:eastAsia="Arial" w:cs="Arial"/>
          <w:sz w:val="22"/>
          <w:szCs w:val="22"/>
        </w:rPr>
        <w:t>Architektenkammer BW – Merkblatt Nr. 593 VwV Stellplätze (1 Kfz-Stellplatz je 25 m² Sportfläche) – https://www.akbw.de/fileadmin/download/dokumenten_datenbank/AKBW_Merkblaetter/Baurecht_Planungsrecht/Merkblatt593_VwV-Stellplaetze.pdf (01.09.2022)</w:t>
      </w:r>
    </w:p>
    <w:p>
      <w:pPr>
        <w:pStyle w:val="ListParagraph"/>
        <w:numPr>
          <w:ilvl w:val="0"/>
          <w:numId w:val="1"/>
        </w:numPr>
        <w:spacing w:lineRule="exact" w:line="276" w:before="0" w:after="60"/>
        <w:jc w:val="left"/>
        <w:rPr/>
      </w:pPr>
      <w:r>
        <w:rPr>
          <w:rFonts w:eastAsia="Arial" w:cs="Arial"/>
          <w:sz w:val="22"/>
          <w:szCs w:val="22"/>
        </w:rPr>
        <w:t>Architektenkammer BW – Merkblatt Nr. 593: VwV Stellplätze – https://www.akbw.de/fileadmin/download/dokumenten_datenbank/AKBW_Merkblaetter/Baurecht_Planungsrecht/Merkblatt593_VwV-Stellplaetze.pdf (01.09.2022)</w:t>
      </w:r>
    </w:p>
    <w:p>
      <w:pPr>
        <w:pStyle w:val="ListParagraph"/>
        <w:numPr>
          <w:ilvl w:val="0"/>
          <w:numId w:val="1"/>
        </w:numPr>
        <w:spacing w:lineRule="exact" w:line="276" w:before="0" w:after="60"/>
        <w:jc w:val="left"/>
        <w:rPr/>
      </w:pPr>
      <w:r>
        <w:rPr>
          <w:rFonts w:eastAsia="Arial" w:cs="Arial"/>
          <w:sz w:val="22"/>
          <w:szCs w:val="22"/>
        </w:rPr>
        <w:t>Architektenkammer BW – Merkblatt Nr. 593: VwV Stellplätze (Anhang 1 Richtzahlen Kfz, Nr. 5.3 Fitnesscenter; Anhang 2 Fahrrad ohne Fitnesscenter-Richtzahl) – https://www.akbw.de/fileadmin/download/dokumenten_datenbank/AKBW_Merkblaetter/Baurecht_Planungsrecht/Merkblatt593_VwV-Stellplaetze.pdf (01.09.2022)</w:t>
      </w:r>
    </w:p>
    <w:p>
      <w:pPr>
        <w:pStyle w:val="ListParagraph"/>
        <w:numPr>
          <w:ilvl w:val="0"/>
          <w:numId w:val="1"/>
        </w:numPr>
        <w:spacing w:lineRule="exact" w:line="276" w:before="0" w:after="60"/>
        <w:jc w:val="left"/>
        <w:rPr/>
      </w:pPr>
      <w:r>
        <w:rPr>
          <w:rFonts w:eastAsia="Arial" w:cs="Arial"/>
          <w:sz w:val="22"/>
          <w:szCs w:val="22"/>
        </w:rPr>
        <w:t>ARGE Baurecht – Das neue Gesetz für das schnellere Bauen (LBO-Reform 2025; Genehmigungsfiktion nur im vereinfachten Verfahren § 52 LBO) – https://arge-baurecht.com/baurecht-wissen/fachartikel/artikel/das-neue-gesetz-fuer-das-schnellere-bauen (29.07.2025)</w:t>
      </w:r>
    </w:p>
    <w:p>
      <w:pPr>
        <w:pStyle w:val="ListParagraph"/>
        <w:numPr>
          <w:ilvl w:val="0"/>
          <w:numId w:val="1"/>
        </w:numPr>
        <w:spacing w:lineRule="exact" w:line="276" w:before="0" w:after="60"/>
        <w:jc w:val="left"/>
        <w:rPr/>
      </w:pPr>
      <w:r>
        <w:rPr>
          <w:rFonts w:eastAsia="Arial" w:cs="Arial"/>
          <w:sz w:val="22"/>
          <w:szCs w:val="22"/>
        </w:rPr>
        <w:t>ASR A2.3 Fluchtwege und Notausgänge; ASR A2.2 Maßnahmen gegen Brände; ASR A1.3 Sicherheitskennzeichnung; ASR A1.8 Verkehrswege; ASR A4.1 Sanitärräume; ASR A4.3 Erste Hilfe; ASR V3a.2 Barrierefreie Gestaltung – BAuA, Technische Regeln für Arbeitsstätten (geltende Fassungen 2026)</w:t>
      </w:r>
    </w:p>
    <w:p>
      <w:pPr>
        <w:pStyle w:val="ListParagraph"/>
        <w:numPr>
          <w:ilvl w:val="0"/>
          <w:numId w:val="1"/>
        </w:numPr>
        <w:spacing w:lineRule="exact" w:line="276" w:before="0" w:after="60"/>
        <w:jc w:val="left"/>
        <w:rPr/>
      </w:pPr>
      <w:r>
        <w:rPr>
          <w:rFonts w:eastAsia="Arial" w:cs="Arial"/>
          <w:sz w:val="22"/>
          <w:szCs w:val="22"/>
        </w:rPr>
        <w:t>auto.news – Am ZF-Standort Friedrichshafen wird kürzer gearbeitet – https://auto.news/artikel/am-zf-standort-in-friedrichshafen-wird-ab-mitte-mai-kuerzer-gearbeitet (09.05.2025)</w:t>
      </w:r>
    </w:p>
    <w:p>
      <w:pPr>
        <w:pStyle w:val="ListParagraph"/>
        <w:numPr>
          <w:ilvl w:val="0"/>
          <w:numId w:val="1"/>
        </w:numPr>
        <w:spacing w:lineRule="exact" w:line="276" w:before="0" w:after="60"/>
        <w:jc w:val="left"/>
        <w:rPr/>
      </w:pPr>
      <w:r>
        <w:rPr>
          <w:rFonts w:eastAsia="Arial" w:cs="Arial"/>
          <w:sz w:val="22"/>
          <w:szCs w:val="22"/>
        </w:rPr>
        <w:t>auto.news – Am ZF-Standort in Friedrichshafen wird ab Mitte Mai kürzer gearbeitet (ca. 10.000 Beschäftigte) – https://auto.news/artikel/am-zf-standort-in-friedrichshafen-wird-ab-mitte-mai-kuerzer-gearbeitet (09.05.2025)</w:t>
      </w:r>
    </w:p>
    <w:p>
      <w:pPr>
        <w:pStyle w:val="ListParagraph"/>
        <w:numPr>
          <w:ilvl w:val="0"/>
          <w:numId w:val="1"/>
        </w:numPr>
        <w:spacing w:lineRule="exact" w:line="276" w:before="0" w:after="60"/>
        <w:jc w:val="left"/>
        <w:rPr/>
      </w:pPr>
      <w:r>
        <w:rPr>
          <w:rFonts w:eastAsia="Arial" w:cs="Arial"/>
          <w:sz w:val="22"/>
          <w:szCs w:val="22"/>
        </w:rPr>
        <w:t>BGB §§ 107, 307, 308, 309 Nr. 7, 9 und 13, 312g, 312k, 314, 355, 823 (Fassung 2026, Gesetz für faire Verbraucherverträge); BGH, Urteil vom 04.05.2016, XII ZR 62/15 (Umzug kein wichtiger Grund)</w:t>
      </w:r>
    </w:p>
    <w:p>
      <w:pPr>
        <w:pStyle w:val="ListParagraph"/>
        <w:numPr>
          <w:ilvl w:val="0"/>
          <w:numId w:val="1"/>
        </w:numPr>
        <w:spacing w:lineRule="exact" w:line="276" w:before="0" w:after="60"/>
        <w:jc w:val="left"/>
        <w:rPr/>
      </w:pPr>
      <w:r>
        <w:rPr>
          <w:rFonts w:eastAsia="Arial" w:cs="Arial"/>
          <w:sz w:val="22"/>
          <w:szCs w:val="22"/>
        </w:rPr>
        <w:t>BMF – AfA-Tabelle Heil-, Kur-, Sport- und Freizeitbäder; BMF – Wachstumsbooster, degressive AfA 30 % (§ 7 Abs. 2 EStG, 2025)</w:t>
      </w:r>
    </w:p>
    <w:p>
      <w:pPr>
        <w:pStyle w:val="ListParagraph"/>
        <w:numPr>
          <w:ilvl w:val="0"/>
          <w:numId w:val="1"/>
        </w:numPr>
        <w:spacing w:lineRule="exact" w:line="276" w:before="0" w:after="60"/>
        <w:jc w:val="left"/>
        <w:rPr/>
      </w:pPr>
      <w:r>
        <w:rPr>
          <w:rFonts w:eastAsia="Arial" w:cs="Arial"/>
          <w:sz w:val="22"/>
          <w:szCs w:val="22"/>
        </w:rPr>
        <w:t>BMWi/BMI – Bekanntmachung Energieverbrauchskennwerte Nichtwohngebäude, Kategorie 31 Fitnessstudios – https://geg-info.de/geg/210503_bmwi_bmi_regeln_energieverbrauchskennwerte_nichtwohnbestand.pdf (15.04.2021)</w:t>
      </w:r>
    </w:p>
    <w:p>
      <w:pPr>
        <w:pStyle w:val="ListParagraph"/>
        <w:numPr>
          <w:ilvl w:val="0"/>
          <w:numId w:val="1"/>
        </w:numPr>
        <w:spacing w:lineRule="exact" w:line="276" w:before="0" w:after="60"/>
        <w:jc w:val="left"/>
        <w:rPr/>
      </w:pPr>
      <w:r>
        <w:rPr>
          <w:rFonts w:eastAsia="Arial" w:cs="Arial"/>
          <w:sz w:val="22"/>
          <w:szCs w:val="22"/>
        </w:rPr>
        <w:t>BMWi/BMI – Bekanntmachung Energieverbrauchskennwerte Nichtwohngebäude, Kategorie 31 Fitnessstudios (15.04.2021); IN-COME Unternehmensberatung – Raumkosten (14.06.2020)</w:t>
      </w:r>
    </w:p>
    <w:p>
      <w:pPr>
        <w:pStyle w:val="ListParagraph"/>
        <w:numPr>
          <w:ilvl w:val="0"/>
          <w:numId w:val="1"/>
        </w:numPr>
        <w:spacing w:lineRule="exact" w:line="276" w:before="0" w:after="60"/>
        <w:jc w:val="left"/>
        <w:rPr/>
      </w:pPr>
      <w:r>
        <w:rPr>
          <w:rFonts w:eastAsia="Arial" w:cs="Arial"/>
          <w:sz w:val="22"/>
          <w:szCs w:val="22"/>
        </w:rPr>
        <w:t>BMWK-Existenzgründungsportal – Finanzierung, Sicherheiten, Bürgschaften, Rating – https://www.existenzgruendungsportal.de/ (Stand 09/2026)</w:t>
      </w:r>
    </w:p>
    <w:p>
      <w:pPr>
        <w:pStyle w:val="ListParagraph"/>
        <w:numPr>
          <w:ilvl w:val="0"/>
          <w:numId w:val="1"/>
        </w:numPr>
        <w:spacing w:lineRule="exact" w:line="276" w:before="0" w:after="60"/>
        <w:jc w:val="left"/>
        <w:rPr/>
      </w:pPr>
      <w:r>
        <w:rPr>
          <w:rFonts w:eastAsia="Arial" w:cs="Arial"/>
          <w:sz w:val="22"/>
          <w:szCs w:val="22"/>
        </w:rPr>
        <w:t>BODYMEDIA – ACSM-Fitness-Trends 2026 (Deutschland-Ranking) – https://www.bodymedia.de/themen/trends-specials/die-acsm-fitness-trends-fuer-2026/ (01.02.2026); DHfPG – Fitnesstrends 2026 (27.10.2025)</w:t>
      </w:r>
    </w:p>
    <w:p>
      <w:pPr>
        <w:pStyle w:val="ListParagraph"/>
        <w:numPr>
          <w:ilvl w:val="0"/>
          <w:numId w:val="1"/>
        </w:numPr>
        <w:spacing w:lineRule="exact" w:line="276" w:before="0" w:after="60"/>
        <w:jc w:val="left"/>
        <w:rPr/>
      </w:pPr>
      <w:r>
        <w:rPr>
          <w:rFonts w:eastAsia="Arial" w:cs="Arial"/>
          <w:sz w:val="22"/>
          <w:szCs w:val="22"/>
        </w:rPr>
        <w:t>BODYMEDIA – Die ACSM-Fitness-Trends für 2026 (Deutschland-Ranking: Vereins-/Freizeitangebote Rang 3) – https://www.bodymedia.de/themen/trends-specials/die-acsm-fitness-trends-fuer-2026/ (01.02.2026)</w:t>
      </w:r>
    </w:p>
    <w:p>
      <w:pPr>
        <w:pStyle w:val="ListParagraph"/>
        <w:numPr>
          <w:ilvl w:val="0"/>
          <w:numId w:val="1"/>
        </w:numPr>
        <w:spacing w:lineRule="exact" w:line="276" w:before="0" w:after="60"/>
        <w:jc w:val="left"/>
        <w:rPr/>
      </w:pPr>
      <w:r>
        <w:rPr>
          <w:rFonts w:eastAsia="Arial" w:cs="Arial"/>
          <w:sz w:val="22"/>
          <w:szCs w:val="22"/>
        </w:rPr>
        <w:t>BODYMEDIA – Die ACSM-Fitness-Trends für 2026 (Deutschland-Ranking) – https://www.bodymedia.de/themen/trends-specials/die-acsm-fitness-trends-fuer-2026/ (01.02.2026)</w:t>
      </w:r>
    </w:p>
    <w:p>
      <w:pPr>
        <w:pStyle w:val="ListParagraph"/>
        <w:numPr>
          <w:ilvl w:val="0"/>
          <w:numId w:val="1"/>
        </w:numPr>
        <w:spacing w:lineRule="exact" w:line="276" w:before="0" w:after="60"/>
        <w:jc w:val="left"/>
        <w:rPr/>
      </w:pPr>
      <w:r>
        <w:rPr>
          <w:rFonts w:eastAsia="Arial" w:cs="Arial"/>
          <w:sz w:val="22"/>
          <w:szCs w:val="22"/>
        </w:rPr>
        <w:t>BODYMEDIA – Die zehn größten deutschen Fitnessstudio-Ketten im Preischeck (monatlich kündbar ca. +30 %) – https://www.bodymedia.de/news/die-zehn-groessten-deutschen-fitnessstudio-ketten-im-preischeck/ (05.01.2024)</w:t>
      </w:r>
    </w:p>
    <w:p>
      <w:pPr>
        <w:pStyle w:val="ListParagraph"/>
        <w:numPr>
          <w:ilvl w:val="0"/>
          <w:numId w:val="1"/>
        </w:numPr>
        <w:spacing w:lineRule="exact" w:line="276" w:before="0" w:after="60"/>
        <w:jc w:val="left"/>
        <w:rPr/>
      </w:pPr>
      <w:r>
        <w:rPr>
          <w:rFonts w:eastAsia="Arial" w:cs="Arial"/>
          <w:sz w:val="22"/>
          <w:szCs w:val="22"/>
        </w:rPr>
        <w:t>BODYMEDIA – DSSV-Eckdaten 2022 – https://www.bodymedia.de/themen/trends-specials/dssv-eckdaten-2022/ (31.05.2022)</w:t>
      </w:r>
    </w:p>
    <w:p>
      <w:pPr>
        <w:pStyle w:val="ListParagraph"/>
        <w:numPr>
          <w:ilvl w:val="0"/>
          <w:numId w:val="1"/>
        </w:numPr>
        <w:spacing w:lineRule="exact" w:line="276" w:before="0" w:after="60"/>
        <w:jc w:val="left"/>
        <w:rPr/>
      </w:pPr>
      <w:r>
        <w:rPr>
          <w:rFonts w:eastAsia="Arial" w:cs="Arial"/>
          <w:sz w:val="22"/>
          <w:szCs w:val="22"/>
        </w:rPr>
        <w:t>BODYMEDIA – DSSV-Eckdaten 2022 (Check-ins 4,6 Ketten / 4,5 Einzel je Monat; Fluktuation 28,6 %) – https://www.bodymedia.de/themen/trends-specials/dssv-eckdaten-2022/ (31.05.2022)</w:t>
      </w:r>
    </w:p>
    <w:p>
      <w:pPr>
        <w:pStyle w:val="ListParagraph"/>
        <w:numPr>
          <w:ilvl w:val="0"/>
          <w:numId w:val="1"/>
        </w:numPr>
        <w:spacing w:lineRule="exact" w:line="276" w:before="0" w:after="60"/>
        <w:jc w:val="left"/>
        <w:rPr/>
      </w:pPr>
      <w:r>
        <w:rPr>
          <w:rFonts w:eastAsia="Arial" w:cs="Arial"/>
          <w:sz w:val="22"/>
          <w:szCs w:val="22"/>
        </w:rPr>
        <w:t>BODYMEDIA – DSSV-Eckdaten 2022 (Durchschnittsalter 40,5 J., Frauenanteil 53,3 %) – https://www.bodymedia.de/themen/trends-specials/dssv-eckdaten-2022/ (31.05.2022)</w:t>
      </w:r>
    </w:p>
    <w:p>
      <w:pPr>
        <w:pStyle w:val="ListParagraph"/>
        <w:numPr>
          <w:ilvl w:val="0"/>
          <w:numId w:val="1"/>
        </w:numPr>
        <w:spacing w:lineRule="exact" w:line="276" w:before="0" w:after="60"/>
        <w:jc w:val="left"/>
        <w:rPr/>
      </w:pPr>
      <w:r>
        <w:rPr>
          <w:rFonts w:eastAsia="Arial" w:cs="Arial"/>
          <w:sz w:val="22"/>
          <w:szCs w:val="22"/>
        </w:rPr>
        <w:t>BODYMEDIA – HYROX: Zahlen, Daten, Fakten – https://www.bodymedia.de/themen/trends-specials/hyrox-zahlen-daten-fakten/ (29.05.2026)</w:t>
      </w:r>
    </w:p>
    <w:p>
      <w:pPr>
        <w:pStyle w:val="ListParagraph"/>
        <w:numPr>
          <w:ilvl w:val="0"/>
          <w:numId w:val="1"/>
        </w:numPr>
        <w:spacing w:lineRule="exact" w:line="276" w:before="0" w:after="60"/>
        <w:jc w:val="left"/>
        <w:rPr/>
      </w:pPr>
      <w:r>
        <w:rPr>
          <w:rFonts w:eastAsia="Arial" w:cs="Arial"/>
          <w:sz w:val="22"/>
          <w:szCs w:val="22"/>
        </w:rPr>
        <w:t>BODYMEDIA – HYROX: Zahlen, Daten, Fakten – https://www.bodymedia.de/themen/trends-specials/hyrox-zahlen-daten-fakten/ (29.05.2026); endurance.biz – HYROX expands global calendar for 2026/27 (20.07.2026)</w:t>
      </w:r>
    </w:p>
    <w:p>
      <w:pPr>
        <w:pStyle w:val="ListParagraph"/>
        <w:numPr>
          <w:ilvl w:val="0"/>
          <w:numId w:val="1"/>
        </w:numPr>
        <w:spacing w:lineRule="exact" w:line="276" w:before="0" w:after="60"/>
        <w:jc w:val="left"/>
        <w:rPr/>
      </w:pPr>
      <w:r>
        <w:rPr>
          <w:rFonts w:eastAsia="Arial" w:cs="Arial"/>
          <w:sz w:val="22"/>
          <w:szCs w:val="22"/>
        </w:rPr>
        <w:t>BODYMEDIA – HYROX: Zahlen, Daten, Fakten (ca. 900.000 Athleten 2025, ca. 100 Races, 15.000 Partnerstudios, ca. 1.300 DACH) – https://www.bodymedia.de/themen/trends-specials/hyrox-zahlen-daten-fakten/ (29.05.2026)</w:t>
      </w:r>
    </w:p>
    <w:p>
      <w:pPr>
        <w:pStyle w:val="ListParagraph"/>
        <w:numPr>
          <w:ilvl w:val="0"/>
          <w:numId w:val="1"/>
        </w:numPr>
        <w:spacing w:lineRule="exact" w:line="276" w:before="0" w:after="60"/>
        <w:jc w:val="left"/>
        <w:rPr/>
      </w:pPr>
      <w:r>
        <w:rPr>
          <w:rFonts w:eastAsia="Arial" w:cs="Arial"/>
          <w:sz w:val="22"/>
          <w:szCs w:val="22"/>
        </w:rPr>
        <w:t>BODYMEDIA – Planung und Organisation des Vorverkaufs im Fitnessstudio – https://www.bodymedia.de/themen/marketing/planung-und-organisation-des-vorverkaufs-im-fitnessstudio/ (02.05.2024)</w:t>
      </w:r>
    </w:p>
    <w:p>
      <w:pPr>
        <w:pStyle w:val="ListParagraph"/>
        <w:numPr>
          <w:ilvl w:val="0"/>
          <w:numId w:val="1"/>
        </w:numPr>
        <w:spacing w:lineRule="exact" w:line="276" w:before="0" w:after="60"/>
        <w:jc w:val="left"/>
        <w:rPr/>
      </w:pPr>
      <w:r>
        <w:rPr>
          <w:rFonts w:eastAsia="Arial" w:cs="Arial"/>
          <w:sz w:val="22"/>
          <w:szCs w:val="22"/>
        </w:rPr>
        <w:t>BODYMEDIA – Warum Mitglieder wirklich kündigen (IHRSA 2017: 2 Trainerkontakte/Monat) – https://www.bodymedia.de/themen/best-practice/warum-mitglieder-wirklich-kuendigen/ (14.10.2021)</w:t>
      </w:r>
    </w:p>
    <w:p>
      <w:pPr>
        <w:pStyle w:val="ListParagraph"/>
        <w:numPr>
          <w:ilvl w:val="0"/>
          <w:numId w:val="1"/>
        </w:numPr>
        <w:spacing w:lineRule="exact" w:line="276" w:before="0" w:after="60"/>
        <w:jc w:val="left"/>
        <w:rPr/>
      </w:pPr>
      <w:r>
        <w:rPr>
          <w:rFonts w:eastAsia="Arial" w:cs="Arial"/>
          <w:sz w:val="22"/>
          <w:szCs w:val="22"/>
        </w:rPr>
        <w:t>BODYMEDIA – Warum Mitglieder wirklich kündigen (IHRSA: Trainerkontakt halbiert Kündigungswahrscheinlichkeit) – https://www.bodymedia.de/themen/best-practice/warum-mitglieder-wirklich-kuendigen/ (14.10.2021)</w:t>
      </w:r>
    </w:p>
    <w:p>
      <w:pPr>
        <w:pStyle w:val="ListParagraph"/>
        <w:numPr>
          <w:ilvl w:val="0"/>
          <w:numId w:val="1"/>
        </w:numPr>
        <w:spacing w:lineRule="exact" w:line="276" w:before="0" w:after="60"/>
        <w:jc w:val="left"/>
        <w:rPr/>
      </w:pPr>
      <w:r>
        <w:rPr>
          <w:rFonts w:eastAsia="Arial" w:cs="Arial"/>
          <w:sz w:val="22"/>
          <w:szCs w:val="22"/>
        </w:rPr>
        <w:t>BODYMEDIA – Warum Mitglieder wirklich kündigen (Pixformance 2018, IHRSA 2017) – https://www.bodymedia.de/themen/best-practice/warum-mitglieder-wirklich-kuendigen/ (14.10.2021)</w:t>
      </w:r>
    </w:p>
    <w:p>
      <w:pPr>
        <w:pStyle w:val="ListParagraph"/>
        <w:numPr>
          <w:ilvl w:val="0"/>
          <w:numId w:val="1"/>
        </w:numPr>
        <w:spacing w:lineRule="exact" w:line="276" w:before="0" w:after="60"/>
        <w:jc w:val="left"/>
        <w:rPr/>
      </w:pPr>
      <w:r>
        <w:rPr>
          <w:rFonts w:eastAsia="Arial" w:cs="Arial"/>
          <w:sz w:val="22"/>
          <w:szCs w:val="22"/>
        </w:rPr>
        <w:t>BODYMEDIA – Warum Mitglieder wirklich kündigen (Pixformance 2018: 84 % kündigen binnen 2 Jahren; IHRSA 2017: 2 Trainerkontakte/Monat halbieren Kündigungswahrscheinlichkeit) – https://www.bodymedia.de/themen/best-practice/warum-mitglieder-wirklich-kuendigen/ (14.10.2021)</w:t>
      </w:r>
    </w:p>
    <w:p>
      <w:pPr>
        <w:pStyle w:val="ListParagraph"/>
        <w:numPr>
          <w:ilvl w:val="0"/>
          <w:numId w:val="1"/>
        </w:numPr>
        <w:spacing w:lineRule="exact" w:line="276" w:before="0" w:after="60"/>
        <w:jc w:val="left"/>
        <w:rPr/>
      </w:pPr>
      <w:r>
        <w:rPr>
          <w:rFonts w:eastAsia="Arial" w:cs="Arial"/>
          <w:sz w:val="22"/>
          <w:szCs w:val="22"/>
        </w:rPr>
        <w:t>BODYMEDIA – Wie Fitnessclubs mit Wellness 324.000 € Zusatzumsatz generieren – https://www.bodymedia.de/themen/management/wie-fitnessclubs-mit-wellness-324000-euro-zusatzumsatz-pro-jahr-generieren-koennen/ (28.09.2020)</w:t>
      </w:r>
    </w:p>
    <w:p>
      <w:pPr>
        <w:pStyle w:val="ListParagraph"/>
        <w:numPr>
          <w:ilvl w:val="0"/>
          <w:numId w:val="1"/>
        </w:numPr>
        <w:spacing w:lineRule="exact" w:line="276" w:before="0" w:after="60"/>
        <w:jc w:val="left"/>
        <w:rPr/>
      </w:pPr>
      <w:r>
        <w:rPr>
          <w:rFonts w:eastAsia="Arial" w:cs="Arial"/>
          <w:sz w:val="22"/>
          <w:szCs w:val="22"/>
        </w:rPr>
        <w:t>BODYMEDIA – Wie Fitnessclubs mit Wellness 324.000 € Zusatzumsatz generieren (Elixia) – https://www.bodymedia.de/themen/management/wie-fitnessclubs-mit-wellness-324000-euro-zusatzumsatz-pro-jahr-generieren-koennen/ (28.09.2020)</w:t>
      </w:r>
    </w:p>
    <w:p>
      <w:pPr>
        <w:pStyle w:val="ListParagraph"/>
        <w:numPr>
          <w:ilvl w:val="0"/>
          <w:numId w:val="1"/>
        </w:numPr>
        <w:spacing w:lineRule="exact" w:line="276" w:before="0" w:after="60"/>
        <w:jc w:val="left"/>
        <w:rPr/>
      </w:pPr>
      <w:r>
        <w:rPr>
          <w:rFonts w:eastAsia="Arial" w:cs="Arial"/>
          <w:sz w:val="22"/>
          <w:szCs w:val="22"/>
        </w:rPr>
        <w:t>BODYMEDIA – Wie Fitnessclubs mit Wellness 324.000 € Zusatzumsatz pro Jahr generieren können (Elixia: 900 Verträge in 24 Monaten) – https://www.bodymedia.de/themen/management/wie-fitnessclubs-mit-wellness-324000-euro-zusatzumsatz-pro-jahr-generieren-koennen/ (28.09.2020)</w:t>
      </w:r>
    </w:p>
    <w:p>
      <w:pPr>
        <w:pStyle w:val="ListParagraph"/>
        <w:numPr>
          <w:ilvl w:val="0"/>
          <w:numId w:val="1"/>
        </w:numPr>
        <w:spacing w:lineRule="exact" w:line="276" w:before="0" w:after="60"/>
        <w:jc w:val="left"/>
        <w:rPr/>
      </w:pPr>
      <w:r>
        <w:rPr>
          <w:rFonts w:eastAsia="Arial" w:cs="Arial"/>
          <w:sz w:val="22"/>
          <w:szCs w:val="22"/>
        </w:rPr>
        <w:t>BODYMEDIA Clubreport – Premium Fitness all inclusive: das Happy Fit Premium in Konstanz (145 Abschlüsse am Tag der offenen Tür) – https://www.bodymedia.de/themen/clubreport/premium-fitness-all-inclusive-das-happy-fit-premium-in-konstanz/ (2024)</w:t>
      </w:r>
    </w:p>
    <w:p>
      <w:pPr>
        <w:pStyle w:val="ListParagraph"/>
        <w:numPr>
          <w:ilvl w:val="0"/>
          <w:numId w:val="1"/>
        </w:numPr>
        <w:spacing w:lineRule="exact" w:line="276" w:before="0" w:after="60"/>
        <w:jc w:val="left"/>
        <w:rPr/>
      </w:pPr>
      <w:r>
        <w:rPr>
          <w:rFonts w:eastAsia="Arial" w:cs="Arial"/>
          <w:sz w:val="22"/>
          <w:szCs w:val="22"/>
        </w:rPr>
        <w:t>Bosch – Standort Feuerbach (rund 14.000 Beschäftigte) – bosch.de</w:t>
      </w:r>
    </w:p>
    <w:p>
      <w:pPr>
        <w:pStyle w:val="ListParagraph"/>
        <w:numPr>
          <w:ilvl w:val="0"/>
          <w:numId w:val="1"/>
        </w:numPr>
        <w:spacing w:lineRule="exact" w:line="276" w:before="0" w:after="60"/>
        <w:jc w:val="left"/>
        <w:rPr/>
      </w:pPr>
      <w:r>
        <w:rPr>
          <w:rFonts w:eastAsia="Arial" w:cs="Arial"/>
          <w:sz w:val="22"/>
          <w:szCs w:val="22"/>
        </w:rPr>
        <w:t>Bundesagentur für Arbeit – Gründungszuschuss – https://www.arbeitsagentur.de/arbeitslos-arbeit-finden/arbeitslosengeld/gruendungszuschuss-beantragen</w:t>
      </w:r>
    </w:p>
    <w:p>
      <w:pPr>
        <w:pStyle w:val="ListParagraph"/>
        <w:numPr>
          <w:ilvl w:val="0"/>
          <w:numId w:val="1"/>
        </w:numPr>
        <w:spacing w:lineRule="exact" w:line="276" w:before="0" w:after="60"/>
        <w:jc w:val="left"/>
        <w:rPr/>
      </w:pPr>
      <w:r>
        <w:rPr>
          <w:rFonts w:eastAsia="Arial" w:cs="Arial"/>
          <w:sz w:val="22"/>
          <w:szCs w:val="22"/>
        </w:rPr>
        <w:t>Bundesregierung – Mindestlohn 2026 auf 13,90 Euro erhöht (2027: 14,60 Euro) – https://www.bundesregierung.de/breg-de/aktuelles/mindestlohn-steigt-2391010 (21.09.2026)</w:t>
      </w:r>
    </w:p>
    <w:p>
      <w:pPr>
        <w:pStyle w:val="ListParagraph"/>
        <w:numPr>
          <w:ilvl w:val="0"/>
          <w:numId w:val="1"/>
        </w:numPr>
        <w:spacing w:lineRule="exact" w:line="276" w:before="0" w:after="60"/>
        <w:jc w:val="left"/>
        <w:rPr/>
      </w:pPr>
      <w:r>
        <w:rPr>
          <w:rFonts w:eastAsia="Arial" w:cs="Arial"/>
          <w:sz w:val="22"/>
          <w:szCs w:val="22"/>
        </w:rPr>
        <w:t>Bundesregierung – Mindestlohn 2026/2027 – https://www.bundesregierung.de/breg-de/aktuelles/mindestlohn-steigt-2391010 (21.09.2026)</w:t>
      </w:r>
    </w:p>
    <w:p>
      <w:pPr>
        <w:pStyle w:val="ListParagraph"/>
        <w:numPr>
          <w:ilvl w:val="0"/>
          <w:numId w:val="1"/>
        </w:numPr>
        <w:spacing w:lineRule="exact" w:line="276" w:before="0" w:after="60"/>
        <w:jc w:val="left"/>
        <w:rPr/>
      </w:pPr>
      <w:r>
        <w:rPr>
          <w:rFonts w:eastAsia="Arial" w:cs="Arial"/>
          <w:sz w:val="22"/>
          <w:szCs w:val="22"/>
        </w:rPr>
        <w:t>Bundesregierung – Mindestlohn 2026/2027 (21.09.2026); Minijob-Zentrale – Minijob 2026 (09.12.2025)</w:t>
      </w:r>
    </w:p>
    <w:p>
      <w:pPr>
        <w:pStyle w:val="ListParagraph"/>
        <w:numPr>
          <w:ilvl w:val="0"/>
          <w:numId w:val="1"/>
        </w:numPr>
        <w:spacing w:lineRule="exact" w:line="276" w:before="0" w:after="60"/>
        <w:jc w:val="left"/>
        <w:rPr/>
      </w:pPr>
      <w:r>
        <w:rPr>
          <w:rFonts w:eastAsia="Arial" w:cs="Arial"/>
          <w:sz w:val="22"/>
          <w:szCs w:val="22"/>
        </w:rPr>
        <w:t>Bundesregierung – Mindestlohn steigt 2026 auf 13,90 € und 2027 auf 14,60 € – https://www.bundesregierung.de/breg-de/aktuelles/mindestlohn-steigt-2391010 (21.09.2026)</w:t>
      </w:r>
    </w:p>
    <w:p>
      <w:pPr>
        <w:pStyle w:val="ListParagraph"/>
        <w:numPr>
          <w:ilvl w:val="0"/>
          <w:numId w:val="1"/>
        </w:numPr>
        <w:spacing w:lineRule="exact" w:line="276" w:before="0" w:after="60"/>
        <w:jc w:val="left"/>
        <w:rPr/>
      </w:pPr>
      <w:r>
        <w:rPr>
          <w:rFonts w:eastAsia="Arial" w:cs="Arial"/>
          <w:sz w:val="22"/>
          <w:szCs w:val="22"/>
        </w:rPr>
        <w:t>Bundesverband Personal Training – Preise – https://www.bundesverband-pt.de/qualitaetssicherung/preise/ (08.06.2026); personalfitness.de – Was kostet ein Personal Trainer? (25.09.2024)</w:t>
      </w:r>
    </w:p>
    <w:p>
      <w:pPr>
        <w:pStyle w:val="ListParagraph"/>
        <w:numPr>
          <w:ilvl w:val="0"/>
          <w:numId w:val="1"/>
        </w:numPr>
        <w:spacing w:lineRule="exact" w:line="276" w:before="0" w:after="60"/>
        <w:jc w:val="left"/>
        <w:rPr/>
      </w:pPr>
      <w:r>
        <w:rPr>
          <w:rFonts w:eastAsia="Arial" w:cs="Arial"/>
          <w:sz w:val="22"/>
          <w:szCs w:val="22"/>
        </w:rPr>
        <w:t>Bundesverband Personal Training (BPT) – Mindestempfehlung Stundensatz 95 € (06/2026); Virtuagym – Fitnessstudio eröffnen Kosten 2026 (Break-even 12–18 Monate)</w:t>
      </w:r>
    </w:p>
    <w:p>
      <w:pPr>
        <w:pStyle w:val="ListParagraph"/>
        <w:numPr>
          <w:ilvl w:val="0"/>
          <w:numId w:val="1"/>
        </w:numPr>
        <w:spacing w:lineRule="exact" w:line="276" w:before="0" w:after="60"/>
        <w:jc w:val="left"/>
        <w:rPr/>
      </w:pPr>
      <w:r>
        <w:rPr>
          <w:rFonts w:eastAsia="Arial" w:cs="Arial"/>
          <w:sz w:val="22"/>
          <w:szCs w:val="22"/>
        </w:rPr>
        <w:t>Bürgschaftsbank Baden-Württemberg – Standardprogramm (persönliche Mitverpflichtung der Gesellschafter) – https://bw.ermoeglicher.de/de/ueber-uns/service-downloads/produktliste/bbbw-standardprogramm/ (2026)</w:t>
      </w:r>
    </w:p>
    <w:p>
      <w:pPr>
        <w:pStyle w:val="ListParagraph"/>
        <w:numPr>
          <w:ilvl w:val="0"/>
          <w:numId w:val="1"/>
        </w:numPr>
        <w:spacing w:lineRule="exact" w:line="276" w:before="0" w:after="60"/>
        <w:jc w:val="left"/>
        <w:rPr/>
      </w:pPr>
      <w:r>
        <w:rPr>
          <w:rFonts w:eastAsia="Arial" w:cs="Arial"/>
          <w:sz w:val="22"/>
          <w:szCs w:val="22"/>
        </w:rPr>
        <w:t>Bürgschaftsbank Baden-Württemberg – Standardprogramm, Preis- und Konditionenverzeichnis 05/2026 – https://bw.ermoeglicher.de/</w:t>
      </w:r>
    </w:p>
    <w:p>
      <w:pPr>
        <w:pStyle w:val="ListParagraph"/>
        <w:numPr>
          <w:ilvl w:val="0"/>
          <w:numId w:val="1"/>
        </w:numPr>
        <w:spacing w:lineRule="exact" w:line="276" w:before="0" w:after="60"/>
        <w:jc w:val="left"/>
        <w:rPr/>
      </w:pPr>
      <w:r>
        <w:rPr>
          <w:rFonts w:eastAsia="Arial" w:cs="Arial"/>
          <w:sz w:val="22"/>
          <w:szCs w:val="22"/>
        </w:rPr>
        <w:t>Bürgschaftsbank Baden-Württemberg – Standardprogramm, Produktdatenblatt ERP-Förderkredit 077 (13.11.2024), Preis- und Konditionenverzeichnis 05/2026 – https://bw.ermoeglicher.de/</w:t>
      </w:r>
    </w:p>
    <w:p>
      <w:pPr>
        <w:pStyle w:val="ListParagraph"/>
        <w:numPr>
          <w:ilvl w:val="0"/>
          <w:numId w:val="1"/>
        </w:numPr>
        <w:spacing w:lineRule="exact" w:line="276" w:before="0" w:after="60"/>
        <w:jc w:val="left"/>
        <w:rPr/>
      </w:pPr>
      <w:r>
        <w:rPr>
          <w:rFonts w:eastAsia="Arial" w:cs="Arial"/>
          <w:sz w:val="22"/>
          <w:szCs w:val="22"/>
        </w:rPr>
        <w:t>citypopulation.de – Kreise und Gemeinden Baden-Württemberg (StaLa, Fortschreibung 31.12.2025, Zensus 2022) – https://www.citypopulation.de/de/germany/badenwurttemberg/ (2026)</w:t>
      </w:r>
    </w:p>
    <w:p>
      <w:pPr>
        <w:pStyle w:val="ListParagraph"/>
        <w:numPr>
          <w:ilvl w:val="0"/>
          <w:numId w:val="1"/>
        </w:numPr>
        <w:spacing w:lineRule="exact" w:line="276" w:before="0" w:after="60"/>
        <w:jc w:val="left"/>
        <w:rPr/>
      </w:pPr>
      <w:r>
        <w:rPr>
          <w:rFonts w:eastAsia="Arial" w:cs="Arial"/>
          <w:sz w:val="22"/>
          <w:szCs w:val="22"/>
        </w:rPr>
        <w:t>CleanCalc – Gebäudereinigung Preise 2026 (0,80–1,50 €/m² je Reinigung, Tariflohn 15,00 €/h) – https://www.cleancalc.de/preise-reinigung.html (08/2026)</w:t>
      </w:r>
    </w:p>
    <w:p>
      <w:pPr>
        <w:pStyle w:val="ListParagraph"/>
        <w:numPr>
          <w:ilvl w:val="0"/>
          <w:numId w:val="1"/>
        </w:numPr>
        <w:spacing w:lineRule="exact" w:line="276" w:before="0" w:after="60"/>
        <w:jc w:val="left"/>
        <w:rPr/>
      </w:pPr>
      <w:r>
        <w:rPr>
          <w:rFonts w:eastAsia="Arial" w:cs="Arial"/>
          <w:sz w:val="22"/>
          <w:szCs w:val="22"/>
        </w:rPr>
        <w:t>CleanCalc / BIV – Gebäudereinigung Tariflohn Lohngruppe 1 ab 01.01.2026 (15,00 €/h)</w:t>
      </w:r>
    </w:p>
    <w:p>
      <w:pPr>
        <w:pStyle w:val="ListParagraph"/>
        <w:numPr>
          <w:ilvl w:val="0"/>
          <w:numId w:val="1"/>
        </w:numPr>
        <w:spacing w:lineRule="exact" w:line="276" w:before="0" w:after="60"/>
        <w:jc w:val="left"/>
        <w:rPr/>
      </w:pPr>
      <w:r>
        <w:rPr>
          <w:rFonts w:eastAsia="Arial" w:cs="Arial"/>
          <w:sz w:val="22"/>
          <w:szCs w:val="22"/>
        </w:rPr>
        <w:t>CoGAP – Eckdaten der deutschen Fitness-Wirtschaft (Bezugsjahr 2014: Verlängerungsbereitschaft 82,1 %, Kündigung aus Unzufriedenheit 7,8 %) – https://www.cogap.de/de/wissen/177/eckdaten-der-deutschen-fitness-wirtschaft (27.02.2022)</w:t>
      </w:r>
    </w:p>
    <w:p>
      <w:pPr>
        <w:pStyle w:val="ListParagraph"/>
        <w:numPr>
          <w:ilvl w:val="0"/>
          <w:numId w:val="1"/>
        </w:numPr>
        <w:spacing w:lineRule="exact" w:line="276" w:before="0" w:after="60"/>
        <w:jc w:val="left"/>
        <w:rPr/>
      </w:pPr>
      <w:r>
        <w:rPr>
          <w:rFonts w:eastAsia="Arial" w:cs="Arial"/>
          <w:sz w:val="22"/>
          <w:szCs w:val="22"/>
        </w:rPr>
        <w:t>CoGAP – Eckdaten der deutschen Fitness-Wirtschaft (Bezugsjahr 2014) – https://www.cogap.de/de/wissen/177/eckdaten-der-deutschen-fitness-wirtschaft (27.02.2022)</w:t>
      </w:r>
    </w:p>
    <w:p>
      <w:pPr>
        <w:pStyle w:val="ListParagraph"/>
        <w:numPr>
          <w:ilvl w:val="0"/>
          <w:numId w:val="1"/>
        </w:numPr>
        <w:spacing w:lineRule="exact" w:line="276" w:before="0" w:after="60"/>
        <w:jc w:val="left"/>
        <w:rPr/>
      </w:pPr>
      <w:r>
        <w:rPr>
          <w:rFonts w:eastAsia="Arial" w:cs="Arial"/>
          <w:sz w:val="22"/>
          <w:szCs w:val="22"/>
        </w:rPr>
        <w:t>DDW – Standortprofil Böblingen – https://die-deutsche-wirtschaft.de/standort/boeblingen/ (06.03.2026)</w:t>
      </w:r>
    </w:p>
    <w:p>
      <w:pPr>
        <w:pStyle w:val="ListParagraph"/>
        <w:numPr>
          <w:ilvl w:val="0"/>
          <w:numId w:val="1"/>
        </w:numPr>
        <w:spacing w:lineRule="exact" w:line="276" w:before="0" w:after="60"/>
        <w:jc w:val="left"/>
        <w:rPr/>
      </w:pPr>
      <w:r>
        <w:rPr>
          <w:rFonts w:eastAsia="Arial" w:cs="Arial"/>
          <w:sz w:val="22"/>
          <w:szCs w:val="22"/>
        </w:rPr>
        <w:t>DDW – Standortprofil Böblingen (HP, Reisser, Wörwag) – https://die-deutsche-wirtschaft.de/standort/boeblingen/ (06.03.2026)</w:t>
      </w:r>
    </w:p>
    <w:p>
      <w:pPr>
        <w:pStyle w:val="ListParagraph"/>
        <w:numPr>
          <w:ilvl w:val="0"/>
          <w:numId w:val="1"/>
        </w:numPr>
        <w:spacing w:lineRule="exact" w:line="276" w:before="0" w:after="60"/>
        <w:jc w:val="left"/>
        <w:rPr/>
      </w:pPr>
      <w:r>
        <w:rPr>
          <w:rFonts w:eastAsia="Arial" w:cs="Arial"/>
          <w:sz w:val="22"/>
          <w:szCs w:val="22"/>
        </w:rPr>
        <w:t>Deloitte – Der deutsche Fitnessmarkt 2026 (Beitragsentwicklung +3,4 %, Aggregatoren) – https://www.deloitte.com/de/de/Industries/consumer/research/deutscher-fitnessmarkt-studie.html (04/2026)</w:t>
      </w:r>
    </w:p>
    <w:p>
      <w:pPr>
        <w:pStyle w:val="ListParagraph"/>
        <w:numPr>
          <w:ilvl w:val="0"/>
          <w:numId w:val="1"/>
        </w:numPr>
        <w:spacing w:lineRule="exact" w:line="276" w:before="0" w:after="60"/>
        <w:jc w:val="left"/>
        <w:rPr/>
      </w:pPr>
      <w:r>
        <w:rPr>
          <w:rFonts w:eastAsia="Arial" w:cs="Arial"/>
          <w:sz w:val="22"/>
          <w:szCs w:val="22"/>
        </w:rPr>
        <w:t>Deloitte – Deutscher Fitnessmarkt wächst trotz schwächelnder Wirtschaft – https://www.deloitte.com/de/de/about/press-room/deutscher-fitnessmarkt-waechst-trotz-schwaechelnder-wirtschaft.html (16.04.2026)</w:t>
      </w:r>
    </w:p>
    <w:p>
      <w:pPr>
        <w:pStyle w:val="ListParagraph"/>
        <w:numPr>
          <w:ilvl w:val="0"/>
          <w:numId w:val="1"/>
        </w:numPr>
        <w:spacing w:lineRule="exact" w:line="276" w:before="0" w:after="60"/>
        <w:jc w:val="left"/>
        <w:rPr/>
      </w:pPr>
      <w:r>
        <w:rPr>
          <w:rFonts w:eastAsia="Arial" w:cs="Arial"/>
          <w:sz w:val="22"/>
          <w:szCs w:val="22"/>
        </w:rPr>
        <w:t>Deutsche Bundesbank – Zinsstatistik, Neugeschäft Juli 2026 (02.09.2026) – https://www.bundesbank.de/</w:t>
      </w:r>
    </w:p>
    <w:p>
      <w:pPr>
        <w:pStyle w:val="ListParagraph"/>
        <w:numPr>
          <w:ilvl w:val="0"/>
          <w:numId w:val="1"/>
        </w:numPr>
        <w:spacing w:lineRule="exact" w:line="276" w:before="0" w:after="60"/>
        <w:jc w:val="left"/>
        <w:rPr/>
      </w:pPr>
      <w:r>
        <w:rPr>
          <w:rFonts w:eastAsia="Arial" w:cs="Arial"/>
          <w:sz w:val="22"/>
          <w:szCs w:val="22"/>
        </w:rPr>
        <w:t>deutschland-rechner – GmbH-Gründungskosten-Rechner (Handelsregister 150–225 €) – https://www.deutschland-rechner.de/gmbh-gruendungskosten-rechner (2026)</w:t>
      </w:r>
    </w:p>
    <w:p>
      <w:pPr>
        <w:pStyle w:val="ListParagraph"/>
        <w:numPr>
          <w:ilvl w:val="0"/>
          <w:numId w:val="1"/>
        </w:numPr>
        <w:spacing w:lineRule="exact" w:line="276" w:before="0" w:after="60"/>
        <w:jc w:val="left"/>
        <w:rPr/>
      </w:pPr>
      <w:r>
        <w:rPr>
          <w:rFonts w:eastAsia="Arial" w:cs="Arial"/>
          <w:sz w:val="22"/>
          <w:szCs w:val="22"/>
        </w:rPr>
        <w:t>DGUV Vorschrift 1 Grundsätze der Prävention (§§ 25, 26); DGUV Information 205-023 Brandschutzhelfer; DGUV Information 204-010 AED</w:t>
      </w:r>
    </w:p>
    <w:p>
      <w:pPr>
        <w:pStyle w:val="ListParagraph"/>
        <w:numPr>
          <w:ilvl w:val="0"/>
          <w:numId w:val="1"/>
        </w:numPr>
        <w:spacing w:lineRule="exact" w:line="276" w:before="0" w:after="60"/>
        <w:jc w:val="left"/>
        <w:rPr/>
      </w:pPr>
      <w:r>
        <w:rPr>
          <w:rFonts w:eastAsia="Arial" w:cs="Arial"/>
          <w:sz w:val="22"/>
          <w:szCs w:val="22"/>
        </w:rPr>
        <w:t>DHfPG – Fitnesstrends 2026: Wearables an der Spitze – https://www.dhfpg.de/newsroom/news/fitnesstrends-2026-wearables-an-der-spitze-top-10-weltweit (27.10.2025)</w:t>
      </w:r>
    </w:p>
    <w:p>
      <w:pPr>
        <w:pStyle w:val="ListParagraph"/>
        <w:numPr>
          <w:ilvl w:val="0"/>
          <w:numId w:val="1"/>
        </w:numPr>
        <w:spacing w:lineRule="exact" w:line="276" w:before="0" w:after="60"/>
        <w:jc w:val="left"/>
        <w:rPr/>
      </w:pPr>
      <w:r>
        <w:rPr>
          <w:rFonts w:eastAsia="Arial" w:cs="Arial"/>
          <w:sz w:val="22"/>
          <w:szCs w:val="22"/>
        </w:rPr>
        <w:t>DHfPG – Immer mehr Menschen wollen im Alter fit bleiben (Eckdaten 2020) – https://www.dhfpg.de/newsroom/aktuelles/details/immer-mehr-menschen-wollen-im-alter-fit-bleiben (31.07.2020)</w:t>
      </w:r>
    </w:p>
    <w:p>
      <w:pPr>
        <w:pStyle w:val="ListParagraph"/>
        <w:numPr>
          <w:ilvl w:val="0"/>
          <w:numId w:val="1"/>
        </w:numPr>
        <w:spacing w:lineRule="exact" w:line="276" w:before="0" w:after="60"/>
        <w:jc w:val="left"/>
        <w:rPr/>
      </w:pPr>
      <w:r>
        <w:rPr>
          <w:rFonts w:eastAsia="Arial" w:cs="Arial"/>
          <w:sz w:val="22"/>
          <w:szCs w:val="22"/>
        </w:rPr>
        <w:t>DIN EN ISO 20957-1 Stationäre Trainingsgeräte – Allgemeine sicherheitstechnische Anforderungen; DIN 18040-1 Barrierefreies Bauen; DIN ISO 23601 Flucht- und Rettungspläne</w:t>
      </w:r>
    </w:p>
    <w:p>
      <w:pPr>
        <w:pStyle w:val="ListParagraph"/>
        <w:numPr>
          <w:ilvl w:val="0"/>
          <w:numId w:val="1"/>
        </w:numPr>
        <w:spacing w:lineRule="exact" w:line="276" w:before="0" w:after="60"/>
        <w:jc w:val="left"/>
        <w:rPr/>
      </w:pPr>
      <w:r>
        <w:rPr>
          <w:rFonts w:eastAsia="Arial" w:cs="Arial"/>
          <w:sz w:val="22"/>
          <w:szCs w:val="22"/>
        </w:rPr>
        <w:t>DNB – Dissertation zum Kündigungsverhalten von Fitnessstudio-Mitgliedern (zitiert DSSV 2019) – https://d-nb.info/124761851X/34 (2021)</w:t>
      </w:r>
    </w:p>
    <w:p>
      <w:pPr>
        <w:pStyle w:val="ListParagraph"/>
        <w:numPr>
          <w:ilvl w:val="0"/>
          <w:numId w:val="1"/>
        </w:numPr>
        <w:spacing w:lineRule="exact" w:line="276" w:before="0" w:after="60"/>
        <w:jc w:val="left"/>
        <w:rPr/>
      </w:pPr>
      <w:r>
        <w:rPr>
          <w:rFonts w:eastAsia="Arial" w:cs="Arial"/>
          <w:sz w:val="22"/>
          <w:szCs w:val="22"/>
        </w:rPr>
        <w:t>DSGVO Art. 6, 9, 13, 28, 30, 32, 35; BDSG §§ 4, 26, 38; Datenschutzkonferenz – Orientierungshilfe Videoüberwachung durch nicht-öffentliche Stellen</w:t>
      </w:r>
    </w:p>
    <w:p>
      <w:pPr>
        <w:pStyle w:val="ListParagraph"/>
        <w:numPr>
          <w:ilvl w:val="0"/>
          <w:numId w:val="1"/>
        </w:numPr>
        <w:spacing w:lineRule="exact" w:line="276" w:before="0" w:after="60"/>
        <w:jc w:val="left"/>
        <w:rPr/>
      </w:pPr>
      <w:r>
        <w:rPr>
          <w:rFonts w:eastAsia="Arial" w:cs="Arial"/>
          <w:sz w:val="22"/>
          <w:szCs w:val="22"/>
        </w:rPr>
        <w:t>DSSV – Eckdaten 2025 (BGM-Anteil 43,3 %), PM 26.03.2025 – https://www.dssv.de/wp-content/uploads/2025/03/pm_eckdaten_2025.pdf; DSSV – Fitnesstrends 2024 (Betreiberbefragung, 17.01.2024)</w:t>
      </w:r>
    </w:p>
    <w:p>
      <w:pPr>
        <w:pStyle w:val="ListParagraph"/>
        <w:numPr>
          <w:ilvl w:val="0"/>
          <w:numId w:val="1"/>
        </w:numPr>
        <w:spacing w:lineRule="exact" w:line="276" w:before="0" w:after="60"/>
        <w:jc w:val="left"/>
        <w:rPr/>
      </w:pPr>
      <w:r>
        <w:rPr>
          <w:rFonts w:eastAsia="Arial" w:cs="Arial"/>
          <w:sz w:val="22"/>
          <w:szCs w:val="22"/>
        </w:rPr>
        <w:t>DSSV – Eckdaten 2025 (Online-Vertragsabschlüsse 24 %), PM 26.03.2025 – https://www.dssv.de/wp-content/uploads/2025/03/pm_eckdaten_2025.pdf</w:t>
      </w:r>
    </w:p>
    <w:p>
      <w:pPr>
        <w:pStyle w:val="ListParagraph"/>
        <w:numPr>
          <w:ilvl w:val="0"/>
          <w:numId w:val="1"/>
        </w:numPr>
        <w:spacing w:lineRule="exact" w:line="276" w:before="0" w:after="60"/>
        <w:jc w:val="left"/>
        <w:rPr/>
      </w:pPr>
      <w:r>
        <w:rPr>
          <w:rFonts w:eastAsia="Arial" w:cs="Arial"/>
          <w:sz w:val="22"/>
          <w:szCs w:val="22"/>
        </w:rPr>
        <w:t>DSSV – Eckdaten 2025 (Webseite) – https://www.dssv.de/eckdaten-2025/ (26.03.2025)</w:t>
      </w:r>
    </w:p>
    <w:p>
      <w:pPr>
        <w:pStyle w:val="ListParagraph"/>
        <w:numPr>
          <w:ilvl w:val="0"/>
          <w:numId w:val="1"/>
        </w:numPr>
        <w:spacing w:lineRule="exact" w:line="276" w:before="0" w:after="60"/>
        <w:jc w:val="left"/>
        <w:rPr/>
      </w:pPr>
      <w:r>
        <w:rPr>
          <w:rFonts w:eastAsia="Arial" w:cs="Arial"/>
          <w:sz w:val="22"/>
          <w:szCs w:val="22"/>
        </w:rPr>
        <w:t>DSSV – Eckdaten 2026 (Penetration 14,8 %) – https://www.dssv.de/eckdaten-2026/ (18.03.2026)</w:t>
      </w:r>
    </w:p>
    <w:p>
      <w:pPr>
        <w:pStyle w:val="ListParagraph"/>
        <w:numPr>
          <w:ilvl w:val="0"/>
          <w:numId w:val="1"/>
        </w:numPr>
        <w:spacing w:lineRule="exact" w:line="276" w:before="0" w:after="60"/>
        <w:jc w:val="left"/>
        <w:rPr/>
      </w:pPr>
      <w:r>
        <w:rPr>
          <w:rFonts w:eastAsia="Arial" w:cs="Arial"/>
          <w:sz w:val="22"/>
          <w:szCs w:val="22"/>
        </w:rPr>
        <w:t>DSSV – Eckdaten 2026 (Webseite, Segmentzahlen) – https://www.dssv.de/eckdaten-2026/ (18.03.2026)</w:t>
      </w:r>
    </w:p>
    <w:p>
      <w:pPr>
        <w:pStyle w:val="ListParagraph"/>
        <w:numPr>
          <w:ilvl w:val="0"/>
          <w:numId w:val="1"/>
        </w:numPr>
        <w:spacing w:lineRule="exact" w:line="276" w:before="0" w:after="60"/>
        <w:jc w:val="left"/>
        <w:rPr/>
      </w:pPr>
      <w:r>
        <w:rPr>
          <w:rFonts w:eastAsia="Arial" w:cs="Arial"/>
          <w:sz w:val="22"/>
          <w:szCs w:val="22"/>
        </w:rPr>
        <w:t>DSSV – Eckdaten der deutschen Fitnesswirtschaft 2024 – https://www.dssv.de/eckdatenstudie-2024/ (22.03.2024)</w:t>
      </w:r>
    </w:p>
    <w:p>
      <w:pPr>
        <w:pStyle w:val="ListParagraph"/>
        <w:numPr>
          <w:ilvl w:val="0"/>
          <w:numId w:val="1"/>
        </w:numPr>
        <w:spacing w:lineRule="exact" w:line="276" w:before="0" w:after="60"/>
        <w:jc w:val="left"/>
        <w:rPr/>
      </w:pPr>
      <w:r>
        <w:rPr>
          <w:rFonts w:eastAsia="Arial" w:cs="Arial"/>
          <w:sz w:val="22"/>
          <w:szCs w:val="22"/>
        </w:rPr>
        <w:t>DSSV – Erfolgreicher Start ins neue Jahr (Januar-Umfrage 2023) – https://www.dssv.de/dssv-umfrage-januar/ (02/2023)</w:t>
      </w:r>
    </w:p>
    <w:p>
      <w:pPr>
        <w:pStyle w:val="ListParagraph"/>
        <w:numPr>
          <w:ilvl w:val="0"/>
          <w:numId w:val="1"/>
        </w:numPr>
        <w:spacing w:lineRule="exact" w:line="276" w:before="0" w:after="60"/>
        <w:jc w:val="left"/>
        <w:rPr/>
      </w:pPr>
      <w:r>
        <w:rPr>
          <w:rFonts w:eastAsia="Arial" w:cs="Arial"/>
          <w:sz w:val="22"/>
          <w:szCs w:val="22"/>
        </w:rPr>
        <w:t>DSSV – Fitnesstrends 2024 (Betreiberbefragung) – https://www.dssv.de/fitnesstrends-2024/ (17.01.2024)</w:t>
      </w:r>
    </w:p>
    <w:p>
      <w:pPr>
        <w:pStyle w:val="ListParagraph"/>
        <w:numPr>
          <w:ilvl w:val="0"/>
          <w:numId w:val="1"/>
        </w:numPr>
        <w:spacing w:lineRule="exact" w:line="276" w:before="0" w:after="60"/>
        <w:jc w:val="left"/>
        <w:rPr/>
      </w:pPr>
      <w:r>
        <w:rPr>
          <w:rFonts w:eastAsia="Arial" w:cs="Arial"/>
          <w:sz w:val="22"/>
          <w:szCs w:val="22"/>
        </w:rPr>
        <w:t>DSSV – Pressemitteilung „Eckdaten der deutschen Fitness-Wirtschaft 2020“ (PDF) – https://www.dssv.de/wp-content/uploads/2021/08/Pressemitteilung_Eckdaten2020.pdf (11.03.2020)</w:t>
      </w:r>
    </w:p>
    <w:p>
      <w:pPr>
        <w:pStyle w:val="ListParagraph"/>
        <w:numPr>
          <w:ilvl w:val="0"/>
          <w:numId w:val="1"/>
        </w:numPr>
        <w:spacing w:lineRule="exact" w:line="276" w:before="0" w:after="60"/>
        <w:jc w:val="left"/>
        <w:rPr/>
      </w:pPr>
      <w:r>
        <w:rPr>
          <w:rFonts w:eastAsia="Arial" w:cs="Arial"/>
          <w:sz w:val="22"/>
          <w:szCs w:val="22"/>
        </w:rPr>
        <w:t>DSSV – Pressemitteilung „Eckdaten der deutschen Fitnesswirtschaft 2025“ (Online-Vertragsabschlüsse 24,0 %, BGM-Angebot 43,3 %) – https://www.dssv.de/wp-content/uploads/2025/03/pm_eckdaten_2025.pdf (26.03.2025)</w:t>
      </w:r>
    </w:p>
    <w:p>
      <w:pPr>
        <w:pStyle w:val="ListParagraph"/>
        <w:numPr>
          <w:ilvl w:val="0"/>
          <w:numId w:val="1"/>
        </w:numPr>
        <w:spacing w:lineRule="exact" w:line="276" w:before="0" w:after="60"/>
        <w:jc w:val="left"/>
        <w:rPr/>
      </w:pPr>
      <w:r>
        <w:rPr>
          <w:rFonts w:eastAsia="Arial" w:cs="Arial"/>
          <w:sz w:val="22"/>
          <w:szCs w:val="22"/>
        </w:rPr>
        <w:t>DSSV – Pressemitteilung „Eckdaten der deutschen Fitnesswirtschaft 2025“ (PDF) – https://www.dssv.de/wp-content/uploads/2025/03/pm_eckdaten_2025.pdf (26.03.2025)</w:t>
      </w:r>
    </w:p>
    <w:p>
      <w:pPr>
        <w:pStyle w:val="ListParagraph"/>
        <w:numPr>
          <w:ilvl w:val="0"/>
          <w:numId w:val="1"/>
        </w:numPr>
        <w:spacing w:lineRule="exact" w:line="276" w:before="0" w:after="60"/>
        <w:jc w:val="left"/>
        <w:rPr/>
      </w:pPr>
      <w:r>
        <w:rPr>
          <w:rFonts w:eastAsia="Arial" w:cs="Arial"/>
          <w:sz w:val="22"/>
          <w:szCs w:val="22"/>
        </w:rPr>
        <w:t>DSSV – Überblick der Kostenrichtwerte (Betriebskosten, Energie, Raumkosten) – https://www.dssv.de/kostenrichtwerte/ (2026)</w:t>
      </w:r>
    </w:p>
    <w:p>
      <w:pPr>
        <w:pStyle w:val="ListParagraph"/>
        <w:numPr>
          <w:ilvl w:val="0"/>
          <w:numId w:val="1"/>
        </w:numPr>
        <w:spacing w:lineRule="exact" w:line="276" w:before="0" w:after="60"/>
        <w:jc w:val="left"/>
        <w:rPr/>
      </w:pPr>
      <w:r>
        <w:rPr>
          <w:rFonts w:eastAsia="Arial" w:cs="Arial"/>
          <w:sz w:val="22"/>
          <w:szCs w:val="22"/>
        </w:rPr>
        <w:t>DSSV / W.I.F.F. – Leitfaden Kostenmanagement (04/2022) – https://www.dssv.de/wp-content/uploads/2022/05/DSSV_Leitfaden_kostenmanagement_202204.pdf</w:t>
      </w:r>
    </w:p>
    <w:p>
      <w:pPr>
        <w:pStyle w:val="ListParagraph"/>
        <w:numPr>
          <w:ilvl w:val="0"/>
          <w:numId w:val="1"/>
        </w:numPr>
        <w:spacing w:lineRule="exact" w:line="276" w:before="0" w:after="60"/>
        <w:jc w:val="left"/>
        <w:rPr/>
      </w:pPr>
      <w:r>
        <w:rPr>
          <w:rFonts w:eastAsia="Arial" w:cs="Arial"/>
          <w:sz w:val="22"/>
          <w:szCs w:val="22"/>
        </w:rPr>
        <w:t>DSSV / W.I.F.F. – Leitfaden Kostenmanagement (04/2022); DSSV – Überblick der Kostenrichtwerte – https://www.dssv.de/kostenrichtwerte/</w:t>
      </w:r>
    </w:p>
    <w:p>
      <w:pPr>
        <w:pStyle w:val="ListParagraph"/>
        <w:numPr>
          <w:ilvl w:val="0"/>
          <w:numId w:val="1"/>
        </w:numPr>
        <w:spacing w:lineRule="exact" w:line="276" w:before="0" w:after="60"/>
        <w:jc w:val="left"/>
        <w:rPr/>
      </w:pPr>
      <w:r>
        <w:rPr>
          <w:rFonts w:eastAsia="Arial" w:cs="Arial"/>
          <w:sz w:val="22"/>
          <w:szCs w:val="22"/>
        </w:rPr>
        <w:t>DSSV e. V. / W.I.F.F. – Leitfaden Kostenmanagement – https://www.dssv.de/wp-content/uploads/2022/05/DSSV_Leitfaden_kostenmanagement_202204.pdf (04/2022)</w:t>
      </w:r>
    </w:p>
    <w:p>
      <w:pPr>
        <w:pStyle w:val="ListParagraph"/>
        <w:numPr>
          <w:ilvl w:val="0"/>
          <w:numId w:val="1"/>
        </w:numPr>
        <w:spacing w:lineRule="exact" w:line="276" w:before="0" w:after="60"/>
        <w:jc w:val="left"/>
        <w:rPr/>
      </w:pPr>
      <w:r>
        <w:rPr>
          <w:rFonts w:eastAsia="Arial" w:cs="Arial"/>
          <w:sz w:val="22"/>
          <w:szCs w:val="22"/>
        </w:rPr>
        <w:t>DSSV e. V. / W.I.F.F. – Leitfaden Kostenmanagement (04/2022) – https://www.dssv.de/wp-content/uploads/2022/05/DSSV_Leitfaden_kostenmanagement_202204.pdf (Kostenrichtwerte Personal, Raum, Kapitaldienst, Werbung, Betriebskosten, GEMA, Versicherung, Steuerberater, Wareneinsatz)</w:t>
      </w:r>
    </w:p>
    <w:p>
      <w:pPr>
        <w:pStyle w:val="ListParagraph"/>
        <w:numPr>
          <w:ilvl w:val="0"/>
          <w:numId w:val="1"/>
        </w:numPr>
        <w:spacing w:lineRule="exact" w:line="276" w:before="0" w:after="60"/>
        <w:jc w:val="left"/>
        <w:rPr/>
      </w:pPr>
      <w:r>
        <w:rPr>
          <w:rFonts w:eastAsia="Arial" w:cs="Arial"/>
          <w:sz w:val="22"/>
          <w:szCs w:val="22"/>
        </w:rPr>
        <w:t>DSSV e. V. / W.I.F.F. – Leitfaden Kostenmanagement (Richtwerte Betriebskosten, Strom) – https://www.dssv.de/wp-content/uploads/2022/05/DSSV_Leitfaden_kostenmanagement_202204.pdf (04/2022)</w:t>
      </w:r>
    </w:p>
    <w:p>
      <w:pPr>
        <w:pStyle w:val="ListParagraph"/>
        <w:numPr>
          <w:ilvl w:val="0"/>
          <w:numId w:val="1"/>
        </w:numPr>
        <w:spacing w:lineRule="exact" w:line="276" w:before="0" w:after="60"/>
        <w:jc w:val="left"/>
        <w:rPr/>
      </w:pPr>
      <w:r>
        <w:rPr>
          <w:rFonts w:eastAsia="Arial" w:cs="Arial"/>
          <w:sz w:val="22"/>
          <w:szCs w:val="22"/>
        </w:rPr>
        <w:t>DSSV e.V. / W.I.F.F. GmbH – Leitfaden Kostenmanagement (Personal 32/38 %, Reinigung 2,00–3,00 €/m², Versicherung 250–280 €, Steuerberater 1,2–1,5 %, Telefon 100 €) – https://www.dssv.de/wp-content/uploads/2022/05/DSSV_Leitfaden_kostenmanagement_202204.pdf (04/2022)</w:t>
      </w:r>
    </w:p>
    <w:p>
      <w:pPr>
        <w:pStyle w:val="ListParagraph"/>
        <w:numPr>
          <w:ilvl w:val="0"/>
          <w:numId w:val="1"/>
        </w:numPr>
        <w:spacing w:lineRule="exact" w:line="276" w:before="0" w:after="60"/>
        <w:jc w:val="left"/>
        <w:rPr/>
      </w:pPr>
      <w:r>
        <w:rPr>
          <w:rFonts w:eastAsia="Arial" w:cs="Arial"/>
          <w:sz w:val="22"/>
          <w:szCs w:val="22"/>
        </w:rPr>
        <w:t>DSSV e.V. / W.I.F.F. GmbH – Leitfaden Kostenmanagement (Werbung 4 / 5 % vom Nettoumsatz) – https://www.dssv.de/wp-content/uploads/2022/05/DSSV_Leitfaden_kostenmanagement_202204.pdf (04/2022)</w:t>
      </w:r>
    </w:p>
    <w:p>
      <w:pPr>
        <w:pStyle w:val="ListParagraph"/>
        <w:numPr>
          <w:ilvl w:val="0"/>
          <w:numId w:val="1"/>
        </w:numPr>
        <w:spacing w:lineRule="exact" w:line="276" w:before="0" w:after="60"/>
        <w:jc w:val="left"/>
        <w:rPr/>
      </w:pPr>
      <w:r>
        <w:rPr>
          <w:rFonts w:eastAsia="Arial" w:cs="Arial"/>
          <w:sz w:val="22"/>
          <w:szCs w:val="22"/>
        </w:rPr>
        <w:t>DSSV/Deloitte/DHfPG – Eckdaten der deutschen Fitnesswirtschaft 2026 (167.100 Beschäftigte, 9.647 Anlagen) – https://www.dssv.de/wp-content/uploads/2026/03/03_18_pm_eckdaten.pdf (18.03.2026); hashtag-fitness – Eckdaten 2026 (17,3 Beschäftigte je Anlage, rechnerisch) – https://hashtag-fitness.com/eckdaten-der-deutschen-fitnesswirtschaft-2026-794 (19.03.2026)</w:t>
      </w:r>
    </w:p>
    <w:p>
      <w:pPr>
        <w:pStyle w:val="ListParagraph"/>
        <w:numPr>
          <w:ilvl w:val="0"/>
          <w:numId w:val="1"/>
        </w:numPr>
        <w:spacing w:lineRule="exact" w:line="276" w:before="0" w:after="60"/>
        <w:jc w:val="left"/>
        <w:rPr/>
      </w:pPr>
      <w:r>
        <w:rPr>
          <w:rFonts w:eastAsia="Arial" w:cs="Arial"/>
          <w:sz w:val="22"/>
          <w:szCs w:val="22"/>
        </w:rPr>
        <w:t>DSSV/Deloitte/DHfPG – Eckdaten der deutschen Fitnesswirtschaft 2026, PM 18.03.2026 – https://www.dssv.de/ (Mitglieder, Umsatz, Anlagen, Beiträge; rechnerisch Umsatz je Mitglied und je Anlage, Rechercheprotokoll (Anhang I))</w:t>
      </w:r>
    </w:p>
    <w:p>
      <w:pPr>
        <w:pStyle w:val="ListParagraph"/>
        <w:numPr>
          <w:ilvl w:val="0"/>
          <w:numId w:val="1"/>
        </w:numPr>
        <w:spacing w:lineRule="exact" w:line="276" w:before="0" w:after="60"/>
        <w:jc w:val="left"/>
        <w:rPr/>
      </w:pPr>
      <w:r>
        <w:rPr>
          <w:rFonts w:eastAsia="Arial" w:cs="Arial"/>
          <w:sz w:val="22"/>
          <w:szCs w:val="22"/>
        </w:rPr>
        <w:t>DSSV/Deloitte/DHfPG – Eckdaten der deutschen Fitnesswirtschaft 2026, PM 18.03.2026 – https://www.dssv.de/wp-content/uploads/2026/03/03_18_pm_eckdaten.pdf</w:t>
      </w:r>
    </w:p>
    <w:p>
      <w:pPr>
        <w:pStyle w:val="ListParagraph"/>
        <w:numPr>
          <w:ilvl w:val="0"/>
          <w:numId w:val="1"/>
        </w:numPr>
        <w:spacing w:lineRule="exact" w:line="276" w:before="0" w:after="60"/>
        <w:jc w:val="left"/>
        <w:rPr/>
      </w:pPr>
      <w:r>
        <w:rPr>
          <w:rFonts w:eastAsia="Arial" w:cs="Arial"/>
          <w:sz w:val="22"/>
          <w:szCs w:val="22"/>
        </w:rPr>
        <w:t>DSSV/Deloitte/DHfPG – Eckdaten der deutschen Fitnesswirtschaft 2026, PM 18.03.2026 – https://www.dssv.de/wp-content/uploads/2026/03/03_18_pm_eckdaten.pdf; DSSV – Eckdaten 2026 Segmentzahlen – https://www.dssv.de/eckdaten-2026/</w:t>
      </w:r>
    </w:p>
    <w:p>
      <w:pPr>
        <w:pStyle w:val="ListParagraph"/>
        <w:numPr>
          <w:ilvl w:val="0"/>
          <w:numId w:val="1"/>
        </w:numPr>
        <w:spacing w:lineRule="exact" w:line="276" w:before="0" w:after="60"/>
        <w:jc w:val="left"/>
        <w:rPr/>
      </w:pPr>
      <w:r>
        <w:rPr>
          <w:rFonts w:eastAsia="Arial" w:cs="Arial"/>
          <w:sz w:val="22"/>
          <w:szCs w:val="22"/>
        </w:rPr>
        <w:t>DSSV/Deloitte/DHfPG – Eckdaten der deutschen Fitnesswirtschaft 2026, PM 18.03.2026 (Weiterbildung 95,3 %); DSSV – Eckdaten 2025, PM 26.03.2025 (Online-Abschlüsse 24 %)</w:t>
      </w:r>
    </w:p>
    <w:p>
      <w:pPr>
        <w:pStyle w:val="ListParagraph"/>
        <w:numPr>
          <w:ilvl w:val="0"/>
          <w:numId w:val="1"/>
        </w:numPr>
        <w:spacing w:lineRule="exact" w:line="276" w:before="0" w:after="60"/>
        <w:jc w:val="left"/>
        <w:rPr/>
      </w:pPr>
      <w:r>
        <w:rPr>
          <w:rFonts w:eastAsia="Arial" w:cs="Arial"/>
          <w:sz w:val="22"/>
          <w:szCs w:val="22"/>
        </w:rPr>
        <w:t>DSSV/Deloitte/DHfPG – Pressemitteilung „Eckdaten der deutschen Fitnesswirtschaft 2026“ (Daten per 31.12.2025) – https://www.dssv.de/wp-content/uploads/2026/03/03_18_pm_eckdaten.pdf (18.03.2026)</w:t>
      </w:r>
    </w:p>
    <w:p>
      <w:pPr>
        <w:pStyle w:val="ListParagraph"/>
        <w:numPr>
          <w:ilvl w:val="0"/>
          <w:numId w:val="1"/>
        </w:numPr>
        <w:spacing w:lineRule="exact" w:line="276" w:before="0" w:after="60"/>
        <w:jc w:val="left"/>
        <w:rPr/>
      </w:pPr>
      <w:r>
        <w:rPr>
          <w:rFonts w:eastAsia="Arial" w:cs="Arial"/>
          <w:sz w:val="22"/>
          <w:szCs w:val="22"/>
        </w:rPr>
        <w:t>DSSV/Deloitte/DHfPG – Pressemitteilung „Eckdaten der deutschen Fitnesswirtschaft 2026“ (PDF) – https://www.dssv.de/wp-content/uploads/2026/03/03_18_pm_eckdaten.pdf (18.03.2026)</w:t>
      </w:r>
    </w:p>
    <w:p>
      <w:pPr>
        <w:pStyle w:val="ListParagraph"/>
        <w:numPr>
          <w:ilvl w:val="0"/>
          <w:numId w:val="1"/>
        </w:numPr>
        <w:spacing w:lineRule="exact" w:line="276" w:before="0" w:after="60"/>
        <w:jc w:val="left"/>
        <w:rPr/>
      </w:pPr>
      <w:r>
        <w:rPr>
          <w:rFonts w:eastAsia="Arial" w:cs="Arial"/>
          <w:sz w:val="22"/>
          <w:szCs w:val="22"/>
        </w:rPr>
        <w:t>E&amp;G Immobilien – Industrie- und Logistikmarkt 2025 Region Stuttgart (PDF) – https://www.eug-immobilien.de/assets/main/Berichte/INDUSTRIE-UND-LOGISTIKMARKT-STUTTGART/eug-marktbericht-industrielogistik-2025.pdf (2025)</w:t>
      </w:r>
    </w:p>
    <w:p>
      <w:pPr>
        <w:pStyle w:val="ListParagraph"/>
        <w:numPr>
          <w:ilvl w:val="0"/>
          <w:numId w:val="1"/>
        </w:numPr>
        <w:spacing w:lineRule="exact" w:line="276" w:before="0" w:after="60"/>
        <w:jc w:val="left"/>
        <w:rPr/>
      </w:pPr>
      <w:r>
        <w:rPr>
          <w:rFonts w:eastAsia="Arial" w:cs="Arial"/>
          <w:sz w:val="22"/>
          <w:szCs w:val="22"/>
        </w:rPr>
        <w:t>ems-training.de – Der EMS-Markt in Deutschland (DSSV-Eckdaten 2019–2026) – https://www.ems-training.de/magazin/business-und-karriere/ems-markt-deutschland (29.07.2026)</w:t>
      </w:r>
    </w:p>
    <w:p>
      <w:pPr>
        <w:pStyle w:val="ListParagraph"/>
        <w:numPr>
          <w:ilvl w:val="0"/>
          <w:numId w:val="1"/>
        </w:numPr>
        <w:spacing w:lineRule="exact" w:line="276" w:before="0" w:after="60"/>
        <w:jc w:val="left"/>
        <w:rPr/>
      </w:pPr>
      <w:r>
        <w:rPr>
          <w:rFonts w:eastAsia="Arial" w:cs="Arial"/>
          <w:sz w:val="22"/>
          <w:szCs w:val="22"/>
        </w:rPr>
        <w:t>endurance.biz – HYROX expands global calendar for 2026/27 – https://endurance.biz/2026/industry-news/targeting-2-million-athletes-hyrox-expands-global-calendar-for-2026-27-season/ (20.07.2026)</w:t>
      </w:r>
    </w:p>
    <w:p>
      <w:pPr>
        <w:pStyle w:val="ListParagraph"/>
        <w:numPr>
          <w:ilvl w:val="0"/>
          <w:numId w:val="1"/>
        </w:numPr>
        <w:spacing w:lineRule="exact" w:line="276" w:before="0" w:after="60"/>
        <w:jc w:val="left"/>
        <w:rPr/>
      </w:pPr>
      <w:r>
        <w:rPr>
          <w:rFonts w:eastAsia="Arial" w:cs="Arial"/>
          <w:sz w:val="22"/>
          <w:szCs w:val="22"/>
        </w:rPr>
        <w:t>endurance.biz – Targeting 2 million athletes: HYROX expands global calendar for 2026/27 season – https://endurance.biz/2026/industry-news/targeting-2-million-athletes-hyrox-expands-global-calendar-for-2026-27-season/ (20.07.2026)</w:t>
      </w:r>
    </w:p>
    <w:p>
      <w:pPr>
        <w:pStyle w:val="ListParagraph"/>
        <w:numPr>
          <w:ilvl w:val="0"/>
          <w:numId w:val="1"/>
        </w:numPr>
        <w:spacing w:lineRule="exact" w:line="276" w:before="0" w:after="60"/>
        <w:jc w:val="left"/>
        <w:rPr/>
      </w:pPr>
      <w:r>
        <w:rPr>
          <w:rFonts w:eastAsia="Arial" w:cs="Arial"/>
          <w:sz w:val="22"/>
          <w:szCs w:val="22"/>
        </w:rPr>
        <w:t>Excel-Planrechnung Finanzplan_No1.xlsx – Finanzmodell No.1, Stand 27.09.2026 (Annahmen, Investition, Finanzierung, Szenarien, Sensitivitäten; Excel-Datei mit Formeln, Blatt „Annahmen“)</w:t>
      </w:r>
    </w:p>
    <w:p>
      <w:pPr>
        <w:pStyle w:val="ListParagraph"/>
        <w:numPr>
          <w:ilvl w:val="0"/>
          <w:numId w:val="1"/>
        </w:numPr>
        <w:spacing w:lineRule="exact" w:line="276" w:before="0" w:after="60"/>
        <w:jc w:val="left"/>
        <w:rPr/>
      </w:pPr>
      <w:r>
        <w:rPr>
          <w:rFonts w:eastAsia="Arial" w:cs="Arial"/>
          <w:sz w:val="22"/>
          <w:szCs w:val="22"/>
        </w:rPr>
        <w:t>EY – Sports Engagement Index Germany 2025 – https://www.ey.com/de_de/newsroom/2025/09/ey-parthenon-sports-engagement-index-2025 (15.09.2025)</w:t>
      </w:r>
    </w:p>
    <w:p>
      <w:pPr>
        <w:pStyle w:val="ListParagraph"/>
        <w:numPr>
          <w:ilvl w:val="0"/>
          <w:numId w:val="1"/>
        </w:numPr>
        <w:spacing w:lineRule="exact" w:line="276" w:before="0" w:after="60"/>
        <w:jc w:val="left"/>
        <w:rPr/>
      </w:pPr>
      <w:r>
        <w:rPr>
          <w:rFonts w:eastAsia="Arial" w:cs="Arial"/>
          <w:sz w:val="22"/>
          <w:szCs w:val="22"/>
        </w:rPr>
        <w:t>fair-for-fitness – Preise 2026 McFIT, FitX, clever fit, Fitness First – https://fair-for-fitness.de/ (27.09.2026)</w:t>
      </w:r>
    </w:p>
    <w:p>
      <w:pPr>
        <w:pStyle w:val="ListParagraph"/>
        <w:numPr>
          <w:ilvl w:val="0"/>
          <w:numId w:val="1"/>
        </w:numPr>
        <w:spacing w:lineRule="exact" w:line="276" w:before="0" w:after="60"/>
        <w:jc w:val="left"/>
        <w:rPr/>
      </w:pPr>
      <w:r>
        <w:rPr>
          <w:rFonts w:eastAsia="Arial" w:cs="Arial"/>
          <w:sz w:val="22"/>
          <w:szCs w:val="22"/>
        </w:rPr>
        <w:t>fair-for-fitness.de – Preise 2026 McFIT, clever fit, FitX, Fitness First, EasyFitness – https://fair-for-fitness.de/ (27.09.2026)</w:t>
      </w:r>
    </w:p>
    <w:p>
      <w:pPr>
        <w:pStyle w:val="ListParagraph"/>
        <w:numPr>
          <w:ilvl w:val="0"/>
          <w:numId w:val="1"/>
        </w:numPr>
        <w:spacing w:lineRule="exact" w:line="276" w:before="0" w:after="60"/>
        <w:jc w:val="left"/>
        <w:rPr/>
      </w:pPr>
      <w:r>
        <w:rPr>
          <w:rFonts w:eastAsia="Arial" w:cs="Arial"/>
          <w:sz w:val="22"/>
          <w:szCs w:val="22"/>
        </w:rPr>
        <w:t>fair-for-fitness.de – Preise 2026 McFIT, FitX, clever fit – https://fair-for-fitness.de/kette/mcfit (27.09.2026)</w:t>
      </w:r>
    </w:p>
    <w:p>
      <w:pPr>
        <w:pStyle w:val="ListParagraph"/>
        <w:numPr>
          <w:ilvl w:val="0"/>
          <w:numId w:val="1"/>
        </w:numPr>
        <w:spacing w:lineRule="exact" w:line="276" w:before="0" w:after="60"/>
        <w:jc w:val="left"/>
        <w:rPr/>
      </w:pPr>
      <w:r>
        <w:rPr>
          <w:rFonts w:eastAsia="Arial" w:cs="Arial"/>
          <w:sz w:val="22"/>
          <w:szCs w:val="22"/>
        </w:rPr>
        <w:t>Finanzierungsrecherche (Rechercheprotokoll, Anhang I; 27.09.2026): KfW Merkblatt 077 (StartGeld 067 geprüft, wegen der 200.000-€-Grenze nicht angesetzt), L-Bank Konditionenübersicht 24.09.2026 (Zinsbindung), Bürgschaftsbank BW, Bundesbank Zinsstatistik 02.09.2026</w:t>
      </w:r>
    </w:p>
    <w:p>
      <w:pPr>
        <w:pStyle w:val="ListParagraph"/>
        <w:numPr>
          <w:ilvl w:val="0"/>
          <w:numId w:val="1"/>
        </w:numPr>
        <w:spacing w:lineRule="exact" w:line="276" w:before="0" w:after="60"/>
        <w:jc w:val="left"/>
        <w:rPr/>
      </w:pPr>
      <w:r>
        <w:rPr>
          <w:rFonts w:eastAsia="Arial" w:cs="Arial"/>
          <w:sz w:val="22"/>
          <w:szCs w:val="22"/>
        </w:rPr>
        <w:t>Finanzplan_No1.xlsx – Excel-Planrechnung mit allen Annahmen (Blatt „Annahmen“), Investition, Finanzierung, Liquidität, GuV, Szenarien (Stand 27.09.2026)</w:t>
      </w:r>
    </w:p>
    <w:p>
      <w:pPr>
        <w:pStyle w:val="ListParagraph"/>
        <w:numPr>
          <w:ilvl w:val="0"/>
          <w:numId w:val="1"/>
        </w:numPr>
        <w:spacing w:lineRule="exact" w:line="276" w:before="0" w:after="60"/>
        <w:jc w:val="left"/>
        <w:rPr/>
      </w:pPr>
      <w:r>
        <w:rPr>
          <w:rFonts w:eastAsia="Arial" w:cs="Arial"/>
          <w:sz w:val="22"/>
          <w:szCs w:val="22"/>
        </w:rPr>
        <w:t>Fitness Bunker Konstanz – HYROX – https://fitnessbunker.de/hyrox/; urban health club Ludwigsburg – https://urbanhealth-club.com/hyrox-ludwigsburg/ (27.09.2026)</w:t>
      </w:r>
    </w:p>
    <w:p>
      <w:pPr>
        <w:pStyle w:val="ListParagraph"/>
        <w:numPr>
          <w:ilvl w:val="0"/>
          <w:numId w:val="1"/>
        </w:numPr>
        <w:spacing w:lineRule="exact" w:line="276" w:before="0" w:after="60"/>
        <w:jc w:val="left"/>
        <w:rPr/>
      </w:pPr>
      <w:r>
        <w:rPr>
          <w:rFonts w:eastAsia="Arial" w:cs="Arial"/>
          <w:sz w:val="22"/>
          <w:szCs w:val="22"/>
        </w:rPr>
        <w:t>Fitness First Ravensburg – Club-Seite (Aktion 8 Wochen gratis bei 24 Monaten) – https://www.fitnessfirst.de/clubs/ravensburg (abgerufen 27.09.2026)</w:t>
      </w:r>
    </w:p>
    <w:p>
      <w:pPr>
        <w:pStyle w:val="ListParagraph"/>
        <w:numPr>
          <w:ilvl w:val="0"/>
          <w:numId w:val="1"/>
        </w:numPr>
        <w:spacing w:lineRule="exact" w:line="276" w:before="0" w:after="60"/>
        <w:jc w:val="left"/>
        <w:rPr/>
      </w:pPr>
      <w:r>
        <w:rPr>
          <w:rFonts w:eastAsia="Arial" w:cs="Arial"/>
          <w:sz w:val="22"/>
          <w:szCs w:val="22"/>
        </w:rPr>
        <w:t>fitness MANAGEMENT – 30 Jahre Eckdaten-Studie (Strukturwandel), fMi 02/2019 – https://www.fitnessmanagement.de/strukturwandel-der-branche/ (19.03.2019)</w:t>
      </w:r>
    </w:p>
    <w:p>
      <w:pPr>
        <w:pStyle w:val="ListParagraph"/>
        <w:numPr>
          <w:ilvl w:val="0"/>
          <w:numId w:val="1"/>
        </w:numPr>
        <w:spacing w:lineRule="exact" w:line="276" w:before="0" w:after="60"/>
        <w:jc w:val="left"/>
        <w:rPr/>
      </w:pPr>
      <w:r>
        <w:rPr>
          <w:rFonts w:eastAsia="Arial" w:cs="Arial"/>
          <w:sz w:val="22"/>
          <w:szCs w:val="22"/>
        </w:rPr>
        <w:t>fitness MANAGEMENT – 30 Jahre Eckdaten-Studie: Strukturwandel (Ø 1.166 m², 1.187 Mitglieder, Nebenumsatz 9,2 %) – https://www.fitnessmanagement.de/strukturwandel-der-branche/ (19.03.2019)</w:t>
      </w:r>
    </w:p>
    <w:p>
      <w:pPr>
        <w:pStyle w:val="ListParagraph"/>
        <w:numPr>
          <w:ilvl w:val="0"/>
          <w:numId w:val="1"/>
        </w:numPr>
        <w:spacing w:lineRule="exact" w:line="276" w:before="0" w:after="60"/>
        <w:jc w:val="left"/>
        <w:rPr/>
      </w:pPr>
      <w:r>
        <w:rPr>
          <w:rFonts w:eastAsia="Arial" w:cs="Arial"/>
          <w:sz w:val="22"/>
          <w:szCs w:val="22"/>
        </w:rPr>
        <w:t>fitness MANAGEMENT – 30 Jahre Eckdaten-Studie: Strukturwandel der Branche (Ø Anlage 1.166 m², 1.187 Mitglieder je Anlage, Daten 2018) – https://www.fitnessmanagement.de/strukturwandel-der-branche/ (19.03.2019)</w:t>
      </w:r>
    </w:p>
    <w:p>
      <w:pPr>
        <w:pStyle w:val="ListParagraph"/>
        <w:numPr>
          <w:ilvl w:val="0"/>
          <w:numId w:val="1"/>
        </w:numPr>
        <w:spacing w:lineRule="exact" w:line="276" w:before="0" w:after="60"/>
        <w:jc w:val="left"/>
        <w:rPr/>
      </w:pPr>
      <w:r>
        <w:rPr>
          <w:rFonts w:eastAsia="Arial" w:cs="Arial"/>
          <w:sz w:val="22"/>
          <w:szCs w:val="22"/>
        </w:rPr>
        <w:t>fitness MANAGEMENT – 5 Profi-Tipps Marketing (Zusatzumsatz Wellness bis 10 %) – fMi 05/2020; BODYMEDIA – Wellness-Zusatzumsatz 324.000 € (28.09.2020)</w:t>
      </w:r>
    </w:p>
    <w:p>
      <w:pPr>
        <w:pStyle w:val="ListParagraph"/>
        <w:numPr>
          <w:ilvl w:val="0"/>
          <w:numId w:val="1"/>
        </w:numPr>
        <w:spacing w:lineRule="exact" w:line="276" w:before="0" w:after="60"/>
        <w:jc w:val="left"/>
        <w:rPr/>
      </w:pPr>
      <w:r>
        <w:rPr>
          <w:rFonts w:eastAsia="Arial" w:cs="Arial"/>
          <w:sz w:val="22"/>
          <w:szCs w:val="22"/>
        </w:rPr>
        <w:t>fitness MANAGEMENT – 5 Profi-Tipps Marketing (Zusatzumsatz Wellness bis 10 %) – https://www.fitnessmanagement.de/best-practice-marketing-vertrieb-verkauf-kundenbindung-fitnessstudio/ (05/2020)</w:t>
      </w:r>
    </w:p>
    <w:p>
      <w:pPr>
        <w:pStyle w:val="ListParagraph"/>
        <w:numPr>
          <w:ilvl w:val="0"/>
          <w:numId w:val="1"/>
        </w:numPr>
        <w:spacing w:lineRule="exact" w:line="276" w:before="0" w:after="60"/>
        <w:jc w:val="left"/>
        <w:rPr/>
      </w:pPr>
      <w:r>
        <w:rPr>
          <w:rFonts w:eastAsia="Arial" w:cs="Arial"/>
          <w:sz w:val="22"/>
          <w:szCs w:val="22"/>
        </w:rPr>
        <w:t>fitness MANAGEMENT – Challenge accepted: HYROX treibt Wachstum im Studiomarkt (fMi 01/2026) – https://www.fitnessmanagement.de/challenge-accepted-hyrox-fitnessstudio/ (01/2026)</w:t>
      </w:r>
    </w:p>
    <w:p>
      <w:pPr>
        <w:pStyle w:val="ListParagraph"/>
        <w:numPr>
          <w:ilvl w:val="0"/>
          <w:numId w:val="1"/>
        </w:numPr>
        <w:spacing w:lineRule="exact" w:line="276" w:before="0" w:after="60"/>
        <w:jc w:val="left"/>
        <w:rPr/>
      </w:pPr>
      <w:r>
        <w:rPr>
          <w:rFonts w:eastAsia="Arial" w:cs="Arial"/>
          <w:sz w:val="22"/>
          <w:szCs w:val="22"/>
        </w:rPr>
        <w:t>fitness MANAGEMENT – Eckdaten 2023: wieder über 10 Mio. Mitglieder – https://www.fitnessmanagement.de/eckdaten-deutsche-fitnesswirtschaft-2023-wachstum-dssv-deloitte-dhfpg/ (22.03.2023)</w:t>
      </w:r>
    </w:p>
    <w:p>
      <w:pPr>
        <w:pStyle w:val="ListParagraph"/>
        <w:numPr>
          <w:ilvl w:val="0"/>
          <w:numId w:val="1"/>
        </w:numPr>
        <w:spacing w:lineRule="exact" w:line="276" w:before="0" w:after="60"/>
        <w:jc w:val="left"/>
        <w:rPr/>
      </w:pPr>
      <w:r>
        <w:rPr>
          <w:rFonts w:eastAsia="Arial" w:cs="Arial"/>
          <w:sz w:val="22"/>
          <w:szCs w:val="22"/>
        </w:rPr>
        <w:t>fitness MANAGEMENT – GEMA: Kurse auf lizenzierter Studiofläche nicht zusätzlich vergütet – https://www.fitnessmanagement.de/gema-gebuehren/ (22.08.2018)</w:t>
      </w:r>
    </w:p>
    <w:p>
      <w:pPr>
        <w:pStyle w:val="ListParagraph"/>
        <w:numPr>
          <w:ilvl w:val="0"/>
          <w:numId w:val="1"/>
        </w:numPr>
        <w:spacing w:lineRule="exact" w:line="276" w:before="0" w:after="60"/>
        <w:jc w:val="left"/>
        <w:rPr/>
      </w:pPr>
      <w:r>
        <w:rPr>
          <w:rFonts w:eastAsia="Arial" w:cs="Arial"/>
          <w:sz w:val="22"/>
          <w:szCs w:val="22"/>
        </w:rPr>
        <w:t>fitness MANAGEMENT – wellyou Velbert: über 2.000 Mitglieder im Vorverkauf – https://www.fitnessmanagement.de/wellyou-velbert-eroeffnung-calvin-kleinen-markus-sigl/ (12.11.2025)</w:t>
      </w:r>
    </w:p>
    <w:p>
      <w:pPr>
        <w:pStyle w:val="ListParagraph"/>
        <w:numPr>
          <w:ilvl w:val="0"/>
          <w:numId w:val="1"/>
        </w:numPr>
        <w:spacing w:lineRule="exact" w:line="276" w:before="0" w:after="60"/>
        <w:jc w:val="left"/>
        <w:rPr/>
      </w:pPr>
      <w:r>
        <w:rPr>
          <w:rFonts w:eastAsia="Arial" w:cs="Arial"/>
          <w:sz w:val="22"/>
          <w:szCs w:val="22"/>
        </w:rPr>
        <w:t>fitnessmarkt.de – DSSV-Eckdatenstudie 2019 – https://www.fitnessmarkt.de/magazin/artikel/dssv-eckdatenstudie-2019-die-fitnessbranche-waechst-und-waechst- (2019)</w:t>
      </w:r>
    </w:p>
    <w:p>
      <w:pPr>
        <w:pStyle w:val="ListParagraph"/>
        <w:numPr>
          <w:ilvl w:val="0"/>
          <w:numId w:val="1"/>
        </w:numPr>
        <w:spacing w:lineRule="exact" w:line="276" w:before="0" w:after="60"/>
        <w:jc w:val="left"/>
        <w:rPr/>
      </w:pPr>
      <w:r>
        <w:rPr>
          <w:rFonts w:eastAsia="Arial" w:cs="Arial"/>
          <w:sz w:val="22"/>
          <w:szCs w:val="22"/>
        </w:rPr>
        <w:t>FitPro Tools – Magicline Preise 2026 (Basic 189 / Advanced 349 / Pro 449 / Ultimate 699 €/Monat, Startpaket 399 €; Sekundärquelle) – https://fitprotools.de/directory/magicline/ (2026); Magicline – Preise (Module) – https://www.magicline.com/de/preise/ (abgerufen 27.09.2026)</w:t>
      </w:r>
    </w:p>
    <w:p>
      <w:pPr>
        <w:pStyle w:val="ListParagraph"/>
        <w:numPr>
          <w:ilvl w:val="0"/>
          <w:numId w:val="1"/>
        </w:numPr>
        <w:spacing w:lineRule="exact" w:line="276" w:before="0" w:after="60"/>
        <w:jc w:val="left"/>
        <w:rPr/>
      </w:pPr>
      <w:r>
        <w:rPr>
          <w:rFonts w:eastAsia="Arial" w:cs="Arial"/>
          <w:sz w:val="22"/>
          <w:szCs w:val="22"/>
        </w:rPr>
        <w:t>GEHALT.de – Fitnesstrainer/-in Gehalt 2026 (BW 3.081 €) – https://www.gehalt.de/beruf/fitnesstrainer-fitnesstrainerin</w:t>
      </w:r>
    </w:p>
    <w:p>
      <w:pPr>
        <w:pStyle w:val="ListParagraph"/>
        <w:numPr>
          <w:ilvl w:val="0"/>
          <w:numId w:val="1"/>
        </w:numPr>
        <w:spacing w:lineRule="exact" w:line="276" w:before="0" w:after="60"/>
        <w:jc w:val="left"/>
        <w:rPr/>
      </w:pPr>
      <w:r>
        <w:rPr>
          <w:rFonts w:eastAsia="Arial" w:cs="Arial"/>
          <w:sz w:val="22"/>
          <w:szCs w:val="22"/>
        </w:rPr>
        <w:t>GEHALT.de – Fitnesstrainer/-in Gehalt 2026 (Median 2.942 €, BW 3.081 €, Quartile 2.683–3.227 €) – https://www.gehalt.de/beruf/fitnesstrainer-fitnesstrainerin (2026)</w:t>
      </w:r>
    </w:p>
    <w:p>
      <w:pPr>
        <w:pStyle w:val="ListParagraph"/>
        <w:numPr>
          <w:ilvl w:val="0"/>
          <w:numId w:val="1"/>
        </w:numPr>
        <w:spacing w:lineRule="exact" w:line="276" w:before="0" w:after="60"/>
        <w:jc w:val="left"/>
        <w:rPr/>
      </w:pPr>
      <w:r>
        <w:rPr>
          <w:rFonts w:eastAsia="Arial" w:cs="Arial"/>
          <w:sz w:val="22"/>
          <w:szCs w:val="22"/>
        </w:rPr>
        <w:t>GEHALT.de – Studioleiter/-in Gehalt 2026 (Median 5.379 €, unteres Quartil 4.685 €, BW 5.632 €) – https://www.gehalt.de/beruf/studioleiter (2026)</w:t>
      </w:r>
    </w:p>
    <w:p>
      <w:pPr>
        <w:pStyle w:val="ListParagraph"/>
        <w:numPr>
          <w:ilvl w:val="0"/>
          <w:numId w:val="1"/>
        </w:numPr>
        <w:spacing w:lineRule="exact" w:line="276" w:before="0" w:after="60"/>
        <w:jc w:val="left"/>
        <w:rPr/>
      </w:pPr>
      <w:r>
        <w:rPr>
          <w:rFonts w:eastAsia="Arial" w:cs="Arial"/>
          <w:sz w:val="22"/>
          <w:szCs w:val="22"/>
        </w:rPr>
        <w:t>GEHALT.de 2026 – Fitnesstrainer/-in; Studioleiter/-in – https://www.gehalt.de/</w:t>
      </w:r>
    </w:p>
    <w:p>
      <w:pPr>
        <w:pStyle w:val="ListParagraph"/>
        <w:numPr>
          <w:ilvl w:val="0"/>
          <w:numId w:val="1"/>
        </w:numPr>
        <w:spacing w:lineRule="exact" w:line="276" w:before="0" w:after="60"/>
        <w:jc w:val="left"/>
        <w:rPr/>
      </w:pPr>
      <w:r>
        <w:rPr>
          <w:rFonts w:eastAsia="Arial" w:cs="Arial"/>
          <w:sz w:val="22"/>
          <w:szCs w:val="22"/>
        </w:rPr>
        <w:t>GEMA – Tarif M-U (Version 92, gültig ab 01.01.2026): Fitness-/Sportstudios 465,30 € bis 200 m² + 169,20 € je weitere 200 m²; Saunabäder 259,50 € bis 100 m² – https://www.gema.de/documents/20121/1599214/tarif_m_u_version92.pdf (2026)</w:t>
      </w:r>
    </w:p>
    <w:p>
      <w:pPr>
        <w:pStyle w:val="ListParagraph"/>
        <w:numPr>
          <w:ilvl w:val="0"/>
          <w:numId w:val="1"/>
        </w:numPr>
        <w:spacing w:lineRule="exact" w:line="276" w:before="0" w:after="60"/>
        <w:jc w:val="left"/>
        <w:rPr/>
      </w:pPr>
      <w:r>
        <w:rPr>
          <w:rFonts w:eastAsia="Arial" w:cs="Arial"/>
          <w:sz w:val="22"/>
          <w:szCs w:val="22"/>
        </w:rPr>
        <w:t>GEMA – Tarif M-U III 5b Tonträgerwiedergabe in Fitness- und Sportstudios (gültig ab 01.01.2026); WR-KS-F 2026; PureLicence – GEMA-Gebühren 2026 Fitnessstudios (22.07.2026)</w:t>
      </w:r>
    </w:p>
    <w:p>
      <w:pPr>
        <w:pStyle w:val="ListParagraph"/>
        <w:numPr>
          <w:ilvl w:val="0"/>
          <w:numId w:val="1"/>
        </w:numPr>
        <w:spacing w:lineRule="exact" w:line="276" w:before="0" w:after="60"/>
        <w:jc w:val="left"/>
        <w:rPr/>
      </w:pPr>
      <w:r>
        <w:rPr>
          <w:rFonts w:eastAsia="Arial" w:cs="Arial"/>
          <w:sz w:val="22"/>
          <w:szCs w:val="22"/>
        </w:rPr>
        <w:t>GEMA – Tarif M-U Version 92 (gültig ab 01.01.2026) und Tarif WR-KS-F Version 8 (2026) – https://www.gema.de/de/musiknutzer/branchen/fitnessstudio; GEMA-Tarife DOSB-Übersicht April 2025</w:t>
      </w:r>
    </w:p>
    <w:p>
      <w:pPr>
        <w:pStyle w:val="ListParagraph"/>
        <w:numPr>
          <w:ilvl w:val="0"/>
          <w:numId w:val="1"/>
        </w:numPr>
        <w:spacing w:lineRule="exact" w:line="276" w:before="0" w:after="60"/>
        <w:jc w:val="left"/>
        <w:rPr/>
      </w:pPr>
      <w:r>
        <w:rPr>
          <w:rFonts w:eastAsia="Arial" w:cs="Arial"/>
          <w:sz w:val="22"/>
          <w:szCs w:val="22"/>
        </w:rPr>
        <w:t>Gewerbesteuer-Hebesätze Friedrichshafen 350 %, Böblingen 380 %, Stuttgart 430 % – IHK-Hebesatzlisten 2026, stuttgart.de (Rechercheprotokoll (Anhang I))</w:t>
      </w:r>
    </w:p>
    <w:p>
      <w:pPr>
        <w:pStyle w:val="ListParagraph"/>
        <w:numPr>
          <w:ilvl w:val="0"/>
          <w:numId w:val="1"/>
        </w:numPr>
        <w:spacing w:lineRule="exact" w:line="276" w:before="0" w:after="60"/>
        <w:jc w:val="left"/>
        <w:rPr/>
      </w:pPr>
      <w:r>
        <w:rPr>
          <w:rFonts w:eastAsia="Arial" w:cs="Arial"/>
          <w:sz w:val="22"/>
          <w:szCs w:val="22"/>
        </w:rPr>
        <w:t>Gewerbesteuer-Hebesätze: Stadt Friedrichshafen (350 %, Haushalt 2025/2026) – https://www.friedrichshafen.de/buerger-stadt/politik-finanzen/haushalt-finanzen/; Stadt Ravensburg Hebesatzsatzung ab 01.01.2025 (390 %); Landeshauptstadt Stuttgart Doppelhaushalt 2026/2027 (430 %) – https://www.stuttgart.de/doppelhaushalt-2026-2027</w:t>
      </w:r>
    </w:p>
    <w:p>
      <w:pPr>
        <w:pStyle w:val="ListParagraph"/>
        <w:numPr>
          <w:ilvl w:val="0"/>
          <w:numId w:val="1"/>
        </w:numPr>
        <w:spacing w:lineRule="exact" w:line="276" w:before="0" w:after="60"/>
        <w:jc w:val="left"/>
        <w:rPr/>
      </w:pPr>
      <w:r>
        <w:rPr>
          <w:rFonts w:eastAsia="Arial" w:cs="Arial"/>
          <w:sz w:val="22"/>
          <w:szCs w:val="22"/>
        </w:rPr>
        <w:t>Gründerplattform – Businessplan – https://gruenderplattform.de/businessplan</w:t>
      </w:r>
    </w:p>
    <w:p>
      <w:pPr>
        <w:pStyle w:val="ListParagraph"/>
        <w:numPr>
          <w:ilvl w:val="0"/>
          <w:numId w:val="1"/>
        </w:numPr>
        <w:spacing w:lineRule="exact" w:line="276" w:before="0" w:after="60"/>
        <w:jc w:val="left"/>
        <w:rPr/>
      </w:pPr>
      <w:r>
        <w:rPr>
          <w:rFonts w:eastAsia="Arial" w:cs="Arial"/>
          <w:sz w:val="22"/>
          <w:szCs w:val="22"/>
        </w:rPr>
        <w:t>GYM-24 Premium Böblingen-Hulb – https://www.gym-24.de/boeblingen-hulb.html (27.09.2026)</w:t>
      </w:r>
    </w:p>
    <w:p>
      <w:pPr>
        <w:pStyle w:val="ListParagraph"/>
        <w:numPr>
          <w:ilvl w:val="0"/>
          <w:numId w:val="1"/>
        </w:numPr>
        <w:spacing w:lineRule="exact" w:line="276" w:before="0" w:after="60"/>
        <w:jc w:val="left"/>
        <w:rPr/>
      </w:pPr>
      <w:r>
        <w:rPr>
          <w:rFonts w:eastAsia="Arial" w:cs="Arial"/>
          <w:sz w:val="22"/>
          <w:szCs w:val="22"/>
        </w:rPr>
        <w:t>GYM-24 Premium Böblingen-Hulb – Tarife (49,90 € bei 24 Monaten, 64,90 € bei 1 Monat, Aufnahme 39,90 €) – https://www.gym-24.de/boeblingen-hulb.html (abgerufen 27.09.2026)</w:t>
      </w:r>
    </w:p>
    <w:p>
      <w:pPr>
        <w:pStyle w:val="ListParagraph"/>
        <w:numPr>
          <w:ilvl w:val="0"/>
          <w:numId w:val="1"/>
        </w:numPr>
        <w:spacing w:lineRule="exact" w:line="276" w:before="0" w:after="60"/>
        <w:jc w:val="left"/>
        <w:rPr/>
      </w:pPr>
      <w:r>
        <w:rPr>
          <w:rFonts w:eastAsia="Arial" w:cs="Arial"/>
          <w:sz w:val="22"/>
          <w:szCs w:val="22"/>
        </w:rPr>
        <w:t>GymAccess – 24/7 Fitnessstudio Konzept (Hybridmodell, Zutrittssystem-Budget 32.500 €) – https://gymaccess.de/blog/24-7-fitnessstudio-konzept (14.12.2025)</w:t>
      </w:r>
    </w:p>
    <w:p>
      <w:pPr>
        <w:pStyle w:val="ListParagraph"/>
        <w:numPr>
          <w:ilvl w:val="0"/>
          <w:numId w:val="1"/>
        </w:numPr>
        <w:spacing w:lineRule="exact" w:line="276" w:before="0" w:after="60"/>
        <w:jc w:val="left"/>
        <w:rPr/>
      </w:pPr>
      <w:r>
        <w:rPr>
          <w:rFonts w:eastAsia="Arial" w:cs="Arial"/>
          <w:sz w:val="22"/>
          <w:szCs w:val="22"/>
        </w:rPr>
        <w:t>GymAccess – 24/7 Fitnessstudio Konzept: Hybridmodell, Zutrittssystem-Budget 32.500 € – https://gymaccess.de/blog/24-7-fitnessstudio-konzept (14.12.2025)</w:t>
      </w:r>
    </w:p>
    <w:p>
      <w:pPr>
        <w:pStyle w:val="ListParagraph"/>
        <w:numPr>
          <w:ilvl w:val="0"/>
          <w:numId w:val="1"/>
        </w:numPr>
        <w:spacing w:lineRule="exact" w:line="276" w:before="0" w:after="60"/>
        <w:jc w:val="left"/>
        <w:rPr/>
      </w:pPr>
      <w:r>
        <w:rPr>
          <w:rFonts w:eastAsia="Arial" w:cs="Arial"/>
          <w:sz w:val="22"/>
          <w:szCs w:val="22"/>
        </w:rPr>
        <w:t>GymAccess – Fitnessstudio eröffnen: Kosten, Businessplan und Guide – https://gymaccess.de/blog/fitnessstudio-eroeffnen-kosten-guide (2026)</w:t>
      </w:r>
    </w:p>
    <w:p>
      <w:pPr>
        <w:pStyle w:val="ListParagraph"/>
        <w:numPr>
          <w:ilvl w:val="0"/>
          <w:numId w:val="1"/>
        </w:numPr>
        <w:spacing w:lineRule="exact" w:line="276" w:before="0" w:after="60"/>
        <w:jc w:val="left"/>
        <w:rPr/>
      </w:pPr>
      <w:r>
        <w:rPr>
          <w:rFonts w:eastAsia="Arial" w:cs="Arial"/>
          <w:sz w:val="22"/>
          <w:szCs w:val="22"/>
        </w:rPr>
        <w:t>GymAccess – Fitnessstudio eröffnen: Kosten, Businessplan und Guide (2026); Virtuagym – Fitnessstudio eröffnen Kosten 2026 (21.05.2026); ODV Versicherungen – Fitnessstudio-Versicherung (2024)</w:t>
      </w:r>
    </w:p>
    <w:p>
      <w:pPr>
        <w:pStyle w:val="ListParagraph"/>
        <w:numPr>
          <w:ilvl w:val="0"/>
          <w:numId w:val="1"/>
        </w:numPr>
        <w:spacing w:lineRule="exact" w:line="276" w:before="0" w:after="60"/>
        <w:jc w:val="left"/>
        <w:rPr/>
      </w:pPr>
      <w:r>
        <w:rPr>
          <w:rFonts w:eastAsia="Arial" w:cs="Arial"/>
          <w:sz w:val="22"/>
          <w:szCs w:val="22"/>
        </w:rPr>
        <w:t>GymAccess – Fitnessstudio eröffnen: Kosten, Businessplan und Guide (Liquiditätsreserve 6 bis 12 Monate) – https://gymaccess.de/blog/fitnessstudio-eroeffnen-kosten-guide (2026)</w:t>
      </w:r>
    </w:p>
    <w:p>
      <w:pPr>
        <w:pStyle w:val="ListParagraph"/>
        <w:numPr>
          <w:ilvl w:val="0"/>
          <w:numId w:val="1"/>
        </w:numPr>
        <w:spacing w:lineRule="exact" w:line="276" w:before="0" w:after="60"/>
        <w:jc w:val="left"/>
        <w:rPr/>
      </w:pPr>
      <w:r>
        <w:rPr>
          <w:rFonts w:eastAsia="Arial" w:cs="Arial"/>
          <w:sz w:val="22"/>
          <w:szCs w:val="22"/>
        </w:rPr>
        <w:t>GymAccess – Fitnessstudio eröffnen: Kosten, Businessplan und Guide (Versicherung 500–1.500 €, Software 200–800 €/Monat) – https://gymaccess.de/blog/fitnessstudio-eroeffnen-kosten-guide (2026)</w:t>
      </w:r>
    </w:p>
    <w:p>
      <w:pPr>
        <w:pStyle w:val="ListParagraph"/>
        <w:numPr>
          <w:ilvl w:val="0"/>
          <w:numId w:val="1"/>
        </w:numPr>
        <w:spacing w:lineRule="exact" w:line="276" w:before="0" w:after="60"/>
        <w:jc w:val="left"/>
        <w:rPr/>
      </w:pPr>
      <w:r>
        <w:rPr>
          <w:rFonts w:eastAsia="Arial" w:cs="Arial"/>
          <w:sz w:val="22"/>
          <w:szCs w:val="22"/>
        </w:rPr>
        <w:t>GymPlanner – Datenauszug Projekt „No.1 (überarbeitet)“ (Rechercheprotokoll (Anhang I), Export 26.09.2026)</w:t>
      </w:r>
    </w:p>
    <w:p>
      <w:pPr>
        <w:pStyle w:val="ListParagraph"/>
        <w:numPr>
          <w:ilvl w:val="0"/>
          <w:numId w:val="1"/>
        </w:numPr>
        <w:spacing w:lineRule="exact" w:line="276" w:before="0" w:after="60"/>
        <w:jc w:val="left"/>
        <w:rPr/>
      </w:pPr>
      <w:r>
        <w:rPr>
          <w:rFonts w:eastAsia="Arial" w:cs="Arial"/>
          <w:sz w:val="22"/>
          <w:szCs w:val="22"/>
        </w:rPr>
        <w:t>GymPlanner – Datenauszug Projekt „No.1 (überarbeitet)“ (Rechercheprotokoll (Anhang I), Export 26.09.2026): Flächen, Kapazität 126 Personen</w:t>
      </w:r>
    </w:p>
    <w:p>
      <w:pPr>
        <w:pStyle w:val="ListParagraph"/>
        <w:numPr>
          <w:ilvl w:val="0"/>
          <w:numId w:val="1"/>
        </w:numPr>
        <w:spacing w:lineRule="exact" w:line="276" w:before="0" w:after="60"/>
        <w:jc w:val="left"/>
        <w:rPr/>
      </w:pPr>
      <w:r>
        <w:rPr>
          <w:rFonts w:eastAsia="Arial" w:cs="Arial"/>
          <w:sz w:val="22"/>
          <w:szCs w:val="22"/>
        </w:rPr>
        <w:t>GymPlanner – Datenauszug Projekt „No.1 (überarbeitet)“ (Rechercheprotokoll (Anhang I), Export 26.09.2026): Flächen, Kapazität, Regularienprüfung, Notausgänge, Stückliste</w:t>
      </w:r>
    </w:p>
    <w:p>
      <w:pPr>
        <w:pStyle w:val="ListParagraph"/>
        <w:numPr>
          <w:ilvl w:val="0"/>
          <w:numId w:val="1"/>
        </w:numPr>
        <w:spacing w:lineRule="exact" w:line="276" w:before="0" w:after="60"/>
        <w:jc w:val="left"/>
        <w:rPr/>
      </w:pPr>
      <w:r>
        <w:rPr>
          <w:rFonts w:eastAsia="Arial" w:cs="Arial"/>
          <w:sz w:val="22"/>
          <w:szCs w:val="22"/>
        </w:rPr>
        <w:t>GymPlanner – Datenauszug Projekt „No.1 (überarbeitet)“ (Rechercheprotokoll (Anhang I), Export 26.09.2026): Kapazität, Notausgänge, Fluchtwege, Feuerlöscher, AED, Regularien-Prüfung, Ausstattung</w:t>
      </w:r>
    </w:p>
    <w:p>
      <w:pPr>
        <w:pStyle w:val="ListParagraph"/>
        <w:numPr>
          <w:ilvl w:val="0"/>
          <w:numId w:val="1"/>
        </w:numPr>
        <w:spacing w:lineRule="exact" w:line="276" w:before="0" w:after="60"/>
        <w:jc w:val="left"/>
        <w:rPr/>
      </w:pPr>
      <w:r>
        <w:rPr>
          <w:rFonts w:eastAsia="Arial" w:cs="Arial"/>
          <w:sz w:val="22"/>
          <w:szCs w:val="22"/>
        </w:rPr>
        <w:t>GymPlanner – Dokumentation „Fluchtwege und Regularien-Prüfung“ (Rechercheprotokoll (Anhang I)): Regeln und Quellen der Prüfung (ASR, DGUV, MBO, DIN)</w:t>
      </w:r>
    </w:p>
    <w:p>
      <w:pPr>
        <w:pStyle w:val="ListParagraph"/>
        <w:numPr>
          <w:ilvl w:val="0"/>
          <w:numId w:val="1"/>
        </w:numPr>
        <w:spacing w:lineRule="exact" w:line="276" w:before="0" w:after="60"/>
        <w:jc w:val="left"/>
        <w:rPr/>
      </w:pPr>
      <w:r>
        <w:rPr>
          <w:rFonts w:eastAsia="Arial" w:cs="Arial"/>
          <w:sz w:val="22"/>
          <w:szCs w:val="22"/>
        </w:rPr>
        <w:t>GymPlanner – Planungsprojekt „No.1 (überarbeitet)“ mit Stückliste, Kapazitäts- und Regularienprüfung (September 2026)</w:t>
      </w:r>
    </w:p>
    <w:p>
      <w:pPr>
        <w:pStyle w:val="ListParagraph"/>
        <w:numPr>
          <w:ilvl w:val="0"/>
          <w:numId w:val="1"/>
        </w:numPr>
        <w:spacing w:lineRule="exact" w:line="276" w:before="0" w:after="60"/>
        <w:jc w:val="left"/>
        <w:rPr/>
      </w:pPr>
      <w:r>
        <w:rPr>
          <w:rFonts w:eastAsia="Arial" w:cs="Arial"/>
          <w:sz w:val="22"/>
          <w:szCs w:val="22"/>
        </w:rPr>
        <w:t>Happy Fit Premium Konstanz – Öffnungszeiten (Mo–Fr 6–22, Sa/So 9–19 Uhr) – https://happyfitpremium.de/ (abgerufen 27.09.2026)</w:t>
      </w:r>
    </w:p>
    <w:p>
      <w:pPr>
        <w:pStyle w:val="ListParagraph"/>
        <w:numPr>
          <w:ilvl w:val="0"/>
          <w:numId w:val="1"/>
        </w:numPr>
        <w:spacing w:lineRule="exact" w:line="276" w:before="0" w:after="60"/>
        <w:jc w:val="left"/>
        <w:rPr/>
      </w:pPr>
      <w:r>
        <w:rPr>
          <w:rFonts w:eastAsia="Arial" w:cs="Arial"/>
          <w:sz w:val="22"/>
          <w:szCs w:val="22"/>
        </w:rPr>
        <w:t>Happy Fit Premium Konstanz – Preise – https://happyfitpremium.de/preise/ (27.09.2026)</w:t>
      </w:r>
    </w:p>
    <w:p>
      <w:pPr>
        <w:pStyle w:val="ListParagraph"/>
        <w:numPr>
          <w:ilvl w:val="0"/>
          <w:numId w:val="1"/>
        </w:numPr>
        <w:spacing w:lineRule="exact" w:line="276" w:before="0" w:after="60"/>
        <w:jc w:val="left"/>
        <w:rPr/>
      </w:pPr>
      <w:r>
        <w:rPr>
          <w:rFonts w:eastAsia="Arial" w:cs="Arial"/>
          <w:sz w:val="22"/>
          <w:szCs w:val="22"/>
        </w:rPr>
        <w:t>Happy Fit Premium Konstanz – Preise (80 / 90 / 109 €, Startergebühr 129 €, Aktionstage Januar) – https://happyfitpremium.de/preise/ (abgerufen 27.09.2026)</w:t>
      </w:r>
    </w:p>
    <w:p>
      <w:pPr>
        <w:pStyle w:val="ListParagraph"/>
        <w:numPr>
          <w:ilvl w:val="0"/>
          <w:numId w:val="1"/>
        </w:numPr>
        <w:spacing w:lineRule="exact" w:line="276" w:before="0" w:after="60"/>
        <w:jc w:val="left"/>
        <w:rPr/>
      </w:pPr>
      <w:r>
        <w:rPr>
          <w:rFonts w:eastAsia="Arial" w:cs="Arial"/>
          <w:sz w:val="22"/>
          <w:szCs w:val="22"/>
        </w:rPr>
        <w:t>Happy Fit Premium Konstanz – Preise und Öffnungszeiten – https://happyfitpremium.de/preise/ (27.09.2026)</w:t>
      </w:r>
    </w:p>
    <w:p>
      <w:pPr>
        <w:pStyle w:val="ListParagraph"/>
        <w:numPr>
          <w:ilvl w:val="0"/>
          <w:numId w:val="1"/>
        </w:numPr>
        <w:spacing w:lineRule="exact" w:line="276" w:before="0" w:after="60"/>
        <w:jc w:val="left"/>
        <w:rPr/>
      </w:pPr>
      <w:r>
        <w:rPr>
          <w:rFonts w:eastAsia="Arial" w:cs="Arial"/>
          <w:sz w:val="22"/>
          <w:szCs w:val="22"/>
        </w:rPr>
        <w:t>Happy Fit Studios Konstanz/Singen/Radolfzell – https://happy-fit-studios.de/ (27.09.2026)</w:t>
      </w:r>
    </w:p>
    <w:p>
      <w:pPr>
        <w:pStyle w:val="ListParagraph"/>
        <w:numPr>
          <w:ilvl w:val="0"/>
          <w:numId w:val="1"/>
        </w:numPr>
        <w:spacing w:lineRule="exact" w:line="276" w:before="0" w:after="60"/>
        <w:jc w:val="left"/>
        <w:rPr/>
      </w:pPr>
      <w:r>
        <w:rPr>
          <w:rFonts w:eastAsia="Arial" w:cs="Arial"/>
          <w:sz w:val="22"/>
          <w:szCs w:val="22"/>
        </w:rPr>
        <w:t>hashtag-fitness – Umsatzsteuerliche Fallstricke im Fitness-Studio – https://hashtag-fitness.com/umsatzsteuerliche-fallstricke-im-fitness-studio-512 (10.09.2024)</w:t>
      </w:r>
    </w:p>
    <w:p>
      <w:pPr>
        <w:pStyle w:val="ListParagraph"/>
        <w:numPr>
          <w:ilvl w:val="0"/>
          <w:numId w:val="1"/>
        </w:numPr>
        <w:spacing w:lineRule="exact" w:line="276" w:before="0" w:after="60"/>
        <w:jc w:val="left"/>
        <w:rPr/>
      </w:pPr>
      <w:r>
        <w:rPr>
          <w:rFonts w:eastAsia="Arial" w:cs="Arial"/>
          <w:sz w:val="22"/>
          <w:szCs w:val="22"/>
        </w:rPr>
        <w:t>Hidden Profits Marketing – Wie viel kostet es, einen Fitnesskunden zu werben? (120 Studios DACH: 2,75 € je Lead, 3 Leads je Abschluss) – https://www.hiddenprofitsmarketing.com/de/blog/wie-viel-kostet-es-einen-fitnesskunden-zu-werben/ (2017)</w:t>
      </w:r>
    </w:p>
    <w:p>
      <w:pPr>
        <w:pStyle w:val="ListParagraph"/>
        <w:numPr>
          <w:ilvl w:val="0"/>
          <w:numId w:val="1"/>
        </w:numPr>
        <w:spacing w:lineRule="exact" w:line="276" w:before="0" w:after="60"/>
        <w:jc w:val="left"/>
        <w:rPr/>
      </w:pPr>
      <w:r>
        <w:rPr>
          <w:rFonts w:eastAsia="Arial" w:cs="Arial"/>
          <w:sz w:val="22"/>
          <w:szCs w:val="22"/>
        </w:rPr>
        <w:t>IHK Bodensee-Oberschwaben – Kaufkraft (MB Research, Prognose 2026) – https://www.ihk.de/bodensee-oberschwaben/branchen/handel/news/kaufkraft-nominal-6593404 (2026)</w:t>
      </w:r>
    </w:p>
    <w:p>
      <w:pPr>
        <w:pStyle w:val="ListParagraph"/>
        <w:numPr>
          <w:ilvl w:val="0"/>
          <w:numId w:val="1"/>
        </w:numPr>
        <w:spacing w:lineRule="exact" w:line="276" w:before="0" w:after="60"/>
        <w:jc w:val="left"/>
        <w:rPr/>
      </w:pPr>
      <w:r>
        <w:rPr>
          <w:rFonts w:eastAsia="Arial" w:cs="Arial"/>
          <w:sz w:val="22"/>
          <w:szCs w:val="22"/>
        </w:rPr>
        <w:t>IHK Bodensee-Oberschwaben – Mietpreisspannen für Einzelhandelsflächen (1a-Lage) – https://www.ihk.de/bodensee-oberschwaben/produktmarken/wirtschaftsstandort-bo/gewerbeflaechen-und-stadtentwicklung/mietpreisspannen-fuer-einzelhandelsflaechen-4916034 (06/2025)</w:t>
      </w:r>
    </w:p>
    <w:p>
      <w:pPr>
        <w:pStyle w:val="ListParagraph"/>
        <w:numPr>
          <w:ilvl w:val="0"/>
          <w:numId w:val="1"/>
        </w:numPr>
        <w:spacing w:lineRule="exact" w:line="276" w:before="0" w:after="60"/>
        <w:jc w:val="left"/>
        <w:rPr/>
      </w:pPr>
      <w:r>
        <w:rPr>
          <w:rFonts w:eastAsia="Arial" w:cs="Arial"/>
          <w:sz w:val="22"/>
          <w:szCs w:val="22"/>
        </w:rPr>
        <w:t>IHK Bodensee-Oberschwaben – Mietpreisspannen für Produktions- und Lagerhallen – https://www.ihk.de/bodensee-oberschwaben/produktmarken/wirtschaftsstandort-bo/gewerbeflaechen-und-stadtentwicklung/mietpreisspannen-fuer-produktions-und-lagerhallen--4916024 (06/2025)</w:t>
      </w:r>
    </w:p>
    <w:p>
      <w:pPr>
        <w:pStyle w:val="ListParagraph"/>
        <w:numPr>
          <w:ilvl w:val="0"/>
          <w:numId w:val="1"/>
        </w:numPr>
        <w:spacing w:lineRule="exact" w:line="276" w:before="0" w:after="60"/>
        <w:jc w:val="left"/>
        <w:rPr/>
      </w:pPr>
      <w:r>
        <w:rPr>
          <w:rFonts w:eastAsia="Arial" w:cs="Arial"/>
          <w:sz w:val="22"/>
          <w:szCs w:val="22"/>
        </w:rPr>
        <w:t>IHK Elbe-Weser – Kaufkraft und Einzelhandelszentralitäten 2026 (MB Research, Bundeswerte) – https://www.ihk.de/blueprint/servlet/resource/blob/1700492/092cbabb1dcce51e82d56666566b7cf9/kaufkraft-einzelhandelszentralitaet--data.pdf (04.05.2026)</w:t>
      </w:r>
    </w:p>
    <w:p>
      <w:pPr>
        <w:pStyle w:val="ListParagraph"/>
        <w:numPr>
          <w:ilvl w:val="0"/>
          <w:numId w:val="1"/>
        </w:numPr>
        <w:spacing w:lineRule="exact" w:line="276" w:before="0" w:after="60"/>
        <w:jc w:val="left"/>
        <w:rPr/>
      </w:pPr>
      <w:r>
        <w:rPr>
          <w:rFonts w:eastAsia="Arial" w:cs="Arial"/>
          <w:sz w:val="22"/>
          <w:szCs w:val="22"/>
        </w:rPr>
        <w:t>IHK Karlsruhe – Wahl der Rechtsform und Registrierungspflichten – https://www.ihk.de/karlsruhe/fachthemen/recht/gesellschaftsrecht-handelsrecht/gesellschaftsrecht/wahl-der-rechtsform-und-registrierungspflichten-2459116 (01/2025)</w:t>
      </w:r>
    </w:p>
    <w:p>
      <w:pPr>
        <w:pStyle w:val="ListParagraph"/>
        <w:numPr>
          <w:ilvl w:val="0"/>
          <w:numId w:val="1"/>
        </w:numPr>
        <w:spacing w:lineRule="exact" w:line="276" w:before="0" w:after="60"/>
        <w:jc w:val="left"/>
        <w:rPr/>
      </w:pPr>
      <w:r>
        <w:rPr>
          <w:rFonts w:eastAsia="Arial" w:cs="Arial"/>
          <w:sz w:val="22"/>
          <w:szCs w:val="22"/>
        </w:rPr>
        <w:t>IHK Konstanz – Wahl der Rechtsform und Registrierungspflichten – https://www.ihk.de/konstanz/recht-und-steuern/vertrag-gesellschaft/unternehmensgruendung/wahlderrechtsformundregistrierungspflichten-1672580 (12/2025)</w:t>
      </w:r>
    </w:p>
    <w:p>
      <w:pPr>
        <w:pStyle w:val="ListParagraph"/>
        <w:numPr>
          <w:ilvl w:val="0"/>
          <w:numId w:val="1"/>
        </w:numPr>
        <w:spacing w:lineRule="exact" w:line="276" w:before="0" w:after="60"/>
        <w:jc w:val="left"/>
        <w:rPr/>
      </w:pPr>
      <w:r>
        <w:rPr>
          <w:rFonts w:eastAsia="Arial" w:cs="Arial"/>
          <w:sz w:val="22"/>
          <w:szCs w:val="22"/>
        </w:rPr>
        <w:t>IHK Region Stuttgart – Einzelhandelskennziffern Landkreis Böblingen 2026 – https://www.ihk.de/stuttgart/branchen/handel/zahlen-und-fakten/einzelhandelskennziffern-2025-landkreis-boeblingen-7117436 (2026)</w:t>
      </w:r>
    </w:p>
    <w:p>
      <w:pPr>
        <w:pStyle w:val="ListParagraph"/>
        <w:numPr>
          <w:ilvl w:val="0"/>
          <w:numId w:val="1"/>
        </w:numPr>
        <w:spacing w:lineRule="exact" w:line="276" w:before="0" w:after="60"/>
        <w:jc w:val="left"/>
        <w:rPr/>
      </w:pPr>
      <w:r>
        <w:rPr>
          <w:rFonts w:eastAsia="Arial" w:cs="Arial"/>
          <w:sz w:val="22"/>
          <w:szCs w:val="22"/>
        </w:rPr>
        <w:t>IHK Stuttgart – Bankgespräch erfolgreich führen (Kapitaldienstfähigkeit) – https://www.ihk.de/stuttgart/gruendung/finanzierung/finanzierungsquellen/kredite/bankgespraech-erfolgreich-fuehren-index-685364</w:t>
      </w:r>
    </w:p>
    <w:p>
      <w:pPr>
        <w:pStyle w:val="ListParagraph"/>
        <w:numPr>
          <w:ilvl w:val="0"/>
          <w:numId w:val="1"/>
        </w:numPr>
        <w:spacing w:lineRule="exact" w:line="276" w:before="0" w:after="60"/>
        <w:jc w:val="left"/>
        <w:rPr/>
      </w:pPr>
      <w:r>
        <w:rPr>
          <w:rFonts w:eastAsia="Arial" w:cs="Arial"/>
          <w:sz w:val="22"/>
          <w:szCs w:val="22"/>
        </w:rPr>
        <w:t>IHK zu Essen – Einkommensteuer, Körperschaftsteuer und Solidaritätszuschlag (01/2026); Lexware – Gewerbesteuer-Rechner 2026 (Messzahl 3,5 %, Freibetrag)</w:t>
      </w:r>
    </w:p>
    <w:p>
      <w:pPr>
        <w:pStyle w:val="ListParagraph"/>
        <w:numPr>
          <w:ilvl w:val="0"/>
          <w:numId w:val="1"/>
        </w:numPr>
        <w:spacing w:lineRule="exact" w:line="276" w:before="0" w:after="60"/>
        <w:jc w:val="left"/>
        <w:rPr/>
      </w:pPr>
      <w:r>
        <w:rPr>
          <w:rFonts w:eastAsia="Arial" w:cs="Arial"/>
          <w:sz w:val="22"/>
          <w:szCs w:val="22"/>
        </w:rPr>
        <w:t>IHK zu Essen – Einkommensteuer, Körperschaftsteuer und Solidaritätszuschlag (KSt 15 %) – https://www.ihk.de/meo/recht-und-steuern/steuerrecht/einkommensteuer/einkommensteuer-kirchensteuer-koerperschaftssteuer-und-solidar-2104572 (01/2026)</w:t>
      </w:r>
    </w:p>
    <w:p>
      <w:pPr>
        <w:pStyle w:val="ListParagraph"/>
        <w:numPr>
          <w:ilvl w:val="0"/>
          <w:numId w:val="1"/>
        </w:numPr>
        <w:spacing w:lineRule="exact" w:line="276" w:before="0" w:after="60"/>
        <w:jc w:val="left"/>
        <w:rPr/>
      </w:pPr>
      <w:r>
        <w:rPr>
          <w:rFonts w:eastAsia="Arial" w:cs="Arial"/>
          <w:sz w:val="22"/>
          <w:szCs w:val="22"/>
        </w:rPr>
        <w:t>IHK zu Essen – Körperschaftsteuer (Absenkung ab 2028) (01/2026); BMF – Wachstumsbooster, degressive AfA (2025); L-Bank – Digitalisierungsfinanzierung (Tilgungszuschuss 5 %)</w:t>
      </w:r>
    </w:p>
    <w:p>
      <w:pPr>
        <w:pStyle w:val="ListParagraph"/>
        <w:numPr>
          <w:ilvl w:val="0"/>
          <w:numId w:val="1"/>
        </w:numPr>
        <w:spacing w:lineRule="exact" w:line="276" w:before="0" w:after="60"/>
        <w:jc w:val="left"/>
        <w:rPr/>
      </w:pPr>
      <w:r>
        <w:rPr>
          <w:rFonts w:eastAsia="Arial" w:cs="Arial"/>
          <w:sz w:val="22"/>
          <w:szCs w:val="22"/>
        </w:rPr>
        <w:t>Immowelt / ImmobilienScout24 – Suchseiten Hallen Bodensee und Region Stuttgart (Rechercheprotokoll (Anhang I), Recherche 26.09.2026, mit Exposé-URLs)</w:t>
      </w:r>
    </w:p>
    <w:p>
      <w:pPr>
        <w:pStyle w:val="ListParagraph"/>
        <w:numPr>
          <w:ilvl w:val="0"/>
          <w:numId w:val="1"/>
        </w:numPr>
        <w:spacing w:lineRule="exact" w:line="276" w:before="0" w:after="60"/>
        <w:jc w:val="left"/>
        <w:rPr/>
      </w:pPr>
      <w:r>
        <w:rPr>
          <w:rFonts w:eastAsia="Arial" w:cs="Arial"/>
          <w:sz w:val="22"/>
          <w:szCs w:val="22"/>
        </w:rPr>
        <w:t>IN-COME Unternehmensberatung – Raumkosten (Instandhaltung 0,30–0,90 €/m²/Monat) – https://www.in-come.de/raumkosten/ (14.06.2020)</w:t>
      </w:r>
    </w:p>
    <w:p>
      <w:pPr>
        <w:pStyle w:val="ListParagraph"/>
        <w:numPr>
          <w:ilvl w:val="0"/>
          <w:numId w:val="1"/>
        </w:numPr>
        <w:spacing w:lineRule="exact" w:line="276" w:before="0" w:after="60"/>
        <w:jc w:val="left"/>
        <w:rPr/>
      </w:pPr>
      <w:r>
        <w:rPr>
          <w:rFonts w:eastAsia="Arial" w:cs="Arial"/>
          <w:sz w:val="22"/>
          <w:szCs w:val="22"/>
        </w:rPr>
        <w:t>IN-COME Unternehmensberatung – Vorverkauf und Fluktuation – https://www.in-come.de/vorverkauf-und-fluktuation/ (05.05.2020)</w:t>
      </w:r>
    </w:p>
    <w:p>
      <w:pPr>
        <w:pStyle w:val="ListParagraph"/>
        <w:numPr>
          <w:ilvl w:val="0"/>
          <w:numId w:val="1"/>
        </w:numPr>
        <w:spacing w:lineRule="exact" w:line="276" w:before="0" w:after="60"/>
        <w:jc w:val="left"/>
        <w:rPr/>
      </w:pPr>
      <w:r>
        <w:rPr>
          <w:rFonts w:eastAsia="Arial" w:cs="Arial"/>
          <w:sz w:val="22"/>
          <w:szCs w:val="22"/>
        </w:rPr>
        <w:t>IN-COME Unternehmensberatung – Vorverkauf und Fluktuation (600 Mitglieder nach 12 Monaten, Ruhequote 2–8 %) – https://www.in-come.de/vorverkauf-und-fluktuation/ (05.05.2020)</w:t>
      </w:r>
    </w:p>
    <w:p>
      <w:pPr>
        <w:pStyle w:val="ListParagraph"/>
        <w:numPr>
          <w:ilvl w:val="0"/>
          <w:numId w:val="1"/>
        </w:numPr>
        <w:spacing w:lineRule="exact" w:line="276" w:before="0" w:after="60"/>
        <w:jc w:val="left"/>
        <w:rPr/>
      </w:pPr>
      <w:r>
        <w:rPr>
          <w:rFonts w:eastAsia="Arial" w:cs="Arial"/>
          <w:sz w:val="22"/>
          <w:szCs w:val="22"/>
        </w:rPr>
        <w:t>IN-COME Unternehmensberatung – Vorverkauf und Fluktuation (Gründungsjahr 5–10 %) – https://www.in-come.de/vorverkauf-und-fluktuation/ (05.05.2020)</w:t>
      </w:r>
    </w:p>
    <w:p>
      <w:pPr>
        <w:pStyle w:val="ListParagraph"/>
        <w:numPr>
          <w:ilvl w:val="0"/>
          <w:numId w:val="1"/>
        </w:numPr>
        <w:spacing w:lineRule="exact" w:line="276" w:before="0" w:after="60"/>
        <w:jc w:val="left"/>
        <w:rPr/>
      </w:pPr>
      <w:r>
        <w:rPr>
          <w:rFonts w:eastAsia="Arial" w:cs="Arial"/>
          <w:sz w:val="22"/>
          <w:szCs w:val="22"/>
        </w:rPr>
        <w:t>IN-COME Unternehmensberatung – Vorverkauf und Fluktuation (Ruhequote 2–8 %) – https://www.in-come.de/vorverkauf-und-fluktuation/ (05.05.2020)</w:t>
      </w:r>
    </w:p>
    <w:p>
      <w:pPr>
        <w:pStyle w:val="ListParagraph"/>
        <w:numPr>
          <w:ilvl w:val="0"/>
          <w:numId w:val="1"/>
        </w:numPr>
        <w:spacing w:lineRule="exact" w:line="276" w:before="0" w:after="60"/>
        <w:jc w:val="left"/>
        <w:rPr/>
      </w:pPr>
      <w:r>
        <w:rPr>
          <w:rFonts w:eastAsia="Arial" w:cs="Arial"/>
          <w:sz w:val="22"/>
          <w:szCs w:val="22"/>
        </w:rPr>
        <w:t>INJOY – Mitgliedschaft (Leistungen) – https://www.injoy.de/mitgliedschaft (2026)</w:t>
      </w:r>
    </w:p>
    <w:p>
      <w:pPr>
        <w:pStyle w:val="ListParagraph"/>
        <w:numPr>
          <w:ilvl w:val="0"/>
          <w:numId w:val="1"/>
        </w:numPr>
        <w:spacing w:lineRule="exact" w:line="276" w:before="0" w:after="60"/>
        <w:jc w:val="left"/>
        <w:rPr/>
      </w:pPr>
      <w:r>
        <w:rPr>
          <w:rFonts w:eastAsia="Arial" w:cs="Arial"/>
          <w:sz w:val="22"/>
          <w:szCs w:val="22"/>
        </w:rPr>
        <w:t>KERKMANN/one-bear – Preise Wartung, Prüfung, Reparatur Fitnessgeräte – https://one-bear.de/preise-wartung-sportgeraete-fitnessgeraete.html</w:t>
      </w:r>
    </w:p>
    <w:p>
      <w:pPr>
        <w:pStyle w:val="ListParagraph"/>
        <w:numPr>
          <w:ilvl w:val="0"/>
          <w:numId w:val="1"/>
        </w:numPr>
        <w:spacing w:lineRule="exact" w:line="276" w:before="0" w:after="60"/>
        <w:jc w:val="left"/>
        <w:rPr/>
      </w:pPr>
      <w:r>
        <w:rPr>
          <w:rFonts w:eastAsia="Arial" w:cs="Arial"/>
          <w:sz w:val="22"/>
          <w:szCs w:val="22"/>
        </w:rPr>
        <w:t>KERKMANN/one-bear – Preise Wartung, Prüfung, Reparatur Fitnessgeräte (Wartung ab 53 €, DGUV-Sichtprüfung ab 62 € je Gerät) – https://one-bear.de/preise-wartung-sportgeraete-fitnessgeraete.html (o. D.)</w:t>
      </w:r>
    </w:p>
    <w:p>
      <w:pPr>
        <w:pStyle w:val="ListParagraph"/>
        <w:numPr>
          <w:ilvl w:val="0"/>
          <w:numId w:val="1"/>
        </w:numPr>
        <w:spacing w:lineRule="exact" w:line="276" w:before="0" w:after="60"/>
        <w:jc w:val="left"/>
        <w:rPr/>
      </w:pPr>
      <w:r>
        <w:rPr>
          <w:rFonts w:eastAsia="Arial" w:cs="Arial"/>
          <w:sz w:val="22"/>
          <w:szCs w:val="22"/>
        </w:rPr>
        <w:t>KfW – Merkblatt ERP-Förderkredit Gründung und Nachfolge (077): persönliche Haftung, Vorhabenbeginn – https://www.kfw.de/PDF/Download-Center/F%C3%B6rderprogramme-(Inlandsf%C3%B6rderung)/PDF-Dokumente/6000000213_M_077.pdf (10.12.2025)</w:t>
      </w:r>
    </w:p>
    <w:p>
      <w:pPr>
        <w:pStyle w:val="ListParagraph"/>
        <w:numPr>
          <w:ilvl w:val="0"/>
          <w:numId w:val="1"/>
        </w:numPr>
        <w:spacing w:lineRule="exact" w:line="276" w:before="0" w:after="60"/>
        <w:jc w:val="left"/>
        <w:rPr/>
      </w:pPr>
      <w:r>
        <w:rPr>
          <w:rFonts w:eastAsia="Arial" w:cs="Arial"/>
          <w:sz w:val="22"/>
          <w:szCs w:val="22"/>
        </w:rPr>
        <w:t>KfW – Merkblatt ERP-Gründerkredit StartGeld (067), Stand 18.06.2026 (geprüft, nicht angesetzt); Merkblatt ERP-Förderkredit Gründung und Nachfolge (077), Stand 10.12.2025</w:t>
      </w:r>
    </w:p>
    <w:p>
      <w:pPr>
        <w:pStyle w:val="ListParagraph"/>
        <w:numPr>
          <w:ilvl w:val="0"/>
          <w:numId w:val="1"/>
        </w:numPr>
        <w:spacing w:lineRule="exact" w:line="276" w:before="0" w:after="60"/>
        <w:jc w:val="left"/>
        <w:rPr/>
      </w:pPr>
      <w:r>
        <w:rPr>
          <w:rFonts w:eastAsia="Arial" w:cs="Arial"/>
          <w:sz w:val="22"/>
          <w:szCs w:val="22"/>
        </w:rPr>
        <w:t>KfW – Merkblatt ERP-Gründerkredit StartGeld (067), Stand 18.06.2026; Merkblatt ERP-Förderkredit Gründung und Nachfolge (077), Stand 10.12.2025</w:t>
      </w:r>
    </w:p>
    <w:p>
      <w:pPr>
        <w:pStyle w:val="ListParagraph"/>
        <w:numPr>
          <w:ilvl w:val="0"/>
          <w:numId w:val="1"/>
        </w:numPr>
        <w:spacing w:lineRule="exact" w:line="276" w:before="0" w:after="60"/>
        <w:jc w:val="left"/>
        <w:rPr/>
      </w:pPr>
      <w:r>
        <w:rPr>
          <w:rFonts w:eastAsia="Arial" w:cs="Arial"/>
          <w:sz w:val="22"/>
          <w:szCs w:val="22"/>
        </w:rPr>
        <w:t>KfW – Merkblatt ERP-Gründerkredit StartGeld (067), Stand 18.06.2026; Merkblatt ERP-Förderkredit Gründung und Nachfolge (077), Stand 10.12.2025; KfW-Konditionenanzeiger (28.09.2026) – https://www.kfw.de/</w:t>
      </w:r>
    </w:p>
    <w:p>
      <w:pPr>
        <w:pStyle w:val="ListParagraph"/>
        <w:numPr>
          <w:ilvl w:val="0"/>
          <w:numId w:val="1"/>
        </w:numPr>
        <w:spacing w:lineRule="exact" w:line="276" w:before="0" w:after="60"/>
        <w:jc w:val="left"/>
        <w:rPr/>
      </w:pPr>
      <w:r>
        <w:rPr>
          <w:rFonts w:eastAsia="Arial" w:cs="Arial"/>
          <w:sz w:val="22"/>
          <w:szCs w:val="22"/>
        </w:rPr>
        <w:t>Kieser Training – Preise und Mitgliedschaft (UVP) – https://www.kieser.com/de-de/studios/preise/ (2026)</w:t>
      </w:r>
    </w:p>
    <w:p>
      <w:pPr>
        <w:pStyle w:val="ListParagraph"/>
        <w:numPr>
          <w:ilvl w:val="0"/>
          <w:numId w:val="1"/>
        </w:numPr>
        <w:spacing w:lineRule="exact" w:line="276" w:before="0" w:after="60"/>
        <w:jc w:val="left"/>
        <w:rPr/>
      </w:pPr>
      <w:r>
        <w:rPr>
          <w:rFonts w:eastAsia="Arial" w:cs="Arial"/>
          <w:sz w:val="22"/>
          <w:szCs w:val="22"/>
        </w:rPr>
        <w:t>Kruse, T. – Ökonomische Analyse des Trainings- und Kündigungsverhaltens von Fitnessstudio-Mitgliedern, Dissertation Univ. Paderborn (DSSV 2019: Fluktuation 25 %, 52 % bleiben &gt; 1 Jahr) – https://d-nb.info/124761851X/34 (07/2021)</w:t>
      </w:r>
    </w:p>
    <w:p>
      <w:pPr>
        <w:pStyle w:val="ListParagraph"/>
        <w:numPr>
          <w:ilvl w:val="0"/>
          <w:numId w:val="1"/>
        </w:numPr>
        <w:spacing w:lineRule="exact" w:line="276" w:before="0" w:after="60"/>
        <w:jc w:val="left"/>
        <w:rPr/>
      </w:pPr>
      <w:r>
        <w:rPr>
          <w:rFonts w:eastAsia="Arial" w:cs="Arial"/>
          <w:sz w:val="22"/>
          <w:szCs w:val="22"/>
        </w:rPr>
        <w:t>Kruse, T. (2021) – Ökonomische Analyse des Kündigungsverhaltens von Fitnessstudio-Mitgliedern, Dissertation Univ. Paderborn (DSSV 2019: 25 %, 13–40 %) – https://d-nb.info/124761851X/34; Bechler (LinkedIn, 02.05.2021) – Fluktuation Einzelstudios 21–25 %, Ketten 25–28 %</w:t>
      </w:r>
    </w:p>
    <w:p>
      <w:pPr>
        <w:pStyle w:val="ListParagraph"/>
        <w:numPr>
          <w:ilvl w:val="0"/>
          <w:numId w:val="1"/>
        </w:numPr>
        <w:spacing w:lineRule="exact" w:line="276" w:before="0" w:after="60"/>
        <w:jc w:val="left"/>
        <w:rPr/>
      </w:pPr>
      <w:r>
        <w:rPr>
          <w:rFonts w:eastAsia="Arial" w:cs="Arial"/>
          <w:sz w:val="22"/>
          <w:szCs w:val="22"/>
        </w:rPr>
        <w:t>Kruse, T. (2021) – Ökonomische Analyse des Trainings- und Kündigungsverhaltens von Fitnessstudio-Mitgliedern, Dissertation Univ. Paderborn (Fluktuation 25 %, DSSV 2019) – https://d-nb.info/124761851X/34</w:t>
      </w:r>
    </w:p>
    <w:p>
      <w:pPr>
        <w:pStyle w:val="ListParagraph"/>
        <w:numPr>
          <w:ilvl w:val="0"/>
          <w:numId w:val="1"/>
        </w:numPr>
        <w:spacing w:lineRule="exact" w:line="276" w:before="0" w:after="60"/>
        <w:jc w:val="left"/>
        <w:rPr/>
      </w:pPr>
      <w:r>
        <w:rPr>
          <w:rFonts w:eastAsia="Arial" w:cs="Arial"/>
          <w:sz w:val="22"/>
          <w:szCs w:val="22"/>
        </w:rPr>
        <w:t>Kruse, T. (2021) – Ökonomische Analyse des Trainings- und Kündigungsverhaltens von Fitnessstudio-Mitgliedern, Dissertation Univ. Paderborn (Fluktuation 25 %, DSSV 2019) – https://d-nb.info/124761851X/34; Bechler (2021) – Fluktuationsquote Fitnessbranche</w:t>
      </w:r>
    </w:p>
    <w:p>
      <w:pPr>
        <w:pStyle w:val="ListParagraph"/>
        <w:numPr>
          <w:ilvl w:val="0"/>
          <w:numId w:val="1"/>
        </w:numPr>
        <w:spacing w:lineRule="exact" w:line="276" w:before="0" w:after="60"/>
        <w:jc w:val="left"/>
        <w:rPr/>
      </w:pPr>
      <w:r>
        <w:rPr>
          <w:rFonts w:eastAsia="Arial" w:cs="Arial"/>
          <w:sz w:val="22"/>
          <w:szCs w:val="22"/>
        </w:rPr>
        <w:t>L-Bank – Digitalisierungsfinanzierung – https://www.l-bank.de/produkte/wirtschaftsfoerderung/digitalisierungsfinanzierung.html; Rechercheprotokoll (Anhang I), Leasingfaktoren</w:t>
      </w:r>
    </w:p>
    <w:p>
      <w:pPr>
        <w:pStyle w:val="ListParagraph"/>
        <w:numPr>
          <w:ilvl w:val="0"/>
          <w:numId w:val="1"/>
        </w:numPr>
        <w:spacing w:lineRule="exact" w:line="276" w:before="0" w:after="60"/>
        <w:jc w:val="left"/>
        <w:rPr/>
      </w:pPr>
      <w:r>
        <w:rPr>
          <w:rFonts w:eastAsia="Arial" w:cs="Arial"/>
          <w:sz w:val="22"/>
          <w:szCs w:val="22"/>
        </w:rPr>
        <w:t>L-Bank – Gründungs- und Wachstumsfinanzierung (GuW-BW), Konditionenübersicht Wirtschaftsförderung (24.09.2026) – https://www.l-bank.de/</w:t>
      </w:r>
    </w:p>
    <w:p>
      <w:pPr>
        <w:pStyle w:val="ListParagraph"/>
        <w:numPr>
          <w:ilvl w:val="0"/>
          <w:numId w:val="1"/>
        </w:numPr>
        <w:spacing w:lineRule="exact" w:line="276" w:before="0" w:after="60"/>
        <w:jc w:val="left"/>
        <w:rPr/>
      </w:pPr>
      <w:r>
        <w:rPr>
          <w:rFonts w:eastAsia="Arial" w:cs="Arial"/>
          <w:sz w:val="22"/>
          <w:szCs w:val="22"/>
        </w:rPr>
        <w:t>L-Bank – Gründungs- und Wachstumsfinanzierung (GuW-BW), Startfinanzierung 80, Konditionenübersicht Wirtschaftsförderung (24.09.2026) – https://www.l-bank.de/</w:t>
      </w:r>
    </w:p>
    <w:p>
      <w:pPr>
        <w:pStyle w:val="ListParagraph"/>
        <w:numPr>
          <w:ilvl w:val="0"/>
          <w:numId w:val="1"/>
        </w:numPr>
        <w:spacing w:lineRule="exact" w:line="276" w:before="0" w:after="60"/>
        <w:jc w:val="left"/>
        <w:rPr/>
      </w:pPr>
      <w:r>
        <w:rPr>
          <w:rFonts w:eastAsia="Arial" w:cs="Arial"/>
          <w:sz w:val="22"/>
          <w:szCs w:val="22"/>
        </w:rPr>
        <w:t>L-Bank – Startfinanzierung 80 (Kapitalbedarfsgrenzen ab 01.12.2025) – https://www.l-bank.de/produkte/wirtschaftsfoerderung/startfinanzierung-80.html</w:t>
      </w:r>
    </w:p>
    <w:p>
      <w:pPr>
        <w:pStyle w:val="ListParagraph"/>
        <w:numPr>
          <w:ilvl w:val="0"/>
          <w:numId w:val="1"/>
        </w:numPr>
        <w:spacing w:lineRule="exact" w:line="276" w:before="0" w:after="60"/>
        <w:jc w:val="left"/>
        <w:rPr/>
      </w:pPr>
      <w:r>
        <w:rPr>
          <w:rFonts w:eastAsia="Arial" w:cs="Arial"/>
          <w:sz w:val="22"/>
          <w:szCs w:val="22"/>
        </w:rPr>
        <w:t>Landeshauptstadt Stuttgart – Doppelhaushalt 2026/2027 – https://www.stuttgart.de/doppelhaushalt-2026-2027 (12/2025); Stadt Ludwigsburg – Gewerbesteuerhebesatz (ab 01.01.2025); IHK Region Stuttgart – Gesamtliste Hebesätze 2018–2026 (13.08.2026)</w:t>
      </w:r>
    </w:p>
    <w:p>
      <w:pPr>
        <w:pStyle w:val="ListParagraph"/>
        <w:numPr>
          <w:ilvl w:val="0"/>
          <w:numId w:val="1"/>
        </w:numPr>
        <w:spacing w:lineRule="exact" w:line="276" w:before="0" w:after="60"/>
        <w:jc w:val="left"/>
        <w:rPr/>
      </w:pPr>
      <w:r>
        <w:rPr>
          <w:rFonts w:eastAsia="Arial" w:cs="Arial"/>
          <w:sz w:val="22"/>
          <w:szCs w:val="22"/>
        </w:rPr>
        <w:t>lohn-info.de – Sozialversicherungsbeiträge 2026 – https://www.lohn-info.de/sozialversicherungsbeitraege2026.html; GEHALT.de – Fitnesstrainer/-in und Studioleiter/-in Gehalt 2026</w:t>
      </w:r>
    </w:p>
    <w:p>
      <w:pPr>
        <w:pStyle w:val="ListParagraph"/>
        <w:numPr>
          <w:ilvl w:val="0"/>
          <w:numId w:val="1"/>
        </w:numPr>
        <w:spacing w:lineRule="exact" w:line="276" w:before="0" w:after="60"/>
        <w:jc w:val="left"/>
        <w:rPr/>
      </w:pPr>
      <w:r>
        <w:rPr>
          <w:rFonts w:eastAsia="Arial" w:cs="Arial"/>
          <w:sz w:val="22"/>
          <w:szCs w:val="22"/>
        </w:rPr>
        <w:t>lohn-info.de – Sozialversicherungsbeiträge 2026 (Arbeitgeberanteil ca. 21,3 % inkl. halbem Zusatzbeitrag) – https://www.lohn-info.de/sozialversicherungsbeitraege2026.html (Bekanntmachungen 11–12/2025)</w:t>
      </w:r>
    </w:p>
    <w:p>
      <w:pPr>
        <w:pStyle w:val="ListParagraph"/>
        <w:numPr>
          <w:ilvl w:val="0"/>
          <w:numId w:val="1"/>
        </w:numPr>
        <w:spacing w:lineRule="exact" w:line="276" w:before="0" w:after="60"/>
        <w:jc w:val="left"/>
        <w:rPr/>
      </w:pPr>
      <w:r>
        <w:rPr>
          <w:rFonts w:eastAsia="Arial" w:cs="Arial"/>
          <w:sz w:val="22"/>
          <w:szCs w:val="22"/>
        </w:rPr>
        <w:t>lohn-info.de – Sozialversicherungsbeiträge 2026; Minijob-Zentrale – Minijob-Beiträge 2026 (16.12.2025); GEHALT.de 2026 – Fitnesstrainer/-in, Studioleiter/-in</w:t>
      </w:r>
    </w:p>
    <w:p>
      <w:pPr>
        <w:pStyle w:val="ListParagraph"/>
        <w:numPr>
          <w:ilvl w:val="0"/>
          <w:numId w:val="1"/>
        </w:numPr>
        <w:spacing w:lineRule="exact" w:line="276" w:before="0" w:after="60"/>
        <w:jc w:val="left"/>
        <w:rPr/>
      </w:pPr>
      <w:r>
        <w:rPr>
          <w:rFonts w:eastAsia="Arial" w:cs="Arial"/>
          <w:sz w:val="22"/>
          <w:szCs w:val="22"/>
        </w:rPr>
        <w:t>LohnDialog – Lohnbüro Kosten 2026 (18–25 € je Mitarbeiter und Monat) – https://www.lohndialog.de/lohnbuero-kosten/ (2026)</w:t>
      </w:r>
    </w:p>
    <w:p>
      <w:pPr>
        <w:pStyle w:val="ListParagraph"/>
        <w:numPr>
          <w:ilvl w:val="0"/>
          <w:numId w:val="1"/>
        </w:numPr>
        <w:spacing w:lineRule="exact" w:line="276" w:before="0" w:after="60"/>
        <w:jc w:val="left"/>
        <w:rPr/>
      </w:pPr>
      <w:r>
        <w:rPr>
          <w:rFonts w:eastAsia="Arial" w:cs="Arial"/>
          <w:sz w:val="22"/>
          <w:szCs w:val="22"/>
        </w:rPr>
        <w:t>Magicline – Preise – https://www.magicline.com/de/preise/ (27.09.2026)</w:t>
      </w:r>
    </w:p>
    <w:p>
      <w:pPr>
        <w:pStyle w:val="ListParagraph"/>
        <w:numPr>
          <w:ilvl w:val="0"/>
          <w:numId w:val="1"/>
        </w:numPr>
        <w:spacing w:lineRule="exact" w:line="276" w:before="0" w:after="60"/>
        <w:jc w:val="left"/>
        <w:rPr/>
      </w:pPr>
      <w:r>
        <w:rPr>
          <w:rFonts w:eastAsia="Arial" w:cs="Arial"/>
          <w:sz w:val="22"/>
          <w:szCs w:val="22"/>
        </w:rPr>
        <w:t>Magicline – Preise und Module (magicline.com, 2026); FitPro Tools – Magicline Paketpreise 2026; WHK 2026 – SEPA-Lastschriftgebühren</w:t>
      </w:r>
    </w:p>
    <w:p>
      <w:pPr>
        <w:pStyle w:val="ListParagraph"/>
        <w:numPr>
          <w:ilvl w:val="0"/>
          <w:numId w:val="1"/>
        </w:numPr>
        <w:spacing w:lineRule="exact" w:line="276" w:before="0" w:after="60"/>
        <w:jc w:val="left"/>
        <w:rPr/>
      </w:pPr>
      <w:r>
        <w:rPr>
          <w:rFonts w:eastAsia="Arial" w:cs="Arial"/>
          <w:sz w:val="22"/>
          <w:szCs w:val="22"/>
        </w:rPr>
        <w:t>MBG Baden-Württemberg – Stille Beteiligung Existenzgründung – https://mbg-bw.ermoeglicher.de/</w:t>
      </w:r>
    </w:p>
    <w:p>
      <w:pPr>
        <w:pStyle w:val="ListParagraph"/>
        <w:numPr>
          <w:ilvl w:val="0"/>
          <w:numId w:val="1"/>
        </w:numPr>
        <w:spacing w:lineRule="exact" w:line="276" w:before="0" w:after="60"/>
        <w:jc w:val="left"/>
        <w:rPr/>
      </w:pPr>
      <w:r>
        <w:rPr>
          <w:rFonts w:eastAsia="Arial" w:cs="Arial"/>
          <w:sz w:val="22"/>
          <w:szCs w:val="22"/>
        </w:rPr>
        <w:t>MBG Baden-Württemberg – Stille Beteiligung Existenzgründung und Festigung; Mikromezzaninfonds III – https://mbg-bw.ermoeglicher.de/; IHK Nordschwarzwald – Mezzanine-Kapital</w:t>
      </w:r>
    </w:p>
    <w:p>
      <w:pPr>
        <w:pStyle w:val="ListParagraph"/>
        <w:numPr>
          <w:ilvl w:val="0"/>
          <w:numId w:val="1"/>
        </w:numPr>
        <w:spacing w:lineRule="exact" w:line="276" w:before="0" w:after="60"/>
        <w:jc w:val="left"/>
        <w:rPr/>
      </w:pPr>
      <w:r>
        <w:rPr>
          <w:rFonts w:eastAsia="Arial" w:cs="Arial"/>
          <w:sz w:val="22"/>
          <w:szCs w:val="22"/>
        </w:rPr>
        <w:t>MC Shape Überlingen – Tarife (erste 3 Monate 10/20 €) – https://www.mcshape.com/fitnessstudio/ueberlingen/ (abgerufen 27.09.2026)</w:t>
      </w:r>
    </w:p>
    <w:p>
      <w:pPr>
        <w:pStyle w:val="ListParagraph"/>
        <w:numPr>
          <w:ilvl w:val="0"/>
          <w:numId w:val="1"/>
        </w:numPr>
        <w:spacing w:lineRule="exact" w:line="276" w:before="0" w:after="60"/>
        <w:jc w:val="left"/>
        <w:rPr/>
      </w:pPr>
      <w:r>
        <w:rPr>
          <w:rFonts w:eastAsia="Arial" w:cs="Arial"/>
          <w:sz w:val="22"/>
          <w:szCs w:val="22"/>
        </w:rPr>
        <w:t>MC Shape Überlingen / Markdorf – https://www.mcshape.com/ (27.09.2026)</w:t>
      </w:r>
    </w:p>
    <w:p>
      <w:pPr>
        <w:pStyle w:val="ListParagraph"/>
        <w:numPr>
          <w:ilvl w:val="0"/>
          <w:numId w:val="1"/>
        </w:numPr>
        <w:spacing w:lineRule="exact" w:line="276" w:before="0" w:after="60"/>
        <w:jc w:val="left"/>
        <w:rPr/>
      </w:pPr>
      <w:r>
        <w:rPr>
          <w:rFonts w:eastAsia="Arial" w:cs="Arial"/>
          <w:sz w:val="22"/>
          <w:szCs w:val="22"/>
        </w:rPr>
        <w:t>Minijob-Zentrale – Minijob 2026 Änderungen (603 €, 2027: 633 €) – https://magazin.minijob-zentrale.de/minijob-2026-aenderungen/ (09.12.2025); Minijob-Beiträge 2026 (31,17 %) (16.12.2025)</w:t>
      </w:r>
    </w:p>
    <w:p>
      <w:pPr>
        <w:pStyle w:val="ListParagraph"/>
        <w:numPr>
          <w:ilvl w:val="0"/>
          <w:numId w:val="1"/>
        </w:numPr>
        <w:spacing w:lineRule="exact" w:line="276" w:before="0" w:after="60"/>
        <w:jc w:val="left"/>
        <w:rPr/>
      </w:pPr>
      <w:r>
        <w:rPr>
          <w:rFonts w:eastAsia="Arial" w:cs="Arial"/>
          <w:sz w:val="22"/>
          <w:szCs w:val="22"/>
        </w:rPr>
        <w:t>Minijob-Zentrale Magazin – Minijob 2026: Änderungen (Verdienstgrenze 603 € / 633 €) – https://magazin.minijob-zentrale.de/minijob-2026-aenderungen/ (09.12.2025)</w:t>
      </w:r>
    </w:p>
    <w:p>
      <w:pPr>
        <w:pStyle w:val="ListParagraph"/>
        <w:numPr>
          <w:ilvl w:val="0"/>
          <w:numId w:val="1"/>
        </w:numPr>
        <w:spacing w:lineRule="exact" w:line="276" w:before="0" w:after="60"/>
        <w:jc w:val="left"/>
        <w:rPr/>
      </w:pPr>
      <w:r>
        <w:rPr>
          <w:rFonts w:eastAsia="Arial" w:cs="Arial"/>
          <w:sz w:val="22"/>
          <w:szCs w:val="22"/>
        </w:rPr>
        <w:t>Minijob-Zentrale Magazin – Minijob-Beiträge 2026 (Arbeitgeberabgaben 31,17 %) – https://magazin.minijob-zentrale.de/minijob-beitraege-2026/ (16.12.2025)</w:t>
      </w:r>
    </w:p>
    <w:p>
      <w:pPr>
        <w:pStyle w:val="ListParagraph"/>
        <w:numPr>
          <w:ilvl w:val="0"/>
          <w:numId w:val="1"/>
        </w:numPr>
        <w:spacing w:lineRule="exact" w:line="276" w:before="0" w:after="60"/>
        <w:jc w:val="left"/>
        <w:rPr/>
      </w:pPr>
      <w:r>
        <w:rPr>
          <w:rFonts w:eastAsia="Arial" w:cs="Arial"/>
          <w:sz w:val="22"/>
          <w:szCs w:val="22"/>
        </w:rPr>
        <w:t>Muster-Versammlungsstättenverordnung (MVStättVO) § 1; Musterbauordnung (MBO) § 33</w:t>
      </w:r>
    </w:p>
    <w:p>
      <w:pPr>
        <w:pStyle w:val="ListParagraph"/>
        <w:numPr>
          <w:ilvl w:val="0"/>
          <w:numId w:val="1"/>
        </w:numPr>
        <w:spacing w:lineRule="exact" w:line="276" w:before="0" w:after="60"/>
        <w:jc w:val="left"/>
        <w:rPr/>
      </w:pPr>
      <w:r>
        <w:rPr>
          <w:rFonts w:eastAsia="Arial" w:cs="Arial"/>
          <w:sz w:val="22"/>
          <w:szCs w:val="22"/>
        </w:rPr>
        <w:t>NIQ/GfK – Kaufkraft der Deutschen steigt 2026 um 5 % auf 31.193 Euro – https://nielseniq.com/global/de/news-center/2026/kaufkraft-der-deutschen-steigt-2026-um-5-prozent-auf-31193-euro/ (14.01.2026)</w:t>
      </w:r>
    </w:p>
    <w:p>
      <w:pPr>
        <w:pStyle w:val="ListParagraph"/>
        <w:numPr>
          <w:ilvl w:val="0"/>
          <w:numId w:val="1"/>
        </w:numPr>
        <w:spacing w:lineRule="exact" w:line="276" w:before="0" w:after="60"/>
        <w:jc w:val="left"/>
        <w:rPr/>
      </w:pPr>
      <w:r>
        <w:rPr>
          <w:rFonts w:eastAsia="Arial" w:cs="Arial"/>
          <w:sz w:val="22"/>
          <w:szCs w:val="22"/>
        </w:rPr>
        <w:t>notar-check – Notarkosten GmbH-Gründung (Musterprotokoll 259–271 €, individueller Vertrag 476–512 €) – https://notar-check.de/wissen/notarkosten-gmbh-gruendung (18.05.2026)</w:t>
      </w:r>
    </w:p>
    <w:p>
      <w:pPr>
        <w:pStyle w:val="ListParagraph"/>
        <w:numPr>
          <w:ilvl w:val="0"/>
          <w:numId w:val="1"/>
        </w:numPr>
        <w:spacing w:lineRule="exact" w:line="276" w:before="0" w:after="60"/>
        <w:jc w:val="left"/>
        <w:rPr/>
      </w:pPr>
      <w:r>
        <w:rPr>
          <w:rFonts w:eastAsia="Arial" w:cs="Arial"/>
          <w:sz w:val="22"/>
          <w:szCs w:val="22"/>
        </w:rPr>
        <w:t>ODV Versicherungen – Fitnessstudio-Versicherung (2024); Berufshaftpflichtversicherung-Experten – Betriebshaftpflicht Fitnessstudio (2026); Schirmer Assekuranz – Inhaltsversicherung Fitnessstudios; GymAccess – Fitnessstudio eröffnen Kosten-Guide (2026); Virtuagym – Fitnessstudio eröffnen Kosten 2026 (21.05.2026)</w:t>
      </w:r>
    </w:p>
    <w:p>
      <w:pPr>
        <w:pStyle w:val="ListParagraph"/>
        <w:numPr>
          <w:ilvl w:val="0"/>
          <w:numId w:val="1"/>
        </w:numPr>
        <w:spacing w:lineRule="exact" w:line="276" w:before="0" w:after="60"/>
        <w:jc w:val="left"/>
        <w:rPr/>
      </w:pPr>
      <w:r>
        <w:rPr>
          <w:rFonts w:eastAsia="Arial" w:cs="Arial"/>
          <w:sz w:val="22"/>
          <w:szCs w:val="22"/>
        </w:rPr>
        <w:t>ODV Versicherungen – Fitnessstudio-Versicherung (Pakete 39–79 €/Monat bis 400 m²) – https://odv-versicherungen.de/gewerbeversicherung/fitnessstudio-versicherung/ (2024)</w:t>
      </w:r>
    </w:p>
    <w:p>
      <w:pPr>
        <w:pStyle w:val="ListParagraph"/>
        <w:numPr>
          <w:ilvl w:val="0"/>
          <w:numId w:val="1"/>
        </w:numPr>
        <w:spacing w:lineRule="exact" w:line="276" w:before="0" w:after="60"/>
        <w:jc w:val="left"/>
        <w:rPr/>
      </w:pPr>
      <w:r>
        <w:rPr>
          <w:rFonts w:eastAsia="Arial" w:cs="Arial"/>
          <w:sz w:val="22"/>
          <w:szCs w:val="22"/>
        </w:rPr>
        <w:t>Pendleratlas – Friedrichshafen, Böblingen, Sindelfingen (amtliche Pendlerstatistik 2025) – https://pendleratlas.de/ (2025)</w:t>
      </w:r>
    </w:p>
    <w:p>
      <w:pPr>
        <w:pStyle w:val="ListParagraph"/>
        <w:numPr>
          <w:ilvl w:val="0"/>
          <w:numId w:val="1"/>
        </w:numPr>
        <w:spacing w:lineRule="exact" w:line="276" w:before="0" w:after="60"/>
        <w:jc w:val="left"/>
        <w:rPr/>
      </w:pPr>
      <w:r>
        <w:rPr>
          <w:rFonts w:eastAsia="Arial" w:cs="Arial"/>
          <w:sz w:val="22"/>
          <w:szCs w:val="22"/>
        </w:rPr>
        <w:t>Pendleratlas – Friedrichshafen, Böblingen, Sindelfingen (Pendlerstatistik 2025) – https://pendleratlas.de/ (2025)</w:t>
      </w:r>
    </w:p>
    <w:p>
      <w:pPr>
        <w:pStyle w:val="ListParagraph"/>
        <w:numPr>
          <w:ilvl w:val="0"/>
          <w:numId w:val="1"/>
        </w:numPr>
        <w:spacing w:lineRule="exact" w:line="276" w:before="0" w:after="60"/>
        <w:jc w:val="left"/>
        <w:rPr/>
      </w:pPr>
      <w:r>
        <w:rPr>
          <w:rFonts w:eastAsia="Arial" w:cs="Arial"/>
          <w:sz w:val="22"/>
          <w:szCs w:val="22"/>
        </w:rPr>
        <w:t>Pendleratlas – Friedrichshafen, Böblingen, Sindelfingen (Pendlerstatistik 2025) – https://pendleratlas.de/baden-wuerttemberg/bodenseekreis/friedrichshafen/ (2025)</w:t>
      </w:r>
    </w:p>
    <w:p>
      <w:pPr>
        <w:pStyle w:val="ListParagraph"/>
        <w:numPr>
          <w:ilvl w:val="0"/>
          <w:numId w:val="1"/>
        </w:numPr>
        <w:spacing w:lineRule="exact" w:line="276" w:before="0" w:after="60"/>
        <w:jc w:val="left"/>
        <w:rPr/>
      </w:pPr>
      <w:r>
        <w:rPr>
          <w:rFonts w:eastAsia="Arial" w:cs="Arial"/>
          <w:sz w:val="22"/>
          <w:szCs w:val="22"/>
        </w:rPr>
        <w:t>Pfitzenmeier – Preise für Abos und Tageskarten – https://www.pfitzenmeier.de/mitgliedschaft/preise-fuer-abos-und-tageskartenpreise/ (27.09.2026)</w:t>
      </w:r>
    </w:p>
    <w:p>
      <w:pPr>
        <w:pStyle w:val="ListParagraph"/>
        <w:numPr>
          <w:ilvl w:val="0"/>
          <w:numId w:val="1"/>
        </w:numPr>
        <w:spacing w:lineRule="exact" w:line="276" w:before="0" w:after="60"/>
        <w:jc w:val="left"/>
        <w:rPr/>
      </w:pPr>
      <w:r>
        <w:rPr>
          <w:rFonts w:eastAsia="Arial" w:cs="Arial"/>
          <w:sz w:val="22"/>
          <w:szCs w:val="22"/>
        </w:rPr>
        <w:t>Planeco – Nutzungsänderung Fitnessstudio (aktualisiert 21.10.2025)</w:t>
      </w:r>
    </w:p>
    <w:p>
      <w:pPr>
        <w:pStyle w:val="ListParagraph"/>
        <w:numPr>
          <w:ilvl w:val="0"/>
          <w:numId w:val="1"/>
        </w:numPr>
        <w:spacing w:lineRule="exact" w:line="276" w:before="0" w:after="60"/>
        <w:jc w:val="left"/>
        <w:rPr/>
      </w:pPr>
      <w:r>
        <w:rPr>
          <w:rFonts w:eastAsia="Arial" w:cs="Arial"/>
          <w:sz w:val="22"/>
          <w:szCs w:val="22"/>
        </w:rPr>
        <w:t>Planeco Building – Nutzungsänderung Fitnessstudio (Praxisartikel) – https://www.planecobuilding.de/nutzungsaenderung/nutzungsaenderung-fitnessstudio (akt. 21.10.2025)</w:t>
      </w:r>
    </w:p>
    <w:p>
      <w:pPr>
        <w:pStyle w:val="ListParagraph"/>
        <w:numPr>
          <w:ilvl w:val="0"/>
          <w:numId w:val="1"/>
        </w:numPr>
        <w:spacing w:lineRule="exact" w:line="276" w:before="0" w:after="60"/>
        <w:jc w:val="left"/>
        <w:rPr/>
      </w:pPr>
      <w:r>
        <w:rPr>
          <w:rFonts w:eastAsia="Arial" w:cs="Arial"/>
          <w:sz w:val="22"/>
          <w:szCs w:val="22"/>
        </w:rPr>
        <w:t>Planeco Building – Nutzungsänderung Fitnessstudio (Praxisdauer 3–6 Monate, Sonderbau) – https://www.planecobuilding.de/nutzungsaenderung/nutzungsaenderung-fitnessstudio (akt. 21.10.2025)</w:t>
      </w:r>
    </w:p>
    <w:p>
      <w:pPr>
        <w:pStyle w:val="ListParagraph"/>
        <w:numPr>
          <w:ilvl w:val="0"/>
          <w:numId w:val="1"/>
        </w:numPr>
        <w:spacing w:lineRule="exact" w:line="276" w:before="0" w:after="60"/>
        <w:jc w:val="left"/>
        <w:rPr/>
      </w:pPr>
      <w:r>
        <w:rPr>
          <w:rFonts w:eastAsia="Arial" w:cs="Arial"/>
          <w:sz w:val="22"/>
          <w:szCs w:val="22"/>
        </w:rPr>
        <w:t>professionell-fitness-shop.de (Matrix T1x, U1x); assaultfitness.de (AssaultRunner Pro); concept2.de (SkiErg, RowErg); fitnessclub-24.de (StairMaster); akw-fitness.de (Life Fitness ICG IC5) – Stand 09/2026</w:t>
      </w:r>
    </w:p>
    <w:p>
      <w:pPr>
        <w:pStyle w:val="ListParagraph"/>
        <w:numPr>
          <w:ilvl w:val="0"/>
          <w:numId w:val="1"/>
        </w:numPr>
        <w:spacing w:lineRule="exact" w:line="276" w:before="0" w:after="60"/>
        <w:jc w:val="left"/>
        <w:rPr/>
      </w:pPr>
      <w:r>
        <w:rPr>
          <w:rFonts w:eastAsia="Arial" w:cs="Arial"/>
          <w:sz w:val="22"/>
          <w:szCs w:val="22"/>
        </w:rPr>
        <w:t>PureLicence – GEMA-Gebühren 2026 Fitnessstudios (Sekundärquelle, 22.07.2026); fitness MANAGEMENT – GEMA: Kurse auf lizenzierter Studiofläche (22.08.2018)</w:t>
      </w:r>
    </w:p>
    <w:p>
      <w:pPr>
        <w:pStyle w:val="ListParagraph"/>
        <w:numPr>
          <w:ilvl w:val="0"/>
          <w:numId w:val="1"/>
        </w:numPr>
        <w:spacing w:lineRule="exact" w:line="276" w:before="0" w:after="60"/>
        <w:jc w:val="left"/>
        <w:rPr/>
      </w:pPr>
      <w:r>
        <w:rPr>
          <w:rFonts w:eastAsia="Arial" w:cs="Arial"/>
          <w:sz w:val="22"/>
          <w:szCs w:val="22"/>
        </w:rPr>
        <w:t>Realogis – Marktbericht Logistikimmobilienmarkt Stuttgart Gesamtjahr 2025 – https://www.realogis.com/market-report/logistics/leasing/stuttgart-full-year/2025 (2025)</w:t>
      </w:r>
    </w:p>
    <w:p>
      <w:pPr>
        <w:pStyle w:val="ListParagraph"/>
        <w:numPr>
          <w:ilvl w:val="0"/>
          <w:numId w:val="1"/>
        </w:numPr>
        <w:spacing w:lineRule="exact" w:line="276" w:before="0" w:after="60"/>
        <w:jc w:val="left"/>
        <w:rPr/>
      </w:pPr>
      <w:r>
        <w:rPr>
          <w:rFonts w:eastAsia="Arial" w:cs="Arial"/>
          <w:sz w:val="22"/>
          <w:szCs w:val="22"/>
        </w:rPr>
        <w:t>Rechercheprotokoll (Anhang I) – Datenauszug GymPlanner „No.1 (überarbeitet)“, Export 26.09.2026 (Flächen, Kapazität, Stückliste, Sicherheit, Regularienprüfung)</w:t>
      </w:r>
    </w:p>
    <w:p>
      <w:pPr>
        <w:pStyle w:val="ListParagraph"/>
        <w:numPr>
          <w:ilvl w:val="0"/>
          <w:numId w:val="1"/>
        </w:numPr>
        <w:spacing w:lineRule="exact" w:line="276" w:before="0" w:after="60"/>
        <w:jc w:val="left"/>
        <w:rPr/>
      </w:pPr>
      <w:r>
        <w:rPr>
          <w:rFonts w:eastAsia="Arial" w:cs="Arial"/>
          <w:sz w:val="22"/>
          <w:szCs w:val="22"/>
        </w:rPr>
        <w:t>Rechercheprotokoll (Anhang I) – Finanzierung und Förderung Baden-Württemberg, Stand 24.–28.09.2026 (Anforderungen der Hausbank)</w:t>
      </w:r>
    </w:p>
    <w:p>
      <w:pPr>
        <w:pStyle w:val="ListParagraph"/>
        <w:numPr>
          <w:ilvl w:val="0"/>
          <w:numId w:val="1"/>
        </w:numPr>
        <w:spacing w:lineRule="exact" w:line="276" w:before="0" w:after="60"/>
        <w:jc w:val="left"/>
        <w:rPr/>
      </w:pPr>
      <w:r>
        <w:rPr>
          <w:rFonts w:eastAsia="Arial" w:cs="Arial"/>
          <w:sz w:val="22"/>
          <w:szCs w:val="22"/>
        </w:rPr>
        <w:t>Rechercheprotokoll (Anhang I) – Finanzierung und Förderung Baden-Württemberg, Stand 24.–28.09.2026 (KfW 067/077/365-366, L-Bank GuW-BW, Bürgschaftsbank BW, MBG BW, Mikromezzanin, Leasing, Bankanforderungen, Zinsniveau)</w:t>
      </w:r>
    </w:p>
    <w:p>
      <w:pPr>
        <w:pStyle w:val="ListParagraph"/>
        <w:numPr>
          <w:ilvl w:val="0"/>
          <w:numId w:val="1"/>
        </w:numPr>
        <w:spacing w:lineRule="exact" w:line="276" w:before="0" w:after="60"/>
        <w:jc w:val="left"/>
        <w:rPr/>
      </w:pPr>
      <w:r>
        <w:rPr>
          <w:rFonts w:eastAsia="Arial" w:cs="Arial"/>
          <w:sz w:val="22"/>
          <w:szCs w:val="22"/>
        </w:rPr>
        <w:t>Rechercheprotokoll (Anhang I) – Standortrecherche Bodensee und Region Stuttgart, Immobilien-Shortlist (Immowelt/ImmobilienScout24, Stand 26.09.2026)</w:t>
      </w:r>
    </w:p>
    <w:p>
      <w:pPr>
        <w:pStyle w:val="ListParagraph"/>
        <w:numPr>
          <w:ilvl w:val="0"/>
          <w:numId w:val="1"/>
        </w:numPr>
        <w:spacing w:lineRule="exact" w:line="276" w:before="0" w:after="60"/>
        <w:jc w:val="left"/>
        <w:rPr/>
      </w:pPr>
      <w:r>
        <w:rPr>
          <w:rFonts w:eastAsia="Arial" w:cs="Arial"/>
          <w:sz w:val="22"/>
          <w:szCs w:val="22"/>
        </w:rPr>
        <w:t>rundfunkbeitrag.de – Unternehmen und Institutionen (Betriebsstätte 9–19 Beschäftigte 18,36 €/Monat) – https://www.rundfunkbeitrag.de/unternehmen-und-institutionen/informationen (2026)</w:t>
      </w:r>
    </w:p>
    <w:p>
      <w:pPr>
        <w:pStyle w:val="ListParagraph"/>
        <w:numPr>
          <w:ilvl w:val="0"/>
          <w:numId w:val="1"/>
        </w:numPr>
        <w:spacing w:lineRule="exact" w:line="276" w:before="0" w:after="60"/>
        <w:jc w:val="left"/>
        <w:rPr/>
      </w:pPr>
      <w:r>
        <w:rPr>
          <w:rFonts w:eastAsia="Arial" w:cs="Arial"/>
          <w:sz w:val="22"/>
          <w:szCs w:val="22"/>
        </w:rPr>
        <w:t>rundfunkbeitrag.de – Unternehmen und Institutionen, Beitragsstaffel 2026 – https://www.rundfunkbeitrag.de/unternehmen-und-institutionen/informationen</w:t>
      </w:r>
    </w:p>
    <w:p>
      <w:pPr>
        <w:pStyle w:val="ListParagraph"/>
        <w:numPr>
          <w:ilvl w:val="0"/>
          <w:numId w:val="1"/>
        </w:numPr>
        <w:spacing w:lineRule="exact" w:line="276" w:before="0" w:after="60"/>
        <w:jc w:val="left"/>
        <w:rPr/>
      </w:pPr>
      <w:r>
        <w:rPr>
          <w:rFonts w:eastAsia="Arial" w:cs="Arial"/>
          <w:sz w:val="22"/>
          <w:szCs w:val="22"/>
        </w:rPr>
        <w:t>Schwäbische Zeitung – Airbus am Bodensee (rund 2.150 Beschäftigte und ca. 100 Auszubildende in Immenstaad) (08.09.2026)</w:t>
      </w:r>
    </w:p>
    <w:p>
      <w:pPr>
        <w:pStyle w:val="ListParagraph"/>
        <w:numPr>
          <w:ilvl w:val="0"/>
          <w:numId w:val="1"/>
        </w:numPr>
        <w:spacing w:lineRule="exact" w:line="276" w:before="0" w:after="60"/>
        <w:jc w:val="left"/>
        <w:rPr/>
      </w:pPr>
      <w:r>
        <w:rPr>
          <w:rFonts w:eastAsia="Arial" w:cs="Arial"/>
          <w:sz w:val="22"/>
          <w:szCs w:val="22"/>
        </w:rPr>
        <w:t>Show Me Weights – Atlantis Strength Händlerpreise – https://showmeweights.com/collections/atantis-strength (09/2026); True Iron (Atlantis); Prime Fitness USA – Online-Shop (09/2026)</w:t>
      </w:r>
    </w:p>
    <w:p>
      <w:pPr>
        <w:pStyle w:val="ListParagraph"/>
        <w:numPr>
          <w:ilvl w:val="0"/>
          <w:numId w:val="1"/>
        </w:numPr>
        <w:spacing w:lineRule="exact" w:line="276" w:before="0" w:after="60"/>
        <w:jc w:val="left"/>
        <w:rPr/>
      </w:pPr>
      <w:r>
        <w:rPr>
          <w:rFonts w:eastAsia="Arial" w:cs="Arial"/>
          <w:sz w:val="22"/>
          <w:szCs w:val="22"/>
        </w:rPr>
        <w:t>Sparkasse – Gründungsfinanzierung (Eigenkapital 15–20 %) – https://www.sparkasse.de/fk/produkte/finanzierung/gruendungsfinanzierung.html (Stand 09/2026); BMWK-Existenzgründungsportal – Finanzierung, Sicherheiten, Bürgschaften, Rating</w:t>
      </w:r>
    </w:p>
    <w:p>
      <w:pPr>
        <w:pStyle w:val="ListParagraph"/>
        <w:numPr>
          <w:ilvl w:val="0"/>
          <w:numId w:val="1"/>
        </w:numPr>
        <w:spacing w:lineRule="exact" w:line="276" w:before="0" w:after="60"/>
        <w:jc w:val="left"/>
        <w:rPr/>
      </w:pPr>
      <w:r>
        <w:rPr>
          <w:rFonts w:eastAsia="Arial" w:cs="Arial"/>
          <w:sz w:val="22"/>
          <w:szCs w:val="22"/>
        </w:rPr>
        <w:t>Sparkasse – Gründungsfinanzierung und Unterlagen für das Bankgespräch – https://www.sparkasse.de/fk/produkte/finanzierung/gruendungsfinanzierung.html (Stand 09/2026)</w:t>
      </w:r>
    </w:p>
    <w:p>
      <w:pPr>
        <w:pStyle w:val="ListParagraph"/>
        <w:numPr>
          <w:ilvl w:val="0"/>
          <w:numId w:val="1"/>
        </w:numPr>
        <w:spacing w:lineRule="exact" w:line="276" w:before="0" w:after="60"/>
        <w:jc w:val="left"/>
        <w:rPr/>
      </w:pPr>
      <w:r>
        <w:rPr>
          <w:rFonts w:eastAsia="Arial" w:cs="Arial"/>
          <w:sz w:val="22"/>
          <w:szCs w:val="22"/>
        </w:rPr>
        <w:t>Sportwelt Leonberg – Tarife – https://www.sportwelt-leonberg.de/tarife.html (27.09.2026)</w:t>
      </w:r>
    </w:p>
    <w:p>
      <w:pPr>
        <w:pStyle w:val="ListParagraph"/>
        <w:numPr>
          <w:ilvl w:val="0"/>
          <w:numId w:val="1"/>
        </w:numPr>
        <w:spacing w:lineRule="exact" w:line="276" w:before="0" w:after="60"/>
        <w:jc w:val="left"/>
        <w:rPr/>
      </w:pPr>
      <w:r>
        <w:rPr>
          <w:rFonts w:eastAsia="Arial" w:cs="Arial"/>
          <w:sz w:val="22"/>
          <w:szCs w:val="22"/>
        </w:rPr>
        <w:t>Stadt Friedrichshafen – Haushalt und Finanzen, Hebesätze 2025/2026 – https://www.friedrichshafen.de/buerger-stadt/politik-finanzen/haushalt-finanzen/ (24.03.2025)</w:t>
      </w:r>
    </w:p>
    <w:p>
      <w:pPr>
        <w:pStyle w:val="ListParagraph"/>
        <w:numPr>
          <w:ilvl w:val="0"/>
          <w:numId w:val="1"/>
        </w:numPr>
        <w:spacing w:lineRule="exact" w:line="276" w:before="0" w:after="60"/>
        <w:jc w:val="left"/>
        <w:rPr/>
      </w:pPr>
      <w:r>
        <w:rPr>
          <w:rFonts w:eastAsia="Arial" w:cs="Arial"/>
          <w:sz w:val="22"/>
          <w:szCs w:val="22"/>
        </w:rPr>
        <w:t>Stadt Friedrichshafen – Hebesätze 2025/2026; Landeshauptstadt Stuttgart – Doppelhaushalt 2026/2027 (Gewerbesteuerhebesätze)</w:t>
      </w:r>
    </w:p>
    <w:p>
      <w:pPr>
        <w:pStyle w:val="ListParagraph"/>
        <w:numPr>
          <w:ilvl w:val="0"/>
          <w:numId w:val="1"/>
        </w:numPr>
        <w:spacing w:lineRule="exact" w:line="276" w:before="0" w:after="60"/>
        <w:jc w:val="left"/>
        <w:rPr/>
      </w:pPr>
      <w:r>
        <w:rPr>
          <w:rFonts w:eastAsia="Arial" w:cs="Arial"/>
          <w:sz w:val="22"/>
          <w:szCs w:val="22"/>
        </w:rPr>
        <w:t>Stadt Konstanz – Hebesatzsatzung Gewerbesteuer ab 01.01.2023 (14.12.2022); Stadt Ravensburg – Hebesatzsatzung ab 01.01.2025 (27.11.2024); gewerbesteuer.net – Hebesatz Überlingen (2025)</w:t>
      </w:r>
    </w:p>
    <w:p>
      <w:pPr>
        <w:pStyle w:val="ListParagraph"/>
        <w:numPr>
          <w:ilvl w:val="0"/>
          <w:numId w:val="1"/>
        </w:numPr>
        <w:spacing w:lineRule="exact" w:line="276" w:before="0" w:after="60"/>
        <w:jc w:val="left"/>
        <w:rPr/>
      </w:pPr>
      <w:r>
        <w:rPr>
          <w:rFonts w:eastAsia="Arial" w:cs="Arial"/>
          <w:sz w:val="22"/>
          <w:szCs w:val="22"/>
        </w:rPr>
        <w:t>Standortanalyse (Rechercheprotokoll, Anhang I; 27.09.2026): Pendleratlas 2025 (Friedrichshafen), auto.news 09.05.2025 (ZF), Stuttgarter Zeitung 01.03.2026 (Rolls-Royce Power Systems), IHK Bodensee-Oberschwaben Kaufkraft (MB Research 2026), WF Bodenseekreis Standortdaten</w:t>
      </w:r>
    </w:p>
    <w:p>
      <w:pPr>
        <w:pStyle w:val="ListParagraph"/>
        <w:numPr>
          <w:ilvl w:val="0"/>
          <w:numId w:val="1"/>
        </w:numPr>
        <w:spacing w:lineRule="exact" w:line="276" w:before="0" w:after="60"/>
        <w:jc w:val="left"/>
        <w:rPr/>
      </w:pPr>
      <w:r>
        <w:rPr>
          <w:rFonts w:eastAsia="Arial" w:cs="Arial"/>
          <w:sz w:val="22"/>
          <w:szCs w:val="22"/>
        </w:rPr>
        <w:t>Standortrecherche (Rechercheprotokoll, Anhang I) – Arbeitgeber Region Stuttgart (DDW Standortprofil Böblingen 06.03.2026: HP 4.000; bosch.de: Bosch Feuerbach rund 14.000; Mercedes-Benz Sindelfingen &gt; 31.500 nur Suchsnippet), Wettbewerbsliste Bodensee/Stuttgart (Stand 27.09.2026)</w:t>
      </w:r>
    </w:p>
    <w:p>
      <w:pPr>
        <w:pStyle w:val="ListParagraph"/>
        <w:numPr>
          <w:ilvl w:val="0"/>
          <w:numId w:val="1"/>
        </w:numPr>
        <w:spacing w:lineRule="exact" w:line="276" w:before="0" w:after="60"/>
        <w:jc w:val="left"/>
        <w:rPr/>
      </w:pPr>
      <w:r>
        <w:rPr>
          <w:rFonts w:eastAsia="Arial" w:cs="Arial"/>
          <w:sz w:val="22"/>
          <w:szCs w:val="22"/>
        </w:rPr>
        <w:t>Statistisches Bundesamt – Fachserie 2 Reihe 1.6.2 Kostenstruktur bei Fitnesszentren 2010 (Personalaufwand 27,9 %, 76,3 % Teilzeit/geringfügig) – https://www.destatis.de/DE/Themen/Branchen-Unternehmen/Dienstleistungen/Publikationen/Downloads-Dienstleistungen-Kostenstruktur/kostenstruktur-fitness-2020163109004.pdf?__blob=publicationFile (06/2012)</w:t>
      </w:r>
    </w:p>
    <w:p>
      <w:pPr>
        <w:pStyle w:val="ListParagraph"/>
        <w:numPr>
          <w:ilvl w:val="0"/>
          <w:numId w:val="1"/>
        </w:numPr>
        <w:spacing w:lineRule="exact" w:line="276" w:before="0" w:after="60"/>
        <w:jc w:val="left"/>
        <w:rPr/>
      </w:pPr>
      <w:r>
        <w:rPr>
          <w:rFonts w:eastAsia="Arial" w:cs="Arial"/>
          <w:sz w:val="22"/>
          <w:szCs w:val="22"/>
        </w:rPr>
        <w:t>Statistisches Landesamt BW – Verfügbares Einkommen der privaten Haushalte 2015–2022 (Statistischer Bericht 416322001) – https://www.statistik-bw.de/fileadmin/user_upload/Service/Veroeff/Statistische_Berichte/416322001.pdf (29.01.2025)</w:t>
      </w:r>
    </w:p>
    <w:p>
      <w:pPr>
        <w:pStyle w:val="ListParagraph"/>
        <w:numPr>
          <w:ilvl w:val="0"/>
          <w:numId w:val="1"/>
        </w:numPr>
        <w:spacing w:lineRule="exact" w:line="276" w:before="0" w:after="60"/>
        <w:jc w:val="left"/>
        <w:rPr/>
      </w:pPr>
      <w:r>
        <w:rPr>
          <w:rFonts w:eastAsia="Arial" w:cs="Arial"/>
          <w:sz w:val="22"/>
          <w:szCs w:val="22"/>
        </w:rPr>
        <w:t>Statistisches Landesamt BW – Verfügbares Einkommen der privaten Haushalte in den Stadt- und Landkreisen 2015–2022 (Statistischer Bericht 416322001) – https://www.statistik-bw.de/fileadmin/user_upload/Service/Veroeff/Statistische_Berichte/416322001.pdf (29.01.2025)</w:t>
      </w:r>
    </w:p>
    <w:p>
      <w:pPr>
        <w:pStyle w:val="ListParagraph"/>
        <w:numPr>
          <w:ilvl w:val="0"/>
          <w:numId w:val="1"/>
        </w:numPr>
        <w:spacing w:lineRule="exact" w:line="276" w:before="0" w:after="60"/>
        <w:jc w:val="left"/>
        <w:rPr/>
      </w:pPr>
      <w:r>
        <w:rPr>
          <w:rFonts w:eastAsia="Arial" w:cs="Arial"/>
          <w:sz w:val="22"/>
          <w:szCs w:val="22"/>
        </w:rPr>
        <w:t>Steuerberater Beck – GmbH Steuerberater Kosten 2026 – https://www.steuerberater-beck.de/gmbh-steuerberater-kosten/</w:t>
      </w:r>
    </w:p>
    <w:p>
      <w:pPr>
        <w:pStyle w:val="ListParagraph"/>
        <w:numPr>
          <w:ilvl w:val="0"/>
          <w:numId w:val="1"/>
        </w:numPr>
        <w:spacing w:lineRule="exact" w:line="276" w:before="0" w:after="60"/>
        <w:jc w:val="left"/>
        <w:rPr/>
      </w:pPr>
      <w:r>
        <w:rPr>
          <w:rFonts w:eastAsia="Arial" w:cs="Arial"/>
          <w:sz w:val="22"/>
          <w:szCs w:val="22"/>
        </w:rPr>
        <w:t>Steuerberater Beck – GmbH Steuerberater Kosten 2026 (Buchhaltung 600–1.200 €/Monat, Jahresabschluss 3.500–7.000 €) – https://www.steuerberater-beck.de/gmbh-steuerberater-kosten/ (2026)</w:t>
      </w:r>
    </w:p>
    <w:p>
      <w:pPr>
        <w:pStyle w:val="ListParagraph"/>
        <w:numPr>
          <w:ilvl w:val="0"/>
          <w:numId w:val="1"/>
        </w:numPr>
        <w:spacing w:lineRule="exact" w:line="276" w:before="0" w:after="60"/>
        <w:jc w:val="left"/>
        <w:rPr/>
      </w:pPr>
      <w:r>
        <w:rPr>
          <w:rFonts w:eastAsia="Arial" w:cs="Arial"/>
          <w:sz w:val="22"/>
          <w:szCs w:val="22"/>
        </w:rPr>
        <w:t>Stuttgarter Zeitung – Rolls-Royce Power Systems meldet Rekordzahlen (6.300 Beschäftigte FN, drittes Werk Kluftern im Bau) – https://www.stuttgarter-zeitung.de/wirtschaft/rolls-royce-power-systems-eine-milliarde-gewinn-motorenbauer-aus-friedrichshafen-vermeldet-rekordzahlen-78924192.html (01.03.2026)</w:t>
      </w:r>
    </w:p>
    <w:p>
      <w:pPr>
        <w:pStyle w:val="ListParagraph"/>
        <w:numPr>
          <w:ilvl w:val="0"/>
          <w:numId w:val="1"/>
        </w:numPr>
        <w:spacing w:lineRule="exact" w:line="276" w:before="0" w:after="60"/>
        <w:jc w:val="left"/>
        <w:rPr/>
      </w:pPr>
      <w:r>
        <w:rPr>
          <w:rFonts w:eastAsia="Arial" w:cs="Arial"/>
          <w:sz w:val="22"/>
          <w:szCs w:val="22"/>
        </w:rPr>
        <w:t>Stuttgarter Zeitung – Rolls-Royce Power Systems vermeldet Rekordzahlen (6.300 Beschäftigte in Friedrichshafen, +500 Einstellungen 2026) – https://www.stuttgarter-zeitung.de/wirtschaft/rolls-royce-power-systems-eine-milliarde-gewinn-motorenbauer-aus-friedrichshafen-vermeldet-rekordzahlen-78924192.html (01.03.2026)</w:t>
      </w:r>
    </w:p>
    <w:p>
      <w:pPr>
        <w:pStyle w:val="ListParagraph"/>
        <w:numPr>
          <w:ilvl w:val="0"/>
          <w:numId w:val="1"/>
        </w:numPr>
        <w:spacing w:lineRule="exact" w:line="276" w:before="0" w:after="60"/>
        <w:jc w:val="left"/>
        <w:rPr/>
      </w:pPr>
      <w:r>
        <w:rPr>
          <w:rFonts w:eastAsia="Arial" w:cs="Arial"/>
          <w:sz w:val="22"/>
          <w:szCs w:val="22"/>
        </w:rPr>
        <w:t>Telju – Leasingkonditionen Fitnessgeräte (25.08.2026); Atletica – Leasing vs. Kauf; Kraftathlet – Leasing/Mietkauf; abcfinance und GRENKE – Fitnessgeräte-Leasing</w:t>
      </w:r>
    </w:p>
    <w:p>
      <w:pPr>
        <w:pStyle w:val="ListParagraph"/>
        <w:numPr>
          <w:ilvl w:val="0"/>
          <w:numId w:val="1"/>
        </w:numPr>
        <w:spacing w:lineRule="exact" w:line="276" w:before="0" w:after="60"/>
        <w:jc w:val="left"/>
        <w:rPr/>
      </w:pPr>
      <w:r>
        <w:rPr>
          <w:rFonts w:eastAsia="Arial" w:cs="Arial"/>
          <w:sz w:val="22"/>
          <w:szCs w:val="22"/>
        </w:rPr>
        <w:t>Trinkwasserverordnung (TrinkwV) § 31 Untersuchungspflichten Legionellen; Infektionsschutzgesetz (IfSG) § 37</w:t>
      </w:r>
    </w:p>
    <w:p>
      <w:pPr>
        <w:pStyle w:val="ListParagraph"/>
        <w:numPr>
          <w:ilvl w:val="0"/>
          <w:numId w:val="1"/>
        </w:numPr>
        <w:spacing w:lineRule="exact" w:line="276" w:before="0" w:after="60"/>
        <w:jc w:val="left"/>
        <w:rPr/>
      </w:pPr>
      <w:r>
        <w:rPr>
          <w:rFonts w:eastAsia="Arial" w:cs="Arial"/>
          <w:sz w:val="22"/>
          <w:szCs w:val="22"/>
        </w:rPr>
        <w:t>Virtuagym – Fitnessstudio eröffnen Kosten 2026 – https://business.virtuagym.com/de/blog/fitnessstudio-eroeffnen-kosten/ (21.05.2026)</w:t>
      </w:r>
    </w:p>
    <w:p>
      <w:pPr>
        <w:pStyle w:val="ListParagraph"/>
        <w:numPr>
          <w:ilvl w:val="0"/>
          <w:numId w:val="1"/>
        </w:numPr>
        <w:spacing w:lineRule="exact" w:line="276" w:before="0" w:after="60"/>
        <w:jc w:val="left"/>
        <w:rPr/>
      </w:pPr>
      <w:r>
        <w:rPr>
          <w:rFonts w:eastAsia="Arial" w:cs="Arial"/>
          <w:sz w:val="22"/>
          <w:szCs w:val="22"/>
        </w:rPr>
        <w:t>Virtuagym – Fitnessstudio eröffnen: Kosten im Überblick 2026 (Marketing 500–2.000 €/Monat) – https://business.virtuagym.com/de/blog/fitnessstudio-eroeffnen-kosten/ (21.05.2026)</w:t>
      </w:r>
    </w:p>
    <w:p>
      <w:pPr>
        <w:pStyle w:val="ListParagraph"/>
        <w:numPr>
          <w:ilvl w:val="0"/>
          <w:numId w:val="1"/>
        </w:numPr>
        <w:spacing w:lineRule="exact" w:line="276" w:before="0" w:after="60"/>
        <w:jc w:val="left"/>
        <w:rPr/>
      </w:pPr>
      <w:r>
        <w:rPr>
          <w:rFonts w:eastAsia="Arial" w:cs="Arial"/>
          <w:sz w:val="22"/>
          <w:szCs w:val="22"/>
        </w:rPr>
        <w:t>Virtuagym – Fitnessstudio eröffnen: Kosten im Überblick 2026 (Wartung 200–500 €, Versicherung 300–800 €/Monat) – https://business.virtuagym.com/de/blog/fitnessstudio-eroeffnen-kosten/ (21.05.2026)</w:t>
      </w:r>
    </w:p>
    <w:p>
      <w:pPr>
        <w:pStyle w:val="ListParagraph"/>
        <w:numPr>
          <w:ilvl w:val="0"/>
          <w:numId w:val="1"/>
        </w:numPr>
        <w:spacing w:lineRule="exact" w:line="276" w:before="0" w:after="60"/>
        <w:jc w:val="left"/>
        <w:rPr/>
      </w:pPr>
      <w:r>
        <w:rPr>
          <w:rFonts w:eastAsia="Arial" w:cs="Arial"/>
          <w:sz w:val="22"/>
          <w:szCs w:val="22"/>
        </w:rPr>
        <w:t>Wettbewerber-Websites Bodensee und Region Stuttgart (ai-fitness.de, mcshape.com, happy-fit-studios.de, fitnessbunker.de, gym-24.de, jonny-m.de, sportwelt-leonberg.de, urbanhealth-club.com, fitnessfirst.de, fitnessexpress-clubs.de, xtrafit.de, clever-fit.com u. a.) – Stand 09/2026 (Rechercheprotokoll (Anhang I))</w:t>
      </w:r>
    </w:p>
    <w:p>
      <w:pPr>
        <w:pStyle w:val="ListParagraph"/>
        <w:numPr>
          <w:ilvl w:val="0"/>
          <w:numId w:val="1"/>
        </w:numPr>
        <w:spacing w:lineRule="exact" w:line="276" w:before="0" w:after="60"/>
        <w:jc w:val="left"/>
        <w:rPr/>
      </w:pPr>
      <w:r>
        <w:rPr>
          <w:rFonts w:eastAsia="Arial" w:cs="Arial"/>
          <w:sz w:val="22"/>
          <w:szCs w:val="22"/>
        </w:rPr>
        <w:t>Wettbewerber-Websites Bodensee und Region Stuttgart (Rechercheprotokoll (Anhang I), Stand 09/2026)</w:t>
      </w:r>
    </w:p>
    <w:p>
      <w:pPr>
        <w:pStyle w:val="ListParagraph"/>
        <w:numPr>
          <w:ilvl w:val="0"/>
          <w:numId w:val="1"/>
        </w:numPr>
        <w:spacing w:lineRule="exact" w:line="276" w:before="0" w:after="60"/>
        <w:jc w:val="left"/>
        <w:rPr/>
      </w:pPr>
      <w:r>
        <w:rPr>
          <w:rFonts w:eastAsia="Arial" w:cs="Arial"/>
          <w:sz w:val="22"/>
          <w:szCs w:val="22"/>
        </w:rPr>
        <w:t>WFB Bodenseekreis – Standortdaten – https://www.wf-bodenseekreis.de/standort/standortdaten/ (2025/2026)</w:t>
      </w:r>
    </w:p>
    <w:p>
      <w:pPr>
        <w:pStyle w:val="ListParagraph"/>
        <w:numPr>
          <w:ilvl w:val="0"/>
          <w:numId w:val="1"/>
        </w:numPr>
        <w:spacing w:lineRule="exact" w:line="276" w:before="0" w:after="60"/>
        <w:jc w:val="left"/>
        <w:rPr/>
      </w:pPr>
      <w:r>
        <w:rPr>
          <w:rFonts w:eastAsia="Arial" w:cs="Arial"/>
          <w:sz w:val="22"/>
          <w:szCs w:val="22"/>
        </w:rPr>
        <w:t>WFB Bodenseekreis – Standortdaten (Einwohner, Beschäftigte, Pendler, Arbeitslosenquote) – https://www.wf-bodenseekreis.de/standort/standortdaten/ (2025/2026)</w:t>
      </w:r>
    </w:p>
    <w:p>
      <w:pPr>
        <w:pStyle w:val="ListParagraph"/>
        <w:numPr>
          <w:ilvl w:val="0"/>
          <w:numId w:val="1"/>
        </w:numPr>
        <w:spacing w:lineRule="exact" w:line="276" w:before="0" w:after="60"/>
        <w:jc w:val="left"/>
        <w:rPr/>
      </w:pPr>
      <w:r>
        <w:rPr>
          <w:rFonts w:eastAsia="Arial" w:cs="Arial"/>
          <w:sz w:val="22"/>
          <w:szCs w:val="22"/>
        </w:rPr>
        <w:t>WHK Controlling – Lastschrift Kosten 2026 – https://www.whk-controlling.de/wissen/lastschrift-kosten</w:t>
      </w:r>
    </w:p>
    <w:p>
      <w:pPr>
        <w:pStyle w:val="ListParagraph"/>
        <w:numPr>
          <w:ilvl w:val="0"/>
          <w:numId w:val="1"/>
        </w:numPr>
        <w:spacing w:lineRule="exact" w:line="276" w:before="0" w:after="60"/>
        <w:jc w:val="left"/>
        <w:rPr/>
      </w:pPr>
      <w:r>
        <w:rPr>
          <w:rFonts w:eastAsia="Arial" w:cs="Arial"/>
          <w:sz w:val="22"/>
          <w:szCs w:val="22"/>
        </w:rPr>
        <w:t>WHK Controlling – Lastschrift Kosten 2026 (0,08–0,35 € je Buchung, Rücklastschrift bis 10+ €) – https://www.whk-controlling.de/wissen/lastschrift-kosten (2026)</w:t>
      </w:r>
    </w:p>
    <w:p>
      <w:pPr>
        <w:pStyle w:val="ListParagraph"/>
        <w:numPr>
          <w:ilvl w:val="0"/>
          <w:numId w:val="1"/>
        </w:numPr>
        <w:spacing w:lineRule="exact" w:line="276" w:before="0" w:after="60"/>
        <w:jc w:val="left"/>
        <w:rPr/>
      </w:pPr>
      <w:r>
        <w:rPr>
          <w:rFonts w:eastAsia="Arial" w:cs="Arial"/>
          <w:sz w:val="22"/>
          <w:szCs w:val="22"/>
        </w:rPr>
        <w:t>Wirtschaftsförderung Sindelfingen – Zahlen, Daten, Fakten – https://sindelfingen.org/standort-sindelfingen/zahlen-daten-fakten/ (2025)</w:t>
      </w:r>
    </w:p>
    <w:sectPr>
      <w:headerReference w:type="default" r:id="rId26"/>
      <w:headerReference w:type="first" r:id="rId27"/>
      <w:footerReference w:type="default" r:id="rId28"/>
      <w:footerReference w:type="first" r:id="rId29"/>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A5A5A"/>
        <w:sz w:val="16"/>
        <w:szCs w:val="16"/>
      </w:rPr>
      <w:t xml:space="preserve">Seite </w:t>
    </w:r>
    <w:r>
      <w:rPr/>
      <w:fldChar w:fldCharType="begin"/>
    </w:r>
    <w:r>
      <w:rPr/>
      <w:instrText xml:space="preserve"> PAGE </w:instrText>
    </w:r>
    <w:r>
      <w:rPr/>
      <w:fldChar w:fldCharType="separate"/>
    </w:r>
    <w:r>
      <w:rPr/>
      <w:t>114</w:t>
    </w:r>
    <w:r>
      <w:rPr/>
      <w:fldChar w:fldCharType="end"/>
    </w:r>
    <w:r>
      <w:rPr>
        <w:rFonts w:eastAsia="Arial" w:cs="Arial"/>
        <w:color w:val="5A5A5A"/>
        <w:sz w:val="16"/>
        <w:szCs w:val="16"/>
      </w:rPr>
      <w:t xml:space="preserve"> von </w:t>
    </w:r>
    <w:r>
      <w:rPr/>
      <w:fldChar w:fldCharType="begin"/>
    </w:r>
    <w:r>
      <w:rPr/>
      <w:instrText xml:space="preserve"> NUMPAGES </w:instrText>
    </w:r>
    <w:r>
      <w:rPr/>
      <w:fldChar w:fldCharType="separate"/>
    </w:r>
    <w:r>
      <w:rPr/>
      <w:t>142</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A5A5A"/>
        <w:sz w:val="16"/>
        <w:szCs w:val="16"/>
      </w:rPr>
      <w:t xml:space="preserve">Seite </w:t>
    </w:r>
    <w:r>
      <w:rPr/>
      <w:fldChar w:fldCharType="begin"/>
    </w:r>
    <w:r>
      <w:rPr/>
      <w:instrText xml:space="preserve"> PAGE </w:instrText>
    </w:r>
    <w:r>
      <w:rPr/>
      <w:fldChar w:fldCharType="separate"/>
    </w:r>
    <w:r>
      <w:rPr/>
      <w:t>117</w:t>
    </w:r>
    <w:r>
      <w:rPr/>
      <w:fldChar w:fldCharType="end"/>
    </w:r>
    <w:r>
      <w:rPr>
        <w:rFonts w:eastAsia="Arial" w:cs="Arial"/>
        <w:color w:val="5A5A5A"/>
        <w:sz w:val="16"/>
        <w:szCs w:val="16"/>
      </w:rPr>
      <w:t xml:space="preserve"> von </w:t>
    </w:r>
    <w:r>
      <w:rPr/>
      <w:fldChar w:fldCharType="begin"/>
    </w:r>
    <w:r>
      <w:rPr/>
      <w:instrText xml:space="preserve"> NUMPAGES </w:instrText>
    </w:r>
    <w:r>
      <w:rPr/>
      <w:fldChar w:fldCharType="separate"/>
    </w:r>
    <w:r>
      <w:rPr/>
      <w:t>142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A5A5A"/>
        <w:sz w:val="16"/>
        <w:szCs w:val="16"/>
      </w:rPr>
      <w:t xml:space="preserve">Seite </w:t>
    </w:r>
    <w:r>
      <w:rPr/>
      <w:fldChar w:fldCharType="begin"/>
    </w:r>
    <w:r>
      <w:rPr/>
      <w:instrText xml:space="preserve"> PAGE </w:instrText>
    </w:r>
    <w:r>
      <w:rPr/>
      <w:fldChar w:fldCharType="separate"/>
    </w:r>
    <w:r>
      <w:rPr/>
      <w:t>121</w:t>
    </w:r>
    <w:r>
      <w:rPr/>
      <w:fldChar w:fldCharType="end"/>
    </w:r>
    <w:r>
      <w:rPr>
        <w:rFonts w:eastAsia="Arial" w:cs="Arial"/>
        <w:color w:val="5A5A5A"/>
        <w:sz w:val="16"/>
        <w:szCs w:val="16"/>
      </w:rPr>
      <w:t xml:space="preserve"> von </w:t>
    </w:r>
    <w:r>
      <w:rPr/>
      <w:fldChar w:fldCharType="begin"/>
    </w:r>
    <w:r>
      <w:rPr/>
      <w:instrText xml:space="preserve"> NUMPAGES </w:instrText>
    </w:r>
    <w:r>
      <w:rPr/>
      <w:fldChar w:fldCharType="separate"/>
    </w:r>
    <w:r>
      <w:rPr/>
      <w:t>142</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A5A5A"/>
        <w:sz w:val="16"/>
        <w:szCs w:val="16"/>
      </w:rPr>
      <w:t xml:space="preserve">Seite </w:t>
    </w:r>
    <w:r>
      <w:rPr/>
      <w:fldChar w:fldCharType="begin"/>
    </w:r>
    <w:r>
      <w:rPr/>
      <w:instrText xml:space="preserve"> PAGE </w:instrText>
    </w:r>
    <w:r>
      <w:rPr/>
      <w:fldChar w:fldCharType="separate"/>
    </w:r>
    <w:r>
      <w:rPr/>
      <w:t>122</w:t>
    </w:r>
    <w:r>
      <w:rPr/>
      <w:fldChar w:fldCharType="end"/>
    </w:r>
    <w:r>
      <w:rPr>
        <w:rFonts w:eastAsia="Arial" w:cs="Arial"/>
        <w:color w:val="5A5A5A"/>
        <w:sz w:val="16"/>
        <w:szCs w:val="16"/>
      </w:rPr>
      <w:t xml:space="preserve"> von </w:t>
    </w:r>
    <w:r>
      <w:rPr/>
      <w:fldChar w:fldCharType="begin"/>
    </w:r>
    <w:r>
      <w:rPr/>
      <w:instrText xml:space="preserve"> NUMPAGES </w:instrText>
    </w:r>
    <w:r>
      <w:rPr/>
      <w:fldChar w:fldCharType="separate"/>
    </w:r>
    <w:r>
      <w:rPr/>
      <w:t>142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A5A5A"/>
        <w:sz w:val="16"/>
        <w:szCs w:val="16"/>
      </w:rPr>
      <w:t xml:space="preserve">Seite </w:t>
    </w:r>
    <w:r>
      <w:rPr/>
      <w:fldChar w:fldCharType="begin"/>
    </w:r>
    <w:r>
      <w:rPr/>
      <w:instrText xml:space="preserve"> PAGE </w:instrText>
    </w:r>
    <w:r>
      <w:rPr/>
      <w:fldChar w:fldCharType="separate"/>
    </w:r>
    <w:r>
      <w:rPr/>
      <w:t>142</w:t>
    </w:r>
    <w:r>
      <w:rPr/>
      <w:fldChar w:fldCharType="end"/>
    </w:r>
    <w:r>
      <w:rPr>
        <w:rFonts w:eastAsia="Arial" w:cs="Arial"/>
        <w:color w:val="5A5A5A"/>
        <w:sz w:val="16"/>
        <w:szCs w:val="16"/>
      </w:rPr>
      <w:t xml:space="preserve"> von </w:t>
    </w:r>
    <w:r>
      <w:rPr/>
      <w:fldChar w:fldCharType="begin"/>
    </w:r>
    <w:r>
      <w:rPr/>
      <w:instrText xml:space="preserve"> NUMPAGES </w:instrText>
    </w:r>
    <w:r>
      <w:rPr/>
      <w:fldChar w:fldCharType="separate"/>
    </w:r>
    <w:r>
      <w:rPr/>
      <w:t>142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Arial" w:cs="Arial"/>
        <w:color w:val="5A5A5A"/>
        <w:sz w:val="16"/>
        <w:szCs w:val="16"/>
      </w:rPr>
      <w:t>Businessplan No.1 Fitness &amp; HYROX Studio – vertraulich</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Arial" w:cs="Arial"/>
        <w:color w:val="5A5A5A"/>
        <w:sz w:val="16"/>
        <w:szCs w:val="16"/>
      </w:rPr>
      <w:t>Businessplan No.1 Fitness &amp; HYROX Studio – vertraulich</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Arial" w:cs="Arial"/>
        <w:color w:val="5A5A5A"/>
        <w:sz w:val="16"/>
        <w:szCs w:val="16"/>
      </w:rPr>
      <w:t>Businessplan No.1 Fitness &amp; HYROX Studio – vertraulich</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Arial" w:cs="Arial"/>
        <w:color w:val="5A5A5A"/>
        <w:sz w:val="16"/>
        <w:szCs w:val="16"/>
      </w:rPr>
      <w:t>Businessplan No.1 Fitness &amp; HYROX Studio – vertraulich</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rFonts w:eastAsia="Arial" w:cs="Arial"/>
        <w:color w:val="5A5A5A"/>
        <w:sz w:val="16"/>
        <w:szCs w:val="16"/>
      </w:rPr>
      <w:t>Businessplan No.1 Fitness &amp; HYROX Studio – vertraulich</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80" w:hanging="24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3A5F"/>
      <w:sz w:val="32"/>
      <w:szCs w:val="32"/>
    </w:rPr>
  </w:style>
  <w:style w:type="paragraph" w:styleId="Heading2">
    <w:name w:val="Heading 2"/>
    <w:basedOn w:val="Heading"/>
    <w:qFormat/>
    <w:pPr>
      <w:spacing w:before="280" w:after="120"/>
      <w:outlineLvl w:val="1"/>
    </w:pPr>
    <w:rPr>
      <w:rFonts w:ascii="Arial" w:hAnsi="Arial" w:eastAsia="Arial" w:cs="Arial"/>
      <w:b/>
      <w:bCs/>
      <w:color w:val="1F3A5F"/>
      <w:sz w:val="26"/>
      <w:szCs w:val="26"/>
    </w:rPr>
  </w:style>
  <w:style w:type="paragraph" w:styleId="Heading3">
    <w:name w:val="Heading 3"/>
    <w:basedOn w:val="Heading"/>
    <w:qFormat/>
    <w:pPr>
      <w:spacing w:before="200" w:after="80"/>
      <w:outlineLvl w:val="2"/>
    </w:pPr>
    <w:rPr>
      <w:rFonts w:ascii="Arial" w:hAnsi="Arial" w:eastAsia="Arial" w:cs="Arial"/>
      <w:b/>
      <w:bCs/>
      <w:color w:val="00000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image" Target="media/image1.png"/><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header" Target="header8.xml"/><Relationship Id="rId27" Type="http://schemas.openxmlformats.org/officeDocument/2006/relationships/header" Target="header9.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142</Pages>
  <Words>52988</Words>
  <Characters>350563</Characters>
  <CharactersWithSpaces>395800</CharactersWithSpaces>
  <Paragraphs>7567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2026-09-27T17:04:53Z</dcterms:created>
  <dc:creator>[Vorname Nachname]</dc:creator>
  <dc:description>Businessplan für die Bank</dc:description>
  <dc:language>en-US</dc:language>
  <cp:lastModifiedBy/>
  <dcterms:modified xsi:type="dcterms:W3CDTF">2026-09-27T17:05:02Z</dcterms:modified>
  <cp:revision>2</cp:revision>
  <dc:subject/>
  <dc:title>Businessplan No.1 Fitness &amp; HYROX Studio</dc:title>
</cp:coreProperties>
</file>