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F8DC" w14:textId="77777777" w:rsidR="003402C5" w:rsidRDefault="00000000">
      <w:pPr>
        <w:spacing w:after="60"/>
      </w:pPr>
      <w:r>
        <w:rPr>
          <w:b/>
          <w:bCs/>
          <w:color w:val="1F3864"/>
          <w:sz w:val="38"/>
          <w:szCs w:val="38"/>
        </w:rPr>
        <w:t>Manual del programador</w:t>
      </w:r>
    </w:p>
    <w:p w14:paraId="2A6CCC64" w14:textId="77777777" w:rsidR="003402C5" w:rsidRDefault="00000000">
      <w:pPr>
        <w:pBdr>
          <w:bottom w:val="single" w:sz="8" w:space="6" w:color="1F3864"/>
        </w:pBdr>
        <w:spacing w:after="140" w:line="259" w:lineRule="auto"/>
      </w:pPr>
      <w:r>
        <w:rPr>
          <w:b w:val="0"/>
          <w:color w:val="000000"/>
          <w:sz w:val="22"/>
        </w:rPr>
        <w:t>EvoRuta · Simulador de reparto comunitario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402C5" w14:paraId="03CC54EE" w14:textId="77777777">
        <w:tblPrEx>
          <w:tblCellMar>
            <w:top w:w="0" w:type="dxa"/>
            <w:bottom w:w="0" w:type="dxa"/>
          </w:tblCellMar>
        </w:tblPrEx>
        <w:trPr>
          <w:trHeight w:val="440"/>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70" w:type="dxa"/>
              <w:left w:w="100" w:type="dxa"/>
              <w:bottom w:w="70" w:type="dxa"/>
              <w:right w:w="100" w:type="dxa"/>
            </w:tcMar>
          </w:tcPr>
          <w:p w14:paraId="2AE9E236" w14:textId="77777777" w:rsidR="003402C5" w:rsidRDefault="00000000">
            <w:r>
              <w:rPr>
                <w:b/>
                <w:bCs/>
                <w:color w:val="222222"/>
                <w:sz w:val="20"/>
                <w:szCs w:val="20"/>
              </w:rPr>
              <w:t>Nombre del proyecto</w:t>
            </w:r>
          </w:p>
        </w:tc>
        <w:tc>
          <w:tcPr>
            <w:tcW w:w="6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pPr>
              <w:spacing w:after="60"/>
            </w:pPr>
            <w:r>
              <w:rPr>
                <w:color w:val="000000"/>
                <w:sz w:val="20"/>
              </w:rPr>
              <w:t>EvoRuta</w:t>
            </w:r>
          </w:p>
        </w:tc>
      </w:tr>
      <w:tr w:rsidR="003402C5" w14:paraId="2CED0FBE" w14:textId="77777777">
        <w:tblPrEx>
          <w:tblCellMar>
            <w:top w:w="0" w:type="dxa"/>
            <w:bottom w:w="0" w:type="dxa"/>
          </w:tblCellMar>
        </w:tblPrEx>
        <w:trPr>
          <w:trHeight w:val="440"/>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70" w:type="dxa"/>
              <w:left w:w="100" w:type="dxa"/>
              <w:bottom w:w="70" w:type="dxa"/>
              <w:right w:w="100" w:type="dxa"/>
            </w:tcMar>
          </w:tcPr>
          <w:p w14:paraId="50E2D340" w14:textId="77777777" w:rsidR="003402C5" w:rsidRDefault="00000000">
            <w:r>
              <w:rPr>
                <w:b/>
                <w:bCs/>
                <w:color w:val="222222"/>
                <w:sz w:val="20"/>
                <w:szCs w:val="20"/>
              </w:rPr>
              <w:t>Equipo</w:t>
            </w:r>
          </w:p>
        </w:tc>
        <w:tc>
          <w:tcPr>
            <w:tcW w:w="6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pPr>
              <w:spacing w:after="60"/>
            </w:pPr>
            <w:r>
              <w:rPr>
                <w:color w:val="000000"/>
                <w:sz w:val="20"/>
              </w:rPr>
              <w:t>Equipo EvoRuta · Grupo 7A</w:t>
            </w:r>
          </w:p>
        </w:tc>
      </w:tr>
      <w:tr w:rsidR="003402C5" w14:paraId="70282687" w14:textId="77777777">
        <w:tblPrEx>
          <w:tblCellMar>
            <w:top w:w="0" w:type="dxa"/>
            <w:bottom w:w="0" w:type="dxa"/>
          </w:tblCellMar>
        </w:tblPrEx>
        <w:trPr>
          <w:trHeight w:val="440"/>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70" w:type="dxa"/>
              <w:left w:w="100" w:type="dxa"/>
              <w:bottom w:w="70" w:type="dxa"/>
              <w:right w:w="100" w:type="dxa"/>
            </w:tcMar>
          </w:tcPr>
          <w:p w14:paraId="1D81BD8C" w14:textId="77777777" w:rsidR="003402C5" w:rsidRDefault="00000000">
            <w:r>
              <w:rPr>
                <w:b/>
                <w:bCs/>
                <w:color w:val="222222"/>
                <w:sz w:val="20"/>
                <w:szCs w:val="20"/>
              </w:rPr>
              <w:t>Integrantes</w:t>
            </w:r>
          </w:p>
        </w:tc>
        <w:tc>
          <w:tcPr>
            <w:tcW w:w="6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pPr>
              <w:spacing w:after="60"/>
            </w:pPr>
            <w:r>
              <w:rPr>
                <w:color w:val="000000"/>
                <w:sz w:val="20"/>
              </w:rPr>
              <w:t>OSBALDO GONZALEZ CONTRERAS</w:t>
              <w:br/>
              <w:t>JOSUÉ RUBÉN GONZÁLEZ MARTÍNEZ</w:t>
              <w:br/>
              <w:t>CRISTIAN MIGUEL LEZAMA HERNÁNDEZ</w:t>
              <w:br/>
              <w:t>CARLOS TIMOTEO MURILLO MARTINEZ</w:t>
              <w:br/>
              <w:t>JOSUÉ IVÁN GINEZ PÉREZ</w:t>
            </w:r>
          </w:p>
        </w:tc>
      </w:tr>
      <w:tr w:rsidR="003402C5" w14:paraId="30B04BDC" w14:textId="77777777">
        <w:tblPrEx>
          <w:tblCellMar>
            <w:top w:w="0" w:type="dxa"/>
            <w:bottom w:w="0" w:type="dxa"/>
          </w:tblCellMar>
        </w:tblPrEx>
        <w:trPr>
          <w:trHeight w:val="440"/>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70" w:type="dxa"/>
              <w:left w:w="100" w:type="dxa"/>
              <w:bottom w:w="70" w:type="dxa"/>
              <w:right w:w="100" w:type="dxa"/>
            </w:tcMar>
          </w:tcPr>
          <w:p w14:paraId="4F5AFA69" w14:textId="77777777" w:rsidR="003402C5" w:rsidRDefault="00000000">
            <w:r>
              <w:rPr>
                <w:b/>
                <w:bCs/>
                <w:color w:val="222222"/>
                <w:sz w:val="20"/>
                <w:szCs w:val="20"/>
              </w:rPr>
              <w:t>Rama de IA</w:t>
            </w:r>
          </w:p>
        </w:tc>
        <w:tc>
          <w:tcPr>
            <w:tcW w:w="6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pPr>
              <w:spacing w:after="60"/>
            </w:pPr>
            <w:r>
              <w:rPr>
                <w:color w:val="000000"/>
                <w:sz w:val="20"/>
              </w:rPr>
              <w:t>Algoritmos evolutivos</w:t>
            </w:r>
          </w:p>
        </w:tc>
      </w:tr>
      <w:tr w:rsidR="003402C5" w14:paraId="7EC8E05E" w14:textId="77777777">
        <w:tblPrEx>
          <w:tblCellMar>
            <w:top w:w="0" w:type="dxa"/>
            <w:bottom w:w="0" w:type="dxa"/>
          </w:tblCellMar>
        </w:tblPrEx>
        <w:trPr>
          <w:trHeight w:val="440"/>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70" w:type="dxa"/>
              <w:left w:w="100" w:type="dxa"/>
              <w:bottom w:w="70" w:type="dxa"/>
              <w:right w:w="100" w:type="dxa"/>
            </w:tcMar>
          </w:tcPr>
          <w:p w14:paraId="765B0392" w14:textId="77777777" w:rsidR="003402C5" w:rsidRDefault="00000000">
            <w:r>
              <w:rPr>
                <w:b/>
                <w:bCs/>
                <w:color w:val="222222"/>
                <w:sz w:val="20"/>
                <w:szCs w:val="20"/>
              </w:rPr>
              <w:t>Fecha</w:t>
            </w:r>
          </w:p>
        </w:tc>
        <w:tc>
          <w:tcPr>
            <w:tcW w:w="6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pPr>
              <w:spacing w:after="60"/>
            </w:pPr>
            <w:r>
              <w:rPr>
                <w:color w:val="000000"/>
                <w:sz w:val="20"/>
              </w:rPr>
              <w:t>7 de octubre de 2026</w:t>
            </w:r>
          </w:p>
        </w:tc>
      </w:tr>
      <w:tr w:rsidR="003402C5" w14:paraId="77D40E38" w14:textId="77777777">
        <w:tblPrEx>
          <w:tblCellMar>
            <w:top w:w="0" w:type="dxa"/>
            <w:bottom w:w="0" w:type="dxa"/>
          </w:tblCellMar>
        </w:tblPrEx>
        <w:trPr>
          <w:trHeight w:val="440"/>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70" w:type="dxa"/>
              <w:left w:w="100" w:type="dxa"/>
              <w:bottom w:w="70" w:type="dxa"/>
              <w:right w:w="100" w:type="dxa"/>
            </w:tcMar>
          </w:tcPr>
          <w:p w14:paraId="7B548376" w14:textId="77777777" w:rsidR="003402C5" w:rsidRDefault="00000000">
            <w:r>
              <w:rPr>
                <w:b/>
                <w:bCs/>
                <w:color w:val="222222"/>
                <w:sz w:val="20"/>
                <w:szCs w:val="20"/>
              </w:rPr>
              <w:t>Versión del documento</w:t>
            </w:r>
          </w:p>
        </w:tc>
        <w:tc>
          <w:tcPr>
            <w:tcW w:w="6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pPr>
              <w:spacing w:after="60"/>
            </w:pPr>
            <w:r>
              <w:rPr>
                <w:color w:val="000000"/>
                <w:sz w:val="20"/>
              </w:rPr>
              <w:t>1.0</w:t>
            </w:r>
          </w:p>
        </w:tc>
      </w:tr>
    </w:tbl>
    <w:p w14:paraId="30FC47FE" w14:textId="77777777" w:rsidR="003402C5" w:rsidRDefault="00000000">
      <w:pPr>
        <w:spacing w:after="140" w:line="259" w:lineRule="auto" w:before="200"/>
      </w:pPr>
      <w:r>
        <w:rPr>
          <w:b w:val="0"/>
          <w:color w:val="000000"/>
          <w:sz w:val="22"/>
        </w:rPr>
        <w:t>Este manual describe la organización del código, las estructuras de datos y el flujo de ejecución de EvoRuta. Está dirigido a quien necesite comprender, mantener o ampliar el simulador sin perder su funcionamiento local y sin conexión.</w:t>
      </w:r>
    </w:p>
    <w:p w14:paraId="5962A3A7" w14:textId="77777777" w:rsidR="003402C5" w:rsidRDefault="00000000">
      <w:pPr>
        <w:pStyle w:val="Ttulo1"/>
        <w:keepNext/>
        <w:pageBreakBefore/>
      </w:pPr>
      <w:r>
        <w:t>1. Arquitectura general</w:t>
      </w:r>
    </w:p>
    <w:p w14:paraId="382D2957" w14:textId="77777777" w:rsidR="003402C5" w:rsidRDefault="00000000">
      <w:pPr>
        <w:spacing w:after="140" w:line="259" w:lineRule="auto"/>
      </w:pPr>
      <w:r>
        <w:rPr>
          <w:b w:val="0"/>
          <w:color w:val="000000"/>
          <w:sz w:val="22"/>
        </w:rPr>
        <w:t>EvoRuta es una aplicación de una sola página con HTML5, CSS3, JavaScript puro y Canvas 2D. Todo el procesamiento ocurre en el navegador; no hay servidor, base de datos, llamadas a APIs ni descarga de recursos.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2C5" w14:paraId="550B6DEC" w14:textId="77777777">
        <w:tblPrEx>
          <w:tblCellMar>
            <w:top w:w="0" w:type="dxa"/>
            <w:bottom w:w="0" w:type="dxa"/>
          </w:tblCellMar>
        </w:tblPrEx>
        <w:trPr/>
        <w:tc>
          <w:tcPr>
            <w:tcW w:w="9360" w:type="dxa"/>
            <w:tcBorders>
              <w:top w:val="dashed" w:sz="4" w:space="0" w:color="BFBFBF"/>
              <w:left w:val="dashed" w:sz="4" w:space="0" w:color="BFBFBF"/>
              <w:bottom w:val="dashed" w:sz="4" w:space="0" w:color="BFBFBF"/>
              <w:right w:val="dashed" w:sz="4" w:space="0" w:color="BFBFBF"/>
            </w:tcBorders>
            <w:tcMar>
              <w:top w:w="70" w:type="dxa"/>
              <w:left w:w="100" w:type="dxa"/>
              <w:bottom w:w="70" w:type="dxa"/>
              <w:right w:w="100" w:type="dxa"/>
            </w:tcMar>
            <w:vAlign w:val="center"/>
          </w:tcPr>
          <w:p>
            <w:r/>
            <w:r>
              <w:drawing>
                <wp:inline xmlns:a="http://schemas.openxmlformats.org/drawingml/2006/main" xmlns:pic="http://schemas.openxmlformats.org/drawingml/2006/picture">
                  <wp:extent cx="5715000" cy="1371600"/>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715000" cy="1371600"/>
                          </a:xfrm>
                          <a:prstGeom prst="rect"/>
                        </pic:spPr>
                      </pic:pic>
                    </a:graphicData>
                  </a:graphic>
                </wp:inline>
              </w:drawing>
            </w:r>
          </w:p>
        </w:tc>
      </w:tr>
    </w:tbl>
    <w:p w14:paraId="2C6207A7" w14:textId="77777777" w:rsidR="003402C5" w:rsidRDefault="00000000">
      <w:pPr>
        <w:spacing w:after="140" w:line="259" w:lineRule="auto" w:before="160"/>
      </w:pPr>
      <w:r>
        <w:rPr>
          <w:b w:val="0"/>
          <w:color w:val="000000"/>
          <w:sz w:val="22"/>
        </w:rPr>
        <w:t>Entrada: un almacén, entre 8 y 30 destinos para ejecutar y los parámetros de población, generaciones y probabilidad de mutación. Los datos se crean desde el ejemplo o mediante edición del plano.</w:t>
      </w:r>
    </w:p>
    <w:p w14:paraId="47CC6417" w14:textId="77777777" w:rsidR="003402C5" w:rsidRDefault="00000000">
      <w:pPr>
        <w:spacing w:after="140" w:line="259" w:lineRule="auto"/>
      </w:pPr>
      <w:r>
        <w:rPr>
          <w:b w:val="0"/>
          <w:color w:val="000000"/>
          <w:sz w:val="22"/>
        </w:rPr>
        <w:t>Procesamiento: datos.js valida el escenario; rutas.js calcula las referencias; genetico.js evalúa y evoluciona permutaciones. simulacion.js coordina una generación por turno del navegador y conserva el estado de la ejecución.</w:t>
      </w:r>
    </w:p>
    <w:p w14:paraId="072898B5" w14:textId="77777777" w:rsidR="003402C5" w:rsidRDefault="00000000">
      <w:pPr>
        <w:spacing w:after="140" w:line="259" w:lineRule="auto"/>
      </w:pPr>
      <w:r>
        <w:rPr>
          <w:b w:val="0"/>
          <w:color w:val="000000"/>
          <w:sz w:val="22"/>
        </w:rPr>
        <w:t>Salida: tres rutas comparables, distancias con regreso al almacén, porcentajes de mejora, historial por generación, animación del carrito, ejemplo real de cruce y mutación y tabla de ejecuciones completas.</w:t>
      </w:r>
    </w:p>
    <w:p>
      <w:pPr>
        <w:pStyle w:val="Ttulo2"/>
      </w:pPr>
      <w:r>
        <w:t>1.1 Carga y comunicación</w:t>
      </w:r>
    </w:p>
    <w:p>
      <w:pPr>
        <w:spacing w:after="140" w:line="259" w:lineRule="auto"/>
      </w:pPr>
      <w:r>
        <w:rPr>
          <w:sz w:val="22"/>
        </w:rPr>
        <w:t>Los módulos se organizan como funciones autoejecutadas bajo el espacio global EvoRuta. index.html los carga con scripts clásicos y defer, en este orden: datos, rutas, genetico, dibujo, resultados, grafica, experimentos, simulacion, animacion, didactica e interaccion. No se utilizan import, fetch de archivos locales ni empaquetadores.</w:t>
      </w:r>
    </w:p>
    <w:p>
      <w:pPr>
        <w:pStyle w:val="Ttulo2"/>
      </w:pPr>
      <w:r>
        <w:t>1.2 Estado y ciclo de vida</w:t>
      </w:r>
    </w:p>
    <w:p>
      <w:pPr>
        <w:spacing w:after="140" w:line="259" w:lineRule="auto"/>
      </w:pPr>
      <w:r>
        <w:rPr>
          <w:sz w:val="22"/>
        </w:rPr>
        <w:t>El escenario reside en datos.js. resultados.js conserva las referencias y compara una representación JSON del escenario para detectar cambios. Una edición válida invalida resultados, cancela la animación y limpia experimentos; una edición rechazada no altera las referencias.</w:t>
      </w:r>
    </w:p>
    <w:p>
      <w:pPr>
        <w:spacing w:after="140" w:line="259" w:lineRule="auto"/>
      </w:pPr>
      <w:r>
        <w:rPr>
          <w:sz w:val="22"/>
        </w:rPr>
        <w:t>La simulación pasa por lista, ejecutando, pausada, terminada o error. Un temporizador de 30 ms agenda una generación; se cancela al pausar o reiniciar. La edición queda bloqueada mientras exista una ejecución, incluso al terminar. Reiniciar libera los controles y conserva las referencias y los experimentos completos.</w:t>
      </w:r>
    </w:p>
    <w:p w14:paraId="3B76FCC5" w14:textId="77777777" w:rsidR="003402C5" w:rsidRDefault="00000000">
      <w:pPr>
        <w:pStyle w:val="Ttulo1"/>
        <w:keepNext/>
        <w:pageBreakBefore/>
      </w:pPr>
      <w:r>
        <w:t>2. Descripción de módulos y funciones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12"/>
        <w:gridCol w:w="1872"/>
        <w:gridCol w:w="2664"/>
        <w:gridCol w:w="1656"/>
        <w:gridCol w:w="1656"/>
      </w:tblGrid>
      <w:tr w:rsidR="003402C5" w14:paraId="42953332" w14:textId="77777777">
        <w:tblPrEx>
          <w:tblCellMar>
            <w:top w:w="0" w:type="dxa"/>
            <w:bottom w:w="0" w:type="dxa"/>
          </w:tblCellMar>
        </w:tblPrEx>
        <w:trPr>
          <w:cantSplit/>
          <w:tblHeader/>
        </w:trPr>
        <w:tc>
          <w:tcPr>
            <w:tcW w:w="1512"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ECBE110" w14:textId="77777777" w:rsidR="003402C5" w:rsidRDefault="00000000">
            <w:r>
              <w:rPr>
                <w:b/>
                <w:bCs/>
                <w:color w:val="FFFFFF"/>
                <w:sz w:val="18"/>
                <w:szCs w:val="18"/>
              </w:rPr>
              <w:t>Módulo o archivo</w:t>
            </w:r>
          </w:p>
        </w:tc>
        <w:tc>
          <w:tcPr>
            <w:tcW w:w="1872"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4E86184D" w14:textId="77777777" w:rsidR="003402C5" w:rsidRDefault="00000000">
            <w:r>
              <w:rPr>
                <w:b/>
                <w:bCs/>
                <w:color w:val="FFFFFF"/>
                <w:sz w:val="18"/>
                <w:szCs w:val="18"/>
              </w:rPr>
              <w:t>Función o clase</w:t>
            </w:r>
          </w:p>
        </w:tc>
        <w:tc>
          <w:tcPr>
            <w:tcW w:w="2664"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095F149F" w14:textId="77777777" w:rsidR="003402C5" w:rsidRDefault="00000000">
            <w:r>
              <w:rPr>
                <w:b/>
                <w:bCs/>
                <w:color w:val="FFFFFF"/>
                <w:sz w:val="18"/>
                <w:szCs w:val="18"/>
              </w:rPr>
              <w:t>Descripción</w:t>
            </w:r>
          </w:p>
        </w:tc>
        <w:tc>
          <w:tcPr>
            <w:tcW w:w="165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1FA6D8A7" w14:textId="77777777" w:rsidR="003402C5" w:rsidRDefault="00000000">
            <w:r>
              <w:rPr>
                <w:b/>
                <w:bCs/>
                <w:color w:val="FFFFFF"/>
                <w:sz w:val="18"/>
                <w:szCs w:val="18"/>
              </w:rPr>
              <w:t>Entradas</w:t>
            </w:r>
          </w:p>
        </w:tc>
        <w:tc>
          <w:tcPr>
            <w:tcW w:w="165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ED23DAE" w14:textId="77777777" w:rsidR="003402C5" w:rsidRDefault="00000000">
            <w:r>
              <w:rPr>
                <w:b/>
                <w:bCs/>
                <w:color w:val="FFFFFF"/>
                <w:sz w:val="18"/>
                <w:szCs w:val="18"/>
              </w:rPr>
              <w:t>Salidas</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index.html</w:t>
              <w:br/>
              <w:t>css/styles.css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Scripts defer</w:t>
              <w:br/>
              <w:t>Reglas CSS</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Define la interfaz, IDs y diseño adaptable.</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Acciones y tamaño de pantalla.</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DOM y presentación.</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js/datos.js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agregar(), mover(), eliminar(), validar()</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Administra puntos; impide coincidencias tras redondear a un decimal.</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ID y coordenadas lógicas.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Punto o null; booleano; validación.</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js/rutas.js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validarRuta()</w:t>
              <w:br/>
              <w:t>distanciaTotal()</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Comprueba una visita por destino y suma salida y regreso.</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Ruta de IDs, almacén y destinos.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Booleano y distancia numérica.</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js/rutas.js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aleatoria()</w:t>
              <w:br/>
              <w:t>vecinoMasCercano()</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Genera las dos referencias sin modificar destinos.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Destinos; almacén para vecino; azar opcional.</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Arreglo de IDs.</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js/genetico.js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crearEjecucion()</w:t>
              <w:br/>
              <w:t>ejecutar()</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Crea el motor incremental o ejecuta todas las generaciones.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Escenario, referencia y parámetros.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Controlador incremental o resultado final.</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js/genetico.js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torneo()</w:t>
              <w:br/>
              <w:t>cruceOX()</w:t>
              <w:br/>
              <w:t>mutarIntercambio()</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Selecciona padres y genera descendencia válida.</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Población evaluada o rutas; azar opcional.</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Individuo, dos hijos o ruta mutada.</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js/dibujo.js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dibujar()</w:t>
              <w:br/>
              <w:t>aEscenario()</w:t>
              <w:br/>
              <w:t>buscarPunto()</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Dibuja casas, almacén y carrito; convierte coordenadas y detecta puntos.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Estado, rutas y píxeles CSS.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Canvas; coordenada o punto.</w:t>
            </w:r>
          </w:p>
        </w:tc>
      </w:tr>
    </w:tbl>
    <w:p>
      <w:pPr>
        <w:pStyle w:val="Ttulo2"/>
        <w:pageBreakBefore/>
      </w:pPr>
      <w:r>
        <w:t>2.1 Módulos de interacción y presentación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12"/>
        <w:gridCol w:w="1872"/>
        <w:gridCol w:w="2664"/>
        <w:gridCol w:w="1656"/>
        <w:gridCol w:w="1656"/>
      </w:tblGrid>
      <w:tr w:rsidR="003402C5" w14:paraId="42953332" w14:textId="77777777">
        <w:tblPrEx>
          <w:tblCellMar>
            <w:top w:w="0" w:type="dxa"/>
            <w:bottom w:w="0" w:type="dxa"/>
          </w:tblCellMar>
        </w:tblPrEx>
        <w:trPr>
          <w:cantSplit/>
          <w:tblHeader/>
        </w:trPr>
        <w:tc>
          <w:tcPr>
            <w:tcW w:w="1512"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ECBE110" w14:textId="77777777" w:rsidR="003402C5" w:rsidRDefault="00000000">
            <w:r>
              <w:rPr>
                <w:b/>
                <w:bCs/>
                <w:color w:val="FFFFFF"/>
                <w:sz w:val="18"/>
                <w:szCs w:val="18"/>
              </w:rPr>
              <w:t>Módulo o archivo</w:t>
            </w:r>
          </w:p>
        </w:tc>
        <w:tc>
          <w:tcPr>
            <w:tcW w:w="1872"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4E86184D" w14:textId="77777777" w:rsidR="003402C5" w:rsidRDefault="00000000">
            <w:r>
              <w:rPr>
                <w:b/>
                <w:bCs/>
                <w:color w:val="FFFFFF"/>
                <w:sz w:val="18"/>
                <w:szCs w:val="18"/>
              </w:rPr>
              <w:t>Función o clase</w:t>
            </w:r>
          </w:p>
        </w:tc>
        <w:tc>
          <w:tcPr>
            <w:tcW w:w="2664"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095F149F" w14:textId="77777777" w:rsidR="003402C5" w:rsidRDefault="00000000">
            <w:r>
              <w:rPr>
                <w:b/>
                <w:bCs/>
                <w:color w:val="FFFFFF"/>
                <w:sz w:val="18"/>
                <w:szCs w:val="18"/>
              </w:rPr>
              <w:t>Descripción</w:t>
            </w:r>
          </w:p>
        </w:tc>
        <w:tc>
          <w:tcPr>
            <w:tcW w:w="165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1FA6D8A7" w14:textId="77777777" w:rsidR="003402C5" w:rsidRDefault="00000000">
            <w:r>
              <w:rPr>
                <w:b/>
                <w:bCs/>
                <w:color w:val="FFFFFF"/>
                <w:sz w:val="18"/>
                <w:szCs w:val="18"/>
              </w:rPr>
              <w:t>Entradas</w:t>
            </w:r>
          </w:p>
        </w:tc>
        <w:tc>
          <w:tcPr>
            <w:tcW w:w="165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ED23DAE" w14:textId="77777777" w:rsidR="003402C5" w:rsidRDefault="00000000">
            <w:r>
              <w:rPr>
                <w:b/>
                <w:bCs/>
                <w:color w:val="FFFFFF"/>
                <w:sz w:val="18"/>
                <w:szCs w:val="18"/>
              </w:rPr>
              <w:t>Salidas</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js/interaccion.js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actualizar() y manejadores internos</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Conecta botones, editor numérico y Pointer Events. Respeta bloqueos.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Mouse, toque y campos HTML.</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Escenario actualizado y mensajes.</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js/resultados.js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actualizar()</w:t>
              <w:br/>
              <w:t>obtener()</w:t>
              <w:br/>
              <w:t>obtenerRuta()</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Mantiene referencias fijas, detecta cambios y selecciona rutas.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Escenario y método elegido.</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Copias de referencias o ruta.</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js/simulacion.js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iniciar() interno</w:t>
              <w:br/>
              <w:t>reiniciar()</w:t>
              <w:br/>
              <w:t>bloqueada()</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Controla ejecución, pausa, continuación, pasos y registro final.</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Parámetros y eventos de botones.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Estado, métricas y bloqueo.</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js/grafica.js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actualizar()</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Dibuja mejor distancia global desde generación 0.</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Historial del motor.</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Gráfica y resumen textual.</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js/animacion.js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actualizar()</w:t>
              <w:br/>
              <w:t>detener()</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Reproduce una copia de la ruta mediante requestAnimationFrame.</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Ruta seleccionada y tiempo.</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Carrito animado y mensajes.</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js/didactica.js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mostrar()</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Representa padres, cortes, herencia e intercambio real.</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ejemplo o null.</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Cromosomas resaltados.</w:t>
            </w:r>
          </w:p>
        </w:tc>
      </w:tr>
      <w:tr w:rsidR="003402C5" w14:paraId="1A74C5E6" w14:textId="77777777">
        <w:tblPrEx>
          <w:tblCellMar>
            <w:top w:w="0" w:type="dxa"/>
            <w:bottom w:w="0" w:type="dxa"/>
          </w:tblCellMar>
        </w:tblPrEx>
        <w:trPr>
          <w:cantSplit/>
          <w:cantSplit/>
        </w:trPr>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js/experimentos.js</w:t>
            </w:r>
          </w:p>
        </w:tc>
        <w:tc>
          <w:tcPr>
            <w:tcW w:w="187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registrar()</w:t>
              <w:br/>
              <w:t>resumen()</w:t>
              <w:br/>
              <w:t>limpiarPorCambio()</w:t>
            </w:r>
          </w:p>
        </w:tc>
        <w:tc>
          <w:tcPr>
            <w:tcW w:w="266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Guarda ejecuciones completas y calcula mínimo y promedio.</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Parámetros, distancia y referencias.</w:t>
            </w:r>
          </w:p>
        </w:tc>
        <w:tc>
          <w:tcPr>
            <w:tcW w:w="165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Registros en memoria y estadísticas.</w:t>
            </w:r>
          </w:p>
        </w:tc>
      </w:tr>
    </w:tbl>
    <w:p>
      <w:pPr>
        <w:pStyle w:val="Ttulo2"/>
      </w:pPr>
      <w:r>
        <w:t>2.2 Contrato del motor</w:t>
      </w:r>
    </w:p>
    <w:p>
      <w:pPr>
        <w:spacing w:after="140" w:line="259" w:lineRule="auto"/>
      </w:pPr>
      <w:r>
        <w:rPr>
          <w:sz w:val="22"/>
        </w:rPr>
        <w:t>crearEjecucion(opciones) evalúa inmediatamente la generación 0 y devuelve avanzar() y obtenerEstado(). avanzar() procesa una generación y no supera el límite. obtenerEstado() devuelve copias de generacion, terminado, mejor, historial, poblacion y ejemplo; la interfaz no modifica la población interna.</w:t>
      </w:r>
    </w:p>
    <w:p>
      <w:pPr>
        <w:spacing w:after="140" w:line="259" w:lineRule="auto"/>
      </w:pPr>
      <w:r>
        <w:rPr>
          <w:sz w:val="22"/>
        </w:rPr>
        <w:t>ejecutar(opciones) conserva la variante síncrona para pruebas o uso independiente. El motor no consulta el DOM. Las funciones internas de interaccion.js y simulacion.js se activan por eventos; no todas están expuestas en EvoRuta.</w:t>
      </w:r>
    </w:p>
    <w:p w14:paraId="4205BF44" w14:textId="77777777" w:rsidR="003402C5" w:rsidRDefault="00000000">
      <w:pPr>
        <w:pStyle w:val="Ttulo1"/>
        <w:keepNext/>
        <w:pageBreakBefore/>
      </w:pPr>
      <w:r>
        <w:t>3. Explicación del algoritmo o modelo</w:t>
      </w:r>
    </w:p>
    <w:p w14:paraId="718761C7" w14:textId="77777777" w:rsidR="003402C5" w:rsidRDefault="00000000">
      <w:pPr>
        <w:pStyle w:val="Ttulo2"/>
        <w:keepNext/>
      </w:pPr>
      <w:r>
        <w:t>3.1 Por qué se eligió</w:t>
      </w:r>
    </w:p>
    <w:p w14:paraId="71BEF378" w14:textId="77777777" w:rsidR="003402C5" w:rsidRDefault="00000000">
      <w:pPr>
        <w:spacing w:after="140" w:line="259" w:lineRule="auto"/>
      </w:pPr>
      <w:r>
        <w:rPr>
          <w:b w:val="0"/>
          <w:color w:val="000000"/>
          <w:sz w:val="22"/>
        </w:rPr>
        <w:t>El algoritmo genético es adecuado para mostrar una búsqueda evolutiva sobre órdenes de visita: cada solución se expresa como una permutación y puede evaluarse por su distancia. OX y el intercambio conservan esa representación, mientras que el elitismo protege la mejor solución encontrada.</w:t>
      </w:r>
    </w:p>
    <w:p>
      <w:pPr>
        <w:spacing w:after="140" w:line="259" w:lineRule="auto"/>
      </w:pPr>
      <w:r>
        <w:rPr>
          <w:sz w:val="22"/>
        </w:rPr>
        <w:t>Las alternativas implementadas como referencia son la ruta aleatoria, que sirve de base sin optimización, y vecino más cercano, una heurística voraz que elige el destino pendiente más próximo. No se presenta un estudio de alternativas no implementadas ni se asegura que el genético supere siempre al vecino.</w:t>
      </w:r>
    </w:p>
    <w:p w14:paraId="36842479" w14:textId="77777777" w:rsidR="003402C5" w:rsidRDefault="00000000">
      <w:pPr>
        <w:pStyle w:val="Ttulo2"/>
        <w:keepNext/>
      </w:pPr>
      <w:r>
        <w:t>3.2 Parámetros que se ajustan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44"/>
        <w:gridCol w:w="1512"/>
        <w:gridCol w:w="3528"/>
        <w:gridCol w:w="2376"/>
      </w:tblGrid>
      <w:tr w:rsidR="003402C5" w14:paraId="3AA1269B" w14:textId="77777777">
        <w:tblPrEx>
          <w:tblCellMar>
            <w:top w:w="0" w:type="dxa"/>
            <w:bottom w:w="0" w:type="dxa"/>
          </w:tblCellMar>
        </w:tblPrEx>
        <w:trPr>
          <w:cantSplit/>
          <w:tblHeader/>
        </w:trPr>
        <w:tc>
          <w:tcPr>
            <w:tcW w:w="1944"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0677FA25" w14:textId="77777777" w:rsidR="003402C5" w:rsidRDefault="00000000">
            <w:r>
              <w:rPr>
                <w:b/>
                <w:bCs/>
                <w:color w:val="FFFFFF"/>
                <w:sz w:val="18"/>
                <w:szCs w:val="18"/>
              </w:rPr>
              <w:t>Parámetro</w:t>
            </w:r>
          </w:p>
        </w:tc>
        <w:tc>
          <w:tcPr>
            <w:tcW w:w="1512"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43C41C28" w14:textId="77777777" w:rsidR="003402C5" w:rsidRDefault="00000000">
            <w:r>
              <w:rPr>
                <w:b/>
                <w:bCs/>
                <w:color w:val="FFFFFF"/>
                <w:sz w:val="18"/>
                <w:szCs w:val="18"/>
              </w:rPr>
              <w:t>Valor usado</w:t>
            </w:r>
          </w:p>
        </w:tc>
        <w:tc>
          <w:tcPr>
            <w:tcW w:w="3528"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57905A5" w14:textId="77777777" w:rsidR="003402C5" w:rsidRDefault="00000000">
            <w:r>
              <w:rPr>
                <w:b/>
                <w:bCs/>
                <w:color w:val="FFFFFF"/>
                <w:sz w:val="18"/>
                <w:szCs w:val="18"/>
              </w:rPr>
              <w:t>Efecto al modificarlo</w:t>
            </w:r>
          </w:p>
        </w:tc>
        <w:tc>
          <w:tcPr>
            <w:tcW w:w="237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1EDA5FFD" w14:textId="77777777" w:rsidR="003402C5" w:rsidRDefault="00000000">
            <w:r>
              <w:rPr>
                <w:b/>
                <w:bCs/>
                <w:color w:val="FFFFFF"/>
                <w:sz w:val="18"/>
                <w:szCs w:val="18"/>
              </w:rPr>
              <w:t>Rango recomendado</w:t>
            </w:r>
          </w:p>
        </w:tc>
      </w:tr>
      <w:tr w:rsidR="003402C5" w14:paraId="17C155E5"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Población</w:t>
            </w:r>
          </w:p>
        </w:tc>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60 individuos</w:t>
            </w:r>
          </w:p>
        </w:tc>
        <w:tc>
          <w:tcPr>
            <w:tcW w:w="3528"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Más individuos amplían la búsqueda y aumentan el costo por generación.</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3–300 en interfaz; iniciar con 60.</w:t>
            </w:r>
          </w:p>
        </w:tc>
      </w:tr>
      <w:tr w:rsidR="003402C5" w14:paraId="17C155E5"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Generaciones</w:t>
            </w:r>
          </w:p>
        </w:tc>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150</w:t>
            </w:r>
          </w:p>
        </w:tc>
        <w:tc>
          <w:tcPr>
            <w:tcW w:w="3528"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Más pasos dan más oportunidades de mejora, sin garantía de alcanzar el óptimo.</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0–2000 en interfaz; iniciar con 150.</w:t>
            </w:r>
          </w:p>
        </w:tc>
      </w:tr>
      <w:tr w:rsidR="003402C5" w14:paraId="17C155E5"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Mutación por descendiente</w:t>
            </w:r>
          </w:p>
        </w:tc>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15 %</w:t>
              <w:br/>
              <w:t>0.15 en motor</w:t>
            </w:r>
          </w:p>
        </w:tc>
        <w:tc>
          <w:tcPr>
            <w:tcW w:w="3528"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Más mutación introduce más intercambios; se decide una vez por hijo.</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0–100 % en interfaz; iniciar con 15 %.</w:t>
            </w:r>
          </w:p>
        </w:tc>
      </w:tr>
      <w:tr w:rsidR="003402C5" w14:paraId="17C155E5"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Torneo y elitismo</w:t>
            </w:r>
          </w:p>
        </w:tc>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3 sorteos; 1 élite</w:t>
            </w:r>
          </w:p>
        </w:tc>
        <w:tc>
          <w:tcPr>
            <w:tcW w:w="3528"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Constantes del motor. Cambiarlas exige modificar código y comprobar invariantes.</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No ajustables desde la interfaz.</w:t>
            </w:r>
          </w:p>
        </w:tc>
      </w:tr>
      <w:tr w:rsidR="003402C5" w14:paraId="17C155E5"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Cruce</w:t>
            </w:r>
          </w:p>
        </w:tc>
        <w:tc>
          <w:tcPr>
            <w:tcW w:w="1512"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OX en cada reproducción</w:t>
            </w:r>
          </w:p>
        </w:tc>
        <w:tc>
          <w:tcPr>
            <w:tcW w:w="3528"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Dos cortes distintos e inclusivos; genera dos hijos y toma los necesarios.</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Sin control de probabilidad de cruce.</w:t>
            </w:r>
          </w:p>
        </w:tc>
      </w:tr>
    </w:tbl>
    <w:p>
      <w:pPr>
        <w:spacing w:after="140" w:line="259" w:lineRule="auto"/>
      </w:pPr>
      <w:r>
        <w:rPr>
          <w:sz w:val="22"/>
        </w:rPr>
        <w:t>Los rangos de la tabla son límites operativos de la interfaz, no valores óptimos demostrados. El motor valida población entera de al menos 3, generaciones enteras no negativas y mutación entre 0 y 1; los máximos de 300 y 2000 pertenecen al HTML.</w:t>
      </w:r>
    </w:p>
    <w:p>
      <w:pPr>
        <w:pStyle w:val="Ttulo2"/>
      </w:pPr>
      <w:r>
        <w:t>3.3 Representación y evaluación</w:t>
      </w:r>
    </w:p>
    <w:p>
      <w:pPr>
        <w:spacing w:after="140" w:line="259" w:lineRule="auto"/>
      </w:pPr>
      <w:r>
        <w:rPr>
          <w:sz w:val="22"/>
        </w:rPr>
        <w:t>Un individuo contiene {ruta, distancia}. ruta es un arreglo de IDs de destinos sin el almacén. validarRuta exige longitud correcta, IDs conocidos y ausencia de duplicados; también rechaza arreglos incompletos. distanciaTotal añade implícitamente los tramos desde y hacia A.</w:t>
      </w:r>
    </w:p>
    <w:p>
      <w:pPr>
        <w:spacing w:after="140" w:line="259" w:lineRule="auto"/>
      </w:pPr>
      <w:r>
        <w:rPr>
          <w:sz w:val="22"/>
        </w:rPr>
        <w:t>Para dos puntos, d(a,b) = √((bx − ax)² + (by − ay)²). La longitud de una ruta es d(A,r1) + la suma de distancias entre destinos consecutivos + d(rn,A). La selección compara directamente esta distancia; no se calcula una aptitud inversa.</w:t>
      </w:r>
    </w:p>
    <w:p>
      <w:pPr>
        <w:pStyle w:val="Ttulo2"/>
        <w:pageBreakBefore/>
      </w:pPr>
      <w:r>
        <w:t>3.4 Secuencia de una ejecución</w:t>
      </w:r>
    </w:p>
    <w:p>
      <w:pPr>
        <w:spacing w:after="140" w:line="259" w:lineRule="auto"/>
      </w:pPr>
      <w:r>
        <w:rPr>
          <w:sz w:val="22"/>
        </w:rPr>
        <w:t>1. Copiar almacén y destinos. Validar la ruta de referencia e incluirla como primer individuo; generar el resto con Fisher–Yates. La referencia de vecino más cercano no se incorpora automáticamente.</w:t>
      </w:r>
    </w:p>
    <w:p>
      <w:pPr>
        <w:spacing w:after="140" w:line="259" w:lineRule="auto"/>
      </w:pPr>
      <w:r>
        <w:rPr>
          <w:sz w:val="22"/>
        </w:rPr>
        <w:t>2. Evaluar toda la población y registrar la mejor distancia como generación 0. El historial contiene un registro inicial, aunque se configuren cero generaciones.</w:t>
      </w:r>
    </w:p>
    <w:p>
      <w:pPr>
        <w:spacing w:after="140" w:line="259" w:lineRule="auto"/>
      </w:pPr>
      <w:r>
        <w:rPr>
          <w:sz w:val="22"/>
        </w:rPr>
        <w:t>3. Copiar el mejor individuo global como élite. Seleccionar cada padre mediante tres sorteos con reemplazo; gana la menor distancia.</w:t>
      </w:r>
    </w:p>
    <w:p>
      <w:pPr>
        <w:spacing w:after="140" w:line="259" w:lineRule="auto"/>
      </w:pPr>
      <w:r>
        <w:rPr>
          <w:sz w:val="22"/>
        </w:rPr>
        <w:t>4. Aplicar OX: conservar un segmento del primer padre y completar circularmente con el orden del segundo, omitiendo IDs ya heredados. Repetir de forma simétrica para el otro hijo.</w:t>
      </w:r>
    </w:p>
    <w:p>
      <w:pPr>
        <w:spacing w:after="140" w:line="259" w:lineRule="auto"/>
      </w:pPr>
      <w:r>
        <w:rPr>
          <w:sz w:val="22"/>
        </w:rPr>
        <w:t>5. Decidir la mutación de cada hijo. Si corresponde, intercambiar dos posiciones distintas. Evaluar e incorporar descendientes hasta completar exactamente el tamaño de población.</w:t>
      </w:r>
    </w:p>
    <w:p>
      <w:pPr>
        <w:spacing w:after="140" w:line="259" w:lineRule="auto"/>
      </w:pPr>
      <w:r>
        <w:rPr>
          <w:sz w:val="22"/>
        </w:rPr>
        <w:t>6. Actualizar el mejor global y el historial. Guardar como ejemplo didáctico el primer descendiente incorporado después del élite. Detener al alcanzar las generaciones configuradas.</w:t>
      </w:r>
    </w:p>
    <w:p>
      <w:pPr>
        <w:spacing w:after="140" w:line="259" w:lineRule="auto"/>
      </w:pPr>
      <w:r>
        <w:rPr>
          <w:sz w:val="22"/>
        </w:rPr>
        <w:t>El historial de mejor distancia no debe aumentar. La referencia aleatoria incluida y el elitismo permiten conservar una solución no peor que esa referencia; esto no demuestra optimalidad ni garantiza superar a vecino más cercano.</w:t>
      </w:r>
    </w:p>
    <w:p>
      <w:pPr>
        <w:pStyle w:val="Ttulo2"/>
      </w:pPr>
      <w:r>
        <w:t>3.5 Comparación y repetición</w:t>
      </w:r>
    </w:p>
    <w:p>
      <w:pPr>
        <w:spacing w:after="140" w:line="259" w:lineRule="auto"/>
      </w:pPr>
      <w:r>
        <w:rPr>
          <w:sz w:val="22"/>
        </w:rPr>
        <w:t>Mejora (%) = ((distancia de referencia − distancia genética) / distancia de referencia) × 100. Se calcula por separado frente a cada referencia, con precisión completa. Un porcentaje negativo indica una ruta genética más larga; una referencia cero se informa como no calculable. Las diferencias menores que la precisión visible se explican sin convertirlas en mejoras nulas.</w:t>
      </w:r>
    </w:p>
    <w:p>
      <w:pPr>
        <w:spacing w:after="140" w:line="259" w:lineRule="auto"/>
      </w:pPr>
      <w:r>
        <w:rPr>
          <w:sz w:val="22"/>
        </w:rPr>
        <w:t>Cada ejecución completa se registra una sola vez, incluida una que termine en generación 0. Repetir crea otra población conservando los puntos y referencias. El mínimo y el promedio se calculan sobre todas las distancias finales registradas, incluso si se cambiaron parámetros entre ejecuciones. Una ejecución interrumpida no se registra.</w:t>
      </w:r>
    </w:p>
    <w:p w14:paraId="49CF08BD" w14:textId="77777777" w:rsidR="003402C5" w:rsidRDefault="00000000">
      <w:pPr>
        <w:pStyle w:val="Ttulo1"/>
        <w:keepNext/>
        <w:pageBreakBefore/>
      </w:pPr>
      <w:r>
        <w:t>4. Formato y origen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16"/>
        <w:gridCol w:w="2448"/>
        <w:gridCol w:w="1440"/>
        <w:gridCol w:w="3456"/>
      </w:tblGrid>
      <w:tr w:rsidR="003402C5" w14:paraId="2C68A75F" w14:textId="77777777">
        <w:tblPrEx>
          <w:tblCellMar>
            <w:top w:w="0" w:type="dxa"/>
            <w:bottom w:w="0" w:type="dxa"/>
          </w:tblCellMar>
        </w:tblPrEx>
        <w:trPr>
          <w:cantSplit/>
          <w:tblHeader/>
        </w:trPr>
        <w:tc>
          <w:tcPr>
            <w:tcW w:w="201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268F0F42" w14:textId="77777777" w:rsidR="003402C5" w:rsidRDefault="00000000">
            <w:proofErr w:type="spellStart"/>
            <w:r>
              <w:rPr>
                <w:b/>
                <w:bCs/>
                <w:color w:val="FFFFFF"/>
                <w:sz w:val="18"/>
                <w:szCs w:val="18"/>
              </w:rPr>
              <w:t>Dataset</w:t>
            </w:r>
            <w:proofErr w:type="spellEnd"/>
            <w:r>
              <w:rPr>
                <w:b/>
                <w:bCs/>
                <w:color w:val="FFFFFF"/>
                <w:sz w:val="18"/>
                <w:szCs w:val="18"/>
              </w:rPr>
              <w:t xml:space="preserve"> o archivo</w:t>
            </w:r>
          </w:p>
        </w:tc>
        <w:tc>
          <w:tcPr>
            <w:tcW w:w="2448"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9490D39" w14:textId="77777777" w:rsidR="003402C5" w:rsidRDefault="00000000">
            <w:r>
              <w:rPr>
                <w:b/>
                <w:bCs/>
                <w:color w:val="FFFFFF"/>
                <w:sz w:val="18"/>
                <w:szCs w:val="18"/>
              </w:rPr>
              <w:t>Origen (enlace o autor)</w:t>
            </w:r>
          </w:p>
        </w:tc>
        <w:tc>
          <w:tcPr>
            <w:tcW w:w="1440"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628D3107" w14:textId="77777777" w:rsidR="003402C5" w:rsidRDefault="00000000">
            <w:r>
              <w:rPr>
                <w:b/>
                <w:bCs/>
                <w:color w:val="FFFFFF"/>
                <w:sz w:val="18"/>
                <w:szCs w:val="18"/>
              </w:rPr>
              <w:t>Formato</w:t>
            </w:r>
          </w:p>
        </w:tc>
        <w:tc>
          <w:tcPr>
            <w:tcW w:w="345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D9EB3E8" w14:textId="77777777" w:rsidR="003402C5" w:rsidRDefault="00000000">
            <w:r>
              <w:rPr>
                <w:b/>
                <w:bCs/>
                <w:color w:val="FFFFFF"/>
                <w:sz w:val="18"/>
                <w:szCs w:val="18"/>
              </w:rPr>
              <w:t>Descripción de campos</w:t>
            </w:r>
          </w:p>
        </w:tc>
      </w:tr>
      <w:tr w:rsidR="003402C5" w14:paraId="698D6DE5" w14:textId="77777777">
        <w:tblPrEx>
          <w:tblCellMar>
            <w:top w:w="0" w:type="dxa"/>
            <w:bottom w:w="0" w:type="dxa"/>
          </w:tblCellMar>
        </w:tblPrEx>
        <w:trPr>
          <w:cantSplit/>
          <w:cantSplit/>
        </w:trPr>
        <w:tc>
          <w:tcPr>
            <w:tcW w:w="201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Escenario inicial</w:t>
              <w:br/>
              <w:t>js/datos.js</w:t>
            </w:r>
          </w:p>
        </w:tc>
        <w:tc>
          <w:tcPr>
            <w:tcW w:w="2448"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Coordenadas ficticias definidas en el código de EvoRuta.</w:t>
            </w:r>
          </w:p>
        </w:tc>
        <w:tc>
          <w:tcPr>
            <w:tcW w:w="1440"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Objetos JavaScript</w:t>
            </w:r>
          </w:p>
        </w:tc>
        <w:tc>
          <w:tcPr>
            <w:tcW w:w="345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almacen: {id,x,y}; destinos: arreglo de puntos. A está inicialmente en (50,49).</w:t>
            </w:r>
          </w:p>
        </w:tc>
      </w:tr>
      <w:tr w:rsidR="003402C5" w14:paraId="698D6DE5" w14:textId="77777777">
        <w:tblPrEx>
          <w:tblCellMar>
            <w:top w:w="0" w:type="dxa"/>
            <w:bottom w:w="0" w:type="dxa"/>
          </w:tblCellMar>
        </w:tblPrEx>
        <w:trPr>
          <w:cantSplit/>
          <w:cantSplit/>
        </w:trPr>
        <w:tc>
          <w:tcPr>
            <w:tcW w:w="201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Edición del escenario</w:t>
            </w:r>
          </w:p>
        </w:tc>
        <w:tc>
          <w:tcPr>
            <w:tcW w:w="2448"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Eventos del usuario; sin dataset externo.</w:t>
            </w:r>
          </w:p>
        </w:tc>
        <w:tc>
          <w:tcPr>
            <w:tcW w:w="1440"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Números e IDs</w:t>
            </w:r>
          </w:p>
        </w:tc>
        <w:tc>
          <w:tcPr>
            <w:tcW w:w="345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x e y de 0 a 100, a un decimal. IDs D1, D2…; estables mientras existe cada destino.</w:t>
            </w:r>
          </w:p>
        </w:tc>
      </w:tr>
      <w:tr w:rsidR="003402C5" w14:paraId="698D6DE5" w14:textId="77777777">
        <w:tblPrEx>
          <w:tblCellMar>
            <w:top w:w="0" w:type="dxa"/>
            <w:bottom w:w="0" w:type="dxa"/>
          </w:tblCellMar>
        </w:tblPrEx>
        <w:trPr>
          <w:cantSplit/>
          <w:cantSplit/>
        </w:trPr>
        <w:tc>
          <w:tcPr>
            <w:tcW w:w="201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Referencias</w:t>
            </w:r>
          </w:p>
        </w:tc>
        <w:tc>
          <w:tcPr>
            <w:tcW w:w="2448"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js/rutas.js y js/resultados.js</w:t>
            </w:r>
          </w:p>
        </w:tc>
        <w:tc>
          <w:tcPr>
            <w:tcW w:w="1440"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Objetos en memoria</w:t>
            </w:r>
          </w:p>
        </w:tc>
        <w:tc>
          <w:tcPr>
            <w:tcW w:w="345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aleatoria y vecino contienen ruta: string[] y distancia: number.</w:t>
            </w:r>
          </w:p>
        </w:tc>
      </w:tr>
      <w:tr w:rsidR="003402C5" w14:paraId="698D6DE5" w14:textId="77777777">
        <w:tblPrEx>
          <w:tblCellMar>
            <w:top w:w="0" w:type="dxa"/>
            <w:bottom w:w="0" w:type="dxa"/>
          </w:tblCellMar>
        </w:tblPrEx>
        <w:trPr>
          <w:cantSplit/>
          <w:cantSplit/>
        </w:trPr>
        <w:tc>
          <w:tcPr>
            <w:tcW w:w="201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Estado genético</w:t>
            </w:r>
          </w:p>
        </w:tc>
        <w:tc>
          <w:tcPr>
            <w:tcW w:w="2448"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js/genetico.js</w:t>
            </w:r>
          </w:p>
        </w:tc>
        <w:tc>
          <w:tcPr>
            <w:tcW w:w="1440"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Objeto en memoria</w:t>
            </w:r>
          </w:p>
        </w:tc>
        <w:tc>
          <w:tcPr>
            <w:tcW w:w="345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generacion, terminado, mejor, poblacion, historial y ejemplo.</w:t>
            </w:r>
          </w:p>
        </w:tc>
      </w:tr>
      <w:tr w:rsidR="003402C5" w14:paraId="698D6DE5" w14:textId="77777777">
        <w:tblPrEx>
          <w:tblCellMar>
            <w:top w:w="0" w:type="dxa"/>
            <w:bottom w:w="0" w:type="dxa"/>
          </w:tblCellMar>
        </w:tblPrEx>
        <w:trPr>
          <w:cantSplit/>
          <w:cantSplit/>
        </w:trPr>
        <w:tc>
          <w:tcPr>
            <w:tcW w:w="201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Ejemplo de reproducción</w:t>
            </w:r>
          </w:p>
        </w:tc>
        <w:tc>
          <w:tcPr>
            <w:tcW w:w="2448"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Primer hijo incorporado de la generación.</w:t>
            </w:r>
          </w:p>
        </w:tc>
        <w:tc>
          <w:tcPr>
            <w:tcW w:w="1440"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Objeto o null</w:t>
            </w:r>
          </w:p>
        </w:tc>
        <w:tc>
          <w:tcPr>
            <w:tcW w:w="345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generacion, padre, madre, cortes, antes, despues e intercambio. Índices desde cero.</w:t>
            </w:r>
          </w:p>
        </w:tc>
      </w:tr>
      <w:tr w:rsidR="003402C5" w14:paraId="698D6DE5" w14:textId="77777777">
        <w:tblPrEx>
          <w:tblCellMar>
            <w:top w:w="0" w:type="dxa"/>
            <w:bottom w:w="0" w:type="dxa"/>
          </w:tblCellMar>
        </w:tblPrEx>
        <w:trPr>
          <w:cantSplit/>
          <w:cantSplit/>
        </w:trPr>
        <w:tc>
          <w:tcPr>
            <w:tcW w:w="201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Experimentos</w:t>
            </w:r>
          </w:p>
        </w:tc>
        <w:tc>
          <w:tcPr>
            <w:tcW w:w="2448"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Ejecuciones completas de simulacion.js.</w:t>
            </w:r>
          </w:p>
        </w:tc>
        <w:tc>
          <w:tcPr>
            <w:tcW w:w="1440"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Arreglo en memoria</w:t>
            </w:r>
          </w:p>
        </w:tc>
        <w:tc>
          <w:tcPr>
            <w:tcW w:w="3456" w:type="dx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numero, parametros, distancia, mejoraAleatoria y mejoraVecino. Sin archivo persistente.</w:t>
            </w:r>
          </w:p>
        </w:tc>
      </w:tr>
    </w:tbl>
    <w:p>
      <w:pPr>
        <w:pStyle w:val="Ttulo2"/>
      </w:pPr>
      <w:r>
        <w:t>4.1 Ejemplo de datos del escenario</w:t>
      </w:r>
    </w:p>
    <w:p>
      <w:pPr>
        <w:spacing w:after="140" w:line="259" w:lineRule="auto"/>
      </w:pPr>
      <w:r>
        <w:rPr>
          <w:sz w:val="22"/>
        </w:rPr>
        <w:t>El ejemplo inicial contiene ocho destinos: D1 (19,76), D2 (45,88), D3 (76,79), D4 (87,52), D5 (73,23), D6 (48,12), D7 (20,25) y D8 (33,54). No representan direcciones reales.</w:t>
      </w:r>
    </w:p>
    <w:p>
      <w:pPr>
        <w:spacing w:after="140" w:line="259" w:lineRule="auto"/>
      </w:pPr>
      <w:r>
        <w:rPr>
          <w:sz w:val="22"/>
        </w:rPr>
        <w:t>Una ruta válida puede expresarse como ["D1", "D2", "D3", "D4", "D5", "D6", "D7", "D8"]. Es un ejemplo de formato, no una ruta óptima ni un resultado experimental. La interfaz añade A al mostrar el inicio y el final.</w:t>
      </w:r>
    </w:p>
    <w:p>
      <w:pPr>
        <w:pStyle w:val="Ttulo2"/>
      </w:pPr>
      <w:r>
        <w:t>4.2 Validación y conservación</w:t>
      </w:r>
    </w:p>
    <w:p>
      <w:pPr>
        <w:spacing w:after="140" w:line="259" w:lineRule="auto"/>
      </w:pPr>
      <w:r>
        <w:rPr>
          <w:sz w:val="22"/>
        </w:rPr>
        <w:t>agregar y mover rechazan valores no finitos y coincidencias después de acotar y redondear. La edición puede dejar de 0 a 30 destinos, pero ejecutar exige entre 8 y 30. El almacén no se elimina. Los IDs eliminados no se reutilizan hasta restaurar el ejemplo.</w:t>
      </w:r>
    </w:p>
    <w:p>
      <w:pPr>
        <w:spacing w:after="140" w:line="259" w:lineRule="auto"/>
      </w:pPr>
      <w:r>
        <w:rPr>
          <w:sz w:val="22"/>
        </w:rPr>
        <w:t>El dibujo utiliza una escala única para X e Y; devicePixelRatio afecta la nitidez, no los datos. Redimensionar no altera coordenadas ni distancias. La animación usa 650 ms por tramo: su velocidad es ilustrativa y no representa tiempos de reparto.</w:t>
      </w:r>
    </w:p>
    <w:p>
      <w:pPr>
        <w:spacing w:after="140" w:line="259" w:lineRule="auto"/>
      </w:pPr>
      <w:r>
        <w:rPr>
          <w:sz w:val="22"/>
        </w:rPr>
        <w:t>No se utiliza localStorage, base de datos ni exportación de resultados. Al recargar se recupera el escenario inicial y se pierde el estado de la sesión. Cambiar puntos limpia también el historial de experimentos para evitar comparar escenarios distintos.</w:t>
      </w:r>
    </w:p>
    <w:p w14:paraId="28A17A94" w14:textId="77777777" w:rsidR="003402C5" w:rsidRDefault="00000000">
      <w:pPr>
        <w:pStyle w:val="Ttulo1"/>
        <w:keepNext/>
        <w:pageBreakBefore/>
      </w:pPr>
      <w:r>
        <w:t>5. Cómo extender o modificar el proyecto</w:t>
      </w:r>
    </w:p>
    <w:p w14:paraId="55E8448C" w14:textId="77777777" w:rsidR="003402C5" w:rsidRDefault="00000000">
      <w:pPr>
        <w:spacing w:after="140" w:line="259" w:lineRule="auto"/>
      </w:pPr>
      <w:r>
        <w:rPr>
          <w:b w:val="0"/>
          <w:color w:val="000000"/>
          <w:sz w:val="22"/>
        </w:rPr>
        <w:t>Para ejecutar el proyecto, conserva index.html junto a css/ y js/ y abre el HTML directamente en un navegador moderno. No se requiere instalar paquetes ni levantar un servidor. Realiza cambios en una copia o rama de trabajo y verifica el comportamiento antes de incorporarlos.</w:t>
      </w:r>
    </w:p>
    <w:p>
      <w:pPr>
        <w:pStyle w:val="Ttulo2"/>
      </w:pPr>
      <w:r>
        <w:t>5.1 Agregar otra heurística de referencia</w:t>
      </w:r>
    </w:p>
    <w:p>
      <w:pPr>
        <w:spacing w:after="140" w:line="259" w:lineRule="auto"/>
      </w:pPr>
      <w:r>
        <w:rPr>
          <w:sz w:val="22"/>
        </w:rPr>
        <w:t>1. Añadir en rutas.js una función independiente del DOM que reciba almacén y destinos y devuelva una permutación de IDs. Evitar modificar los arreglos originales.</w:t>
      </w:r>
    </w:p>
    <w:p>
      <w:pPr>
        <w:spacing w:after="140" w:line="259" w:lineRule="auto"/>
      </w:pPr>
      <w:r>
        <w:rPr>
          <w:sz w:val="22"/>
        </w:rPr>
        <w:t>2. Comprobar el resultado con validarRuta y medirlo con distanciaTotal. Agregar casos de ocho y treinta destinos y un escenario pequeño de distancia conocida.</w:t>
      </w:r>
    </w:p>
    <w:p>
      <w:pPr>
        <w:spacing w:after="140" w:line="259" w:lineRule="auto"/>
      </w:pPr>
      <w:r>
        <w:rPr>
          <w:sz w:val="22"/>
        </w:rPr>
        <w:t>3. Integrar la referencia en resultados.js conservándola mientras no cambie el escenario. Añadir su opción y tarjeta en index.html, y un color y trazo en el dibujo y la leyenda.</w:t>
      </w:r>
    </w:p>
    <w:p>
      <w:pPr>
        <w:spacing w:after="140" w:line="259" w:lineRule="auto"/>
      </w:pPr>
      <w:r>
        <w:rPr>
          <w:sz w:val="22"/>
        </w:rPr>
        <w:t>4. Si se desea animarla, incorporarla al selector y a obtenerRuta. Mantener independientes las referencias del motor genético salvo un cambio deliberado del experimento.</w:t>
      </w:r>
    </w:p>
    <w:p>
      <w:pPr>
        <w:pStyle w:val="Ttulo2"/>
      </w:pPr>
      <w:r>
        <w:t>5.2 Cambiar un operador o parámetro genético</w:t>
      </w:r>
    </w:p>
    <w:p>
      <w:pPr>
        <w:spacing w:after="140" w:line="259" w:lineRule="auto"/>
      </w:pPr>
      <w:r>
        <w:rPr>
          <w:sz w:val="22"/>
        </w:rPr>
        <w:t>1. Modificar el operador correspondiente en genetico.js. Un cruce debe devolver rutas completas, sin destinos repetidos; una mutación debe conservar el mismo conjunto de IDs.</w:t>
      </w:r>
    </w:p>
    <w:p>
      <w:pPr>
        <w:spacing w:after="140" w:line="259" w:lineRule="auto"/>
      </w:pPr>
      <w:r>
        <w:rPr>
          <w:sz w:val="22"/>
        </w:rPr>
        <w:t>2. Mantener tamaño de población, élite y registro desde generación 0. Actualizar los datos del ejemplo didáctico si cambia el operador, para que mostrar() represente lo ocurrido realmente.</w:t>
      </w:r>
    </w:p>
    <w:p>
      <w:pPr>
        <w:spacing w:after="140" w:line="259" w:lineRule="auto"/>
      </w:pPr>
      <w:r>
        <w:rPr>
          <w:sz w:val="22"/>
        </w:rPr>
        <w:t>3. Si se expone un parámetro nuevo, actualizar HTML, validación del motor, lectura de simulacion.js y registro de experimentos. Diferenciar unidades de interfaz y motor, como porcentaje y probabilidad.</w:t>
      </w:r>
    </w:p>
    <w:p>
      <w:pPr>
        <w:spacing w:after="140" w:line="259" w:lineRule="auto"/>
      </w:pPr>
      <w:r>
        <w:rPr>
          <w:sz w:val="22"/>
        </w:rPr>
        <w:t>4. Ejecutar las pruebas de operadores, reproducibilidad y elitismo. Para pruebas reproducibles, el motor acepta azar como función inyectada; el usuario no dispone de un selector de semilla.</w:t>
      </w:r>
    </w:p>
    <w:p>
      <w:pPr>
        <w:pStyle w:val="Ttulo2"/>
        <w:pageBreakBefore/>
      </w:pPr>
      <w:r>
        <w:t>5.3 Usar otros puntos o cambiar la apariencia</w:t>
      </w:r>
    </w:p>
    <w:p>
      <w:pPr>
        <w:spacing w:after="140" w:line="259" w:lineRule="auto"/>
      </w:pPr>
      <w:r>
        <w:rPr>
          <w:sz w:val="22"/>
        </w:rPr>
        <w:t>Para cambiar el ejemplo, editar posicionesIniciales y restablecer() en datos.js y mantener el límite lógico 0–100. Si se añade una importación futura, leer y validar los datos con una entrada de archivo del usuario; evitar fetch de rutas locales. Validar números finitos, cantidad de destinos, IDs únicos y ausencia de superposición antes de reemplazar el escenario.</w:t>
      </w:r>
    </w:p>
    <w:p>
      <w:pPr>
        <w:spacing w:after="140" w:line="259" w:lineRule="auto"/>
      </w:pPr>
      <w:r>
        <w:rPr>
          <w:sz w:val="22"/>
        </w:rPr>
        <w:t>Los estilos de página se modifican en css/styles.css y los iconos del plano en dibujo.js. Conservar los IDs de controles usados por los módulos y los contratos de establecerRutas y establecerRecorrido. El ángulo del carrito se deriva del tramo actual con el eje Y invertido; la decoración no debe desplazar las coordenadas reales.</w:t>
      </w:r>
    </w:p>
    <w:p>
      <w:pPr>
        <w:pStyle w:val="Ttulo2"/>
      </w:pPr>
      <w:r>
        <w:t>5.4 Comprobaciones de mantenimiento</w:t>
      </w:r>
    </w:p>
    <w:p>
      <w:pPr>
        <w:spacing w:after="140" w:line="259" w:lineRule="auto"/>
      </w:pPr>
      <w:r>
        <w:rPr>
          <w:sz w:val="22"/>
        </w:rPr>
        <w:t>Las pruebas .test.cjs utilizan node:test, assert y vm. Las de animación y controles emplean DOM y reloj simulados. Desde la raíz del repositorio se pueden ejecutar por separado:</w:t>
      </w:r>
    </w:p>
    <w:p>
      <w:pPr>
        <w:keepNext/>
        <w:spacing w:after="40" w:line="259" w:lineRule="auto"/>
      </w:pPr>
      <w:r>
        <w:rPr>
          <w:rFonts w:ascii="Consolas" w:hAnsi="Consolas"/>
          <w:sz w:val="18"/>
        </w:rPr>
        <w:t>node tests/rutas.test.cjs</w:t>
      </w:r>
    </w:p>
    <w:p>
      <w:pPr>
        <w:keepNext/>
        <w:spacing w:after="40" w:line="259" w:lineRule="auto"/>
      </w:pPr>
      <w:r>
        <w:rPr>
          <w:rFonts w:ascii="Consolas" w:hAnsi="Consolas"/>
          <w:sz w:val="18"/>
        </w:rPr>
        <w:t>node tests/genetico.test.cjs</w:t>
      </w:r>
    </w:p>
    <w:p>
      <w:pPr>
        <w:keepNext/>
        <w:spacing w:after="40" w:line="259" w:lineRule="auto"/>
      </w:pPr>
      <w:r>
        <w:rPr>
          <w:rFonts w:ascii="Consolas" w:hAnsi="Consolas"/>
          <w:sz w:val="18"/>
        </w:rPr>
        <w:t>node tests/escenario.test.cjs</w:t>
      </w:r>
    </w:p>
    <w:p>
      <w:pPr>
        <w:keepNext/>
        <w:spacing w:after="40" w:line="259" w:lineRule="auto"/>
      </w:pPr>
      <w:r>
        <w:rPr>
          <w:rFonts w:ascii="Consolas" w:hAnsi="Consolas"/>
          <w:sz w:val="18"/>
        </w:rPr>
        <w:t>node tests/animacion-didactica.test.cjs</w:t>
      </w:r>
    </w:p>
    <w:p>
      <w:pPr>
        <w:keepNext/>
        <w:spacing w:after="40" w:line="259" w:lineRule="auto"/>
      </w:pPr>
      <w:r>
        <w:rPr>
          <w:rFonts w:ascii="Consolas" w:hAnsi="Consolas"/>
          <w:sz w:val="18"/>
        </w:rPr>
        <w:t>node tests/experimentos.test.cjs</w:t>
      </w:r>
    </w:p>
    <w:p>
      <w:pPr>
        <w:spacing w:after="140" w:line="259" w:lineRule="auto"/>
      </w:pPr>
      <w:r>
        <w:rPr>
          <w:sz w:val="22"/>
        </w:rPr>
        <w:t>Las pruebas opcionales de navegador son tests/simulacion.browser.cjs y tests/experimentos.browser.cjs. Requieren Playwright con Chromium disponible; PLAYWRIGHT_PATH permite señalar una instalación existente. Abren index.html mediante file://. No son dependencias de ejecución del simulador.</w:t>
      </w:r>
    </w:p>
    <w:p>
      <w:pPr>
        <w:spacing w:after="140" w:line="259" w:lineRule="auto"/>
      </w:pPr>
      <w:r>
        <w:rPr>
          <w:sz w:val="22"/>
        </w:rPr>
        <w:t>Comprobar además la apertura sin conexión, escala del plano, teclado y toque, pausa y continuación, avance único, reinicio con referencias intactas, finalización del carrito y limpieza del historial al editar. Una prueba con DOM simulado no sustituye la revisión visual en navegador.</w:t>
      </w:r>
    </w:p>
    <w:p w14:paraId="01666C8F" w14:textId="77777777" w:rsidR="003402C5" w:rsidRDefault="00000000">
      <w:pPr>
        <w:pStyle w:val="Ttulo1"/>
        <w:keepNext/>
        <w:pageBreakBefore/>
      </w:pPr>
      <w:r>
        <w:t>6. Créditos y licencias de las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44"/>
        <w:gridCol w:w="1944"/>
        <w:gridCol w:w="2376"/>
        <w:gridCol w:w="3096"/>
      </w:tblGrid>
      <w:tr w:rsidR="003402C5" w14:paraId="3280F50B" w14:textId="77777777">
        <w:tblPrEx>
          <w:tblCellMar>
            <w:top w:w="0" w:type="dxa"/>
            <w:bottom w:w="0" w:type="dxa"/>
          </w:tblCellMar>
        </w:tblPrEx>
        <w:trPr>
          <w:cantSplit/>
          <w:tblHeader/>
        </w:trPr>
        <w:tc>
          <w:tcPr>
            <w:tcW w:w="1944"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15F4CCA" w14:textId="77777777" w:rsidR="003402C5" w:rsidRDefault="00000000">
            <w:r>
              <w:rPr>
                <w:b/>
                <w:bCs/>
                <w:color w:val="FFFFFF"/>
                <w:sz w:val="18"/>
                <w:szCs w:val="18"/>
              </w:rPr>
              <w:t>Dependencia</w:t>
            </w:r>
          </w:p>
        </w:tc>
        <w:tc>
          <w:tcPr>
            <w:tcW w:w="1944"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011CCFB" w14:textId="77777777" w:rsidR="003402C5" w:rsidRDefault="00000000">
            <w:r>
              <w:rPr>
                <w:b/>
                <w:bCs/>
                <w:color w:val="FFFFFF"/>
                <w:sz w:val="18"/>
                <w:szCs w:val="18"/>
              </w:rPr>
              <w:t>Versión</w:t>
            </w:r>
          </w:p>
        </w:tc>
        <w:tc>
          <w:tcPr>
            <w:tcW w:w="237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55F19831" w14:textId="77777777" w:rsidR="003402C5" w:rsidRDefault="00000000">
            <w:r>
              <w:rPr>
                <w:b/>
                <w:bCs/>
                <w:color w:val="FFFFFF"/>
                <w:sz w:val="18"/>
                <w:szCs w:val="18"/>
              </w:rPr>
              <w:t>Licencia</w:t>
            </w:r>
          </w:p>
        </w:tc>
        <w:tc>
          <w:tcPr>
            <w:tcW w:w="3096" w:type="dxa"/>
            <w:shd w:val="clear" w:color="auto" w:fill="1F3864"/>
            <w:tcMar>
              <w:top w:w="70" w:type="dxa"/>
              <w:left w:w="100" w:type="dxa"/>
              <w:bottom w:w="70" w:type="dxa"/>
              <w:right w:w="100" w:type="dxa"/>
            </w:tcMar>
            <w:tcBorders>
              <w:top w:val="single" w:sz="4" w:color="BFBFBF"/>
              <w:left w:val="single" w:sz="4" w:color="BFBFBF"/>
              <w:bottom w:val="single" w:sz="4" w:color="BFBFBF"/>
              <w:right w:val="single" w:sz="4" w:color="BFBFBF"/>
            </w:tcBorders>
          </w:tcPr>
          <w:p w14:paraId="306875EE" w14:textId="77777777" w:rsidR="003402C5" w:rsidRDefault="00000000">
            <w:r>
              <w:rPr>
                <w:b/>
                <w:bCs/>
                <w:color w:val="FFFFFF"/>
                <w:sz w:val="18"/>
                <w:szCs w:val="18"/>
              </w:rPr>
              <w:t>Fuente (enlace)</w:t>
            </w:r>
          </w:p>
        </w:tc>
      </w:tr>
      <w:tr w:rsidR="003402C5" w14:paraId="2759B298"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Aplicación EvoRuta</w:t>
            </w:r>
          </w:p>
        </w:tc>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Código del repositorio</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Sin archivo LICENSE en el repositorio revisado.</w:t>
            </w:r>
          </w:p>
        </w:tc>
        <w:tc>
          <w:tcPr>
            <w:tcW w:w="309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index.html; js/; css/</w:t>
            </w:r>
          </w:p>
        </w:tc>
      </w:tr>
      <w:tr w:rsidR="003402C5" w14:paraId="2759B298"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Bibliotecas externas de ejecución</w:t>
            </w:r>
          </w:p>
        </w:tc>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Ninguna</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No aplica.</w:t>
            </w:r>
          </w:p>
        </w:tc>
        <w:tc>
          <w:tcPr>
            <w:tcW w:w="309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Scripts locales de index.html</w:t>
            </w:r>
          </w:p>
        </w:tc>
      </w:tr>
      <w:tr w:rsidR="003402C5" w14:paraId="2759B298"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Node.js</w:t>
              <w:br/>
              <w:t>Solo pruebas</w:t>
            </w:r>
          </w:p>
        </w:tc>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24.19.0 en el entorno de elaboración</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MIT; incluye avisos de componentes de terceros.</w:t>
            </w:r>
          </w:p>
        </w:tc>
        <w:tc>
          <w:tcPr>
            <w:tcW w:w="309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https://github.com/nodejs/node/blob/main/LICENSE</w:t>
            </w:r>
          </w:p>
        </w:tc>
      </w:tr>
      <w:tr w:rsidR="003402C5" w14:paraId="2759B298" w14:textId="77777777">
        <w:tblPrEx>
          <w:tblCellMar>
            <w:top w:w="0" w:type="dxa"/>
            <w:bottom w:w="0" w:type="dxa"/>
          </w:tblCellMar>
        </w:tblPrEx>
        <w:trPr>
          <w:cantSplit/>
          <w:cantSplit/>
        </w:trPr>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Playwright</w:t>
              <w:br/>
              <w:t>Solo pruebas de navegador</w:t>
            </w:r>
          </w:p>
        </w:tc>
        <w:tc>
          <w:tcPr>
            <w:tcW w:w="1944"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1.62.1 en el entorno de elaboración</w:t>
            </w:r>
          </w:p>
        </w:tc>
        <w:tc>
          <w:tcPr>
            <w:tcW w:w="237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Apache-2.0</w:t>
            </w:r>
          </w:p>
        </w:tc>
        <w:tc>
          <w:tcPr>
            <w:tcW w:w="3096" w:type="dxa"/>
            <w:shd w:val="clear" w:color="auto" w:fill="F5F7FA"/>
            <w:tcMar>
              <w:top w:w="70" w:type="dxa"/>
              <w:left w:w="100" w:type="dxa"/>
              <w:bottom w:w="70" w:type="dxa"/>
              <w:right w:w="100" w:type="dxa"/>
            </w:tcMar>
            <w:tcBorders>
              <w:top w:val="single" w:sz="4" w:color="BFBFBF"/>
              <w:left w:val="single" w:sz="4" w:color="BFBFBF"/>
              <w:bottom w:val="single" w:sz="4" w:color="BFBFBF"/>
              <w:right w:val="single" w:sz="4" w:color="BFBFBF"/>
            </w:tcBorders>
          </w:tcPr>
          <w:p>
            <w:pPr>
              <w:spacing w:after="60" w:before="60" w:line="240" w:lineRule="auto"/>
            </w:pPr>
            <w:r>
              <w:rPr>
                <w:i w:val="0"/>
                <w:color w:val="000000"/>
                <w:sz w:val="18"/>
              </w:rPr>
              <w:t>https://github.com/microsoft/playwright/blob/main/LICENSE</w:t>
            </w:r>
          </w:p>
        </w:tc>
      </w:tr>
    </w:tbl>
    <w:p>
      <w:pPr>
        <w:spacing w:after="140" w:line="259" w:lineRule="auto" w:before="180"/>
      </w:pPr>
      <w:r>
        <w:rPr>
          <w:sz w:val="22"/>
        </w:rPr>
        <w:t>HTML5, CSS3, JavaScript y Canvas 2D son tecnologías de la plataforma del navegador, no paquetes agregados al proyecto. Las versiones de Node.js y Playwright identifican las herramientas disponibles para las pruebas; no se requieren para abrir index.html y no están fijadas por un manifiesto del repositorio.</w:t>
      </w:r>
    </w:p>
    <w:p>
      <w:pPr>
        <w:spacing w:after="140" w:line="259" w:lineRule="auto"/>
      </w:pPr>
      <w:r>
        <w:rPr>
          <w:sz w:val="22"/>
        </w:rPr>
        <w:t>Créditos del equipo: Osbaldo Gonzalez Contreras, Josué Rubén González Martínez, Cristian Miguel Lezama Hernández, Carlos Timoteo Murillo Martinez y Josué Iván Ginez Pérez. Universidad Tecnológica de Tehuacán, Ingeniería en Tecnologías de la Información e Innovación Digital, grupo 7A. No se asignan contribuciones individuales en este manual.</w:t>
      </w:r>
    </w:p>
    <w:p>
      <w:pPr>
        <w:spacing w:after="140" w:line="259" w:lineRule="auto"/>
      </w:pPr>
      <w:r>
        <w:rPr>
          <w:sz w:val="22"/>
        </w:rPr>
        <w:t>Los dibujos de casas, almacén y carrito se generan mediante Canvas; la interfaz no carga imágenes, fuentes ni mapas de terceros. Los componentes adicionales distribuidos con Node.js o el navegador de pruebas conservan sus propios avisos de licencia.</w:t>
      </w:r>
    </w:p>
    <w:p>
      <w:pPr>
        <w:spacing w:after="140" w:line="259" w:lineRule="auto"/>
      </w:pPr>
      <w:r>
        <w:rPr>
          <w:sz w:val="22"/>
        </w:rPr>
        <w:t>El repositorio revisado no declara una licencia de distribución para el código de EvoRuta. Esa decisión corresponde al equipo y no se sustituye por la licencia de las herramientas de pruebas.</w:t>
      </w:r>
    </w:p>
    <w:sectPr w:rsidR="003402C5">
      <w:footerReference w:type="default" r:id="rId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4191" w14:textId="77777777" w:rsidR="00230FFD" w:rsidRDefault="00230FFD">
      <w:r>
        <w:separator/>
      </w:r>
    </w:p>
  </w:endnote>
  <w:endnote w:type="continuationSeparator" w:id="0">
    <w:p w14:paraId="724BCC3D" w14:textId="77777777" w:rsidR="00230FFD" w:rsidRDefault="0023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F8F1" w14:textId="77777777" w:rsidR="003402C5" w:rsidRDefault="00000000">
    <w:pPr>
      <w:jc w:val="center"/>
    </w:pPr>
    <w:r>
      <w:rPr>
        <w:color w:val="7F7F7F"/>
        <w:sz w:val="16"/>
        <w:szCs w:val="16"/>
      </w:rPr>
      <w:t xml:space="preserve">Manual del </w:t>
    </w:r>
    <w:proofErr w:type="gramStart"/>
    <w:r>
      <w:rPr>
        <w:color w:val="7F7F7F"/>
        <w:sz w:val="16"/>
        <w:szCs w:val="16"/>
      </w:rPr>
      <w:t>programador  |</w:t>
    </w:r>
    <w:proofErr w:type="gramEnd"/>
    <w:r>
      <w:rPr>
        <w:color w:val="7F7F7F"/>
        <w:sz w:val="16"/>
        <w:szCs w:val="16"/>
      </w:rPr>
      <w:t xml:space="preserve">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3065D1">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E3238" w14:textId="77777777" w:rsidR="00230FFD" w:rsidRDefault="00230FFD">
      <w:r>
        <w:separator/>
      </w:r>
    </w:p>
  </w:footnote>
  <w:footnote w:type="continuationSeparator" w:id="0">
    <w:p w14:paraId="06A9F479" w14:textId="77777777" w:rsidR="00230FFD" w:rsidRDefault="00230F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C37"/>
    <w:multiLevelType w:val="hybridMultilevel"/>
    <w:tmpl w:val="F9AAAD68"/>
    <w:lvl w:ilvl="0" w:tplc="F19472A4">
      <w:start w:val="1"/>
      <w:numFmt w:val="bullet"/>
      <w:lvlText w:val="●"/>
      <w:lvlJc w:val="left"/>
      <w:pPr>
        <w:ind w:left="720" w:hanging="360"/>
      </w:pPr>
    </w:lvl>
    <w:lvl w:ilvl="1" w:tplc="74B22E6E">
      <w:start w:val="1"/>
      <w:numFmt w:val="bullet"/>
      <w:lvlText w:val="○"/>
      <w:lvlJc w:val="left"/>
      <w:pPr>
        <w:ind w:left="1440" w:hanging="360"/>
      </w:pPr>
    </w:lvl>
    <w:lvl w:ilvl="2" w:tplc="B3D0E7AA">
      <w:start w:val="1"/>
      <w:numFmt w:val="bullet"/>
      <w:lvlText w:val="■"/>
      <w:lvlJc w:val="left"/>
      <w:pPr>
        <w:ind w:left="2160" w:hanging="360"/>
      </w:pPr>
    </w:lvl>
    <w:lvl w:ilvl="3" w:tplc="FB28B38A">
      <w:start w:val="1"/>
      <w:numFmt w:val="bullet"/>
      <w:lvlText w:val="●"/>
      <w:lvlJc w:val="left"/>
      <w:pPr>
        <w:ind w:left="2880" w:hanging="360"/>
      </w:pPr>
    </w:lvl>
    <w:lvl w:ilvl="4" w:tplc="6D70F426">
      <w:start w:val="1"/>
      <w:numFmt w:val="bullet"/>
      <w:lvlText w:val="○"/>
      <w:lvlJc w:val="left"/>
      <w:pPr>
        <w:ind w:left="3600" w:hanging="360"/>
      </w:pPr>
    </w:lvl>
    <w:lvl w:ilvl="5" w:tplc="0670411A">
      <w:start w:val="1"/>
      <w:numFmt w:val="bullet"/>
      <w:lvlText w:val="■"/>
      <w:lvlJc w:val="left"/>
      <w:pPr>
        <w:ind w:left="4320" w:hanging="360"/>
      </w:pPr>
    </w:lvl>
    <w:lvl w:ilvl="6" w:tplc="FD4014AC">
      <w:start w:val="1"/>
      <w:numFmt w:val="bullet"/>
      <w:lvlText w:val="●"/>
      <w:lvlJc w:val="left"/>
      <w:pPr>
        <w:ind w:left="5040" w:hanging="360"/>
      </w:pPr>
    </w:lvl>
    <w:lvl w:ilvl="7" w:tplc="6B04EF2E">
      <w:start w:val="1"/>
      <w:numFmt w:val="bullet"/>
      <w:lvlText w:val="●"/>
      <w:lvlJc w:val="left"/>
      <w:pPr>
        <w:ind w:left="5760" w:hanging="360"/>
      </w:pPr>
    </w:lvl>
    <w:lvl w:ilvl="8" w:tplc="4FE441D2">
      <w:start w:val="1"/>
      <w:numFmt w:val="bullet"/>
      <w:lvlText w:val="●"/>
      <w:lvlJc w:val="left"/>
      <w:pPr>
        <w:ind w:left="6480" w:hanging="360"/>
      </w:pPr>
    </w:lvl>
  </w:abstractNum>
  <w:abstractNum w:abstractNumId="1" w15:restartNumberingAfterBreak="0">
    <w:nsid w:val="15453221"/>
    <w:multiLevelType w:val="hybridMultilevel"/>
    <w:tmpl w:val="B4A481F6"/>
    <w:lvl w:ilvl="0" w:tplc="35AEB214">
      <w:start w:val="1"/>
      <w:numFmt w:val="bullet"/>
      <w:lvlText w:val="•"/>
      <w:lvlJc w:val="left"/>
      <w:pPr>
        <w:ind w:left="540" w:hanging="270"/>
      </w:pPr>
    </w:lvl>
    <w:lvl w:ilvl="1" w:tplc="3F5280AA">
      <w:numFmt w:val="decimal"/>
      <w:lvlText w:val=""/>
      <w:lvlJc w:val="left"/>
    </w:lvl>
    <w:lvl w:ilvl="2" w:tplc="8796FE6C">
      <w:numFmt w:val="decimal"/>
      <w:lvlText w:val=""/>
      <w:lvlJc w:val="left"/>
    </w:lvl>
    <w:lvl w:ilvl="3" w:tplc="20F24474">
      <w:numFmt w:val="decimal"/>
      <w:lvlText w:val=""/>
      <w:lvlJc w:val="left"/>
    </w:lvl>
    <w:lvl w:ilvl="4" w:tplc="9142103E">
      <w:numFmt w:val="decimal"/>
      <w:lvlText w:val=""/>
      <w:lvlJc w:val="left"/>
    </w:lvl>
    <w:lvl w:ilvl="5" w:tplc="827075DC">
      <w:numFmt w:val="decimal"/>
      <w:lvlText w:val=""/>
      <w:lvlJc w:val="left"/>
    </w:lvl>
    <w:lvl w:ilvl="6" w:tplc="089EF13C">
      <w:numFmt w:val="decimal"/>
      <w:lvlText w:val=""/>
      <w:lvlJc w:val="left"/>
    </w:lvl>
    <w:lvl w:ilvl="7" w:tplc="415E2F7A">
      <w:numFmt w:val="decimal"/>
      <w:lvlText w:val=""/>
      <w:lvlJc w:val="left"/>
    </w:lvl>
    <w:lvl w:ilvl="8" w:tplc="E8F468A4">
      <w:numFmt w:val="decimal"/>
      <w:lvlText w:val=""/>
      <w:lvlJc w:val="left"/>
    </w:lvl>
  </w:abstractNum>
  <w:num w:numId="1" w16cid:durableId="240994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2C5"/>
    <w:rsid w:val="00230FFD"/>
    <w:rsid w:val="003065D1"/>
    <w:rsid w:val="003402C5"/>
    <w:rsid w:val="008D50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D993"/>
  <w15:docId w15:val="{60F69AF8-48E4-489A-9CE8-777DAD62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3864"/>
      <w:sz w:val="28"/>
      <w:szCs w:val="28"/>
    </w:rPr>
  </w:style>
  <w:style w:type="paragraph" w:styleId="Ttulo2">
    <w:name w:val="heading 2"/>
    <w:uiPriority w:val="9"/>
    <w:unhideWhenUsed/>
    <w:qFormat/>
    <w:pPr>
      <w:spacing w:before="200" w:after="80"/>
      <w:outlineLvl w:val="1"/>
    </w:pPr>
    <w:rPr>
      <w:b/>
      <w:bCs/>
      <w:color w:val="2F5496"/>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262</Words>
  <Characters>1446</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programador</dc:title>
  <dc:creator>Claude</dc:creator>
  <cp:lastModifiedBy>Julio Alfaro</cp:lastModifiedBy>
  <cp:revision>2</cp:revision>
  <dcterms:created xsi:type="dcterms:W3CDTF">2026-10-01T17:22:00Z</dcterms:created>
  <dcterms:modified xsi:type="dcterms:W3CDTF">2026-10-01T17:22:00Z</dcterms:modified>
</cp:coreProperties>
</file>