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1283" w14:textId="4CB3D5E3"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БГУИ</w:t>
      </w:r>
      <w:r w:rsidRPr="007447B7">
        <w:rPr>
          <w:rFonts w:ascii="Times New Roman" w:eastAsia="Times New Roman" w:hAnsi="Times New Roman" w:cs="Times New Roman"/>
          <w:sz w:val="28"/>
          <w:szCs w:val="28"/>
        </w:rPr>
        <w:t>Р</w:t>
      </w:r>
    </w:p>
    <w:p w14:paraId="374F0E59"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Кафедра ЗИ</w:t>
      </w:r>
    </w:p>
    <w:p w14:paraId="6EE62F64"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0FB4FEF9"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2DA662CF"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63297C8F"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499C603A"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0F246897"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02CD2254"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12AAB035"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Отчет</w:t>
      </w:r>
    </w:p>
    <w:p w14:paraId="3936A3DE" w14:textId="56DCF826"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по практическому занятию №</w:t>
      </w:r>
      <w:r w:rsidRPr="007447B7">
        <w:rPr>
          <w:rFonts w:ascii="Times New Roman" w:eastAsia="Times New Roman" w:hAnsi="Times New Roman" w:cs="Times New Roman"/>
          <w:sz w:val="28"/>
          <w:szCs w:val="28"/>
        </w:rPr>
        <w:t>5</w:t>
      </w:r>
    </w:p>
    <w:p w14:paraId="0039587D"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по теме:</w:t>
      </w:r>
    </w:p>
    <w:p w14:paraId="330468E9" w14:textId="6629FEC4"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w:t>
      </w:r>
      <w:r w:rsidRPr="007447B7">
        <w:rPr>
          <w:rFonts w:ascii="Times New Roman" w:eastAsia="Times New Roman" w:hAnsi="Times New Roman" w:cs="Times New Roman"/>
          <w:sz w:val="28"/>
          <w:szCs w:val="28"/>
        </w:rPr>
        <w:t>ЗАЩИТА ПРАВ АВТОРОВ И ПРАВООБЛАДАТЕЛЕЙ</w:t>
      </w:r>
      <w:r w:rsidRPr="007447B7">
        <w:rPr>
          <w:rFonts w:ascii="Times New Roman" w:eastAsia="Times New Roman" w:hAnsi="Times New Roman" w:cs="Times New Roman"/>
          <w:sz w:val="28"/>
          <w:szCs w:val="28"/>
        </w:rPr>
        <w:t>»</w:t>
      </w:r>
    </w:p>
    <w:p w14:paraId="4B3980A5" w14:textId="77777777" w:rsidR="009B7E65" w:rsidRPr="007447B7" w:rsidRDefault="009B7E65" w:rsidP="007447B7">
      <w:pPr>
        <w:pStyle w:val="Normal0"/>
        <w:spacing w:after="0" w:line="240" w:lineRule="auto"/>
        <w:ind w:firstLine="720"/>
        <w:jc w:val="center"/>
        <w:rPr>
          <w:rFonts w:ascii="Times New Roman" w:eastAsia="Times New Roman" w:hAnsi="Times New Roman" w:cs="Times New Roman"/>
          <w:sz w:val="28"/>
          <w:szCs w:val="28"/>
        </w:rPr>
      </w:pPr>
    </w:p>
    <w:p w14:paraId="78092589"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11F1F2AE"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09F7C512"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014FFE70"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74E0B952"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6C326630"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64873E4A"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336D8AA7"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0C6D067B"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4D9E600B"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4FD76B26"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163672E4"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41E23F63"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1FA69966"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5557AF20"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1FE64CFF" w14:textId="77777777" w:rsidR="009B7E65" w:rsidRPr="007447B7" w:rsidRDefault="009B7E65" w:rsidP="007447B7">
      <w:pPr>
        <w:pStyle w:val="Normal0"/>
        <w:spacing w:after="0" w:line="240" w:lineRule="auto"/>
        <w:jc w:val="both"/>
        <w:rPr>
          <w:rFonts w:ascii="Times New Roman" w:eastAsia="Times New Roman" w:hAnsi="Times New Roman" w:cs="Times New Roman"/>
          <w:sz w:val="28"/>
          <w:szCs w:val="28"/>
        </w:rPr>
      </w:pPr>
      <w:proofErr w:type="gramStart"/>
      <w:r w:rsidRPr="007447B7">
        <w:rPr>
          <w:rFonts w:ascii="Times New Roman" w:eastAsia="Times New Roman" w:hAnsi="Times New Roman" w:cs="Times New Roman"/>
          <w:sz w:val="28"/>
          <w:szCs w:val="28"/>
        </w:rPr>
        <w:t xml:space="preserve">Выполнили:   </w:t>
      </w:r>
      <w:proofErr w:type="gramEnd"/>
      <w:r w:rsidRPr="007447B7">
        <w:rPr>
          <w:rFonts w:ascii="Times New Roman" w:eastAsia="Times New Roman" w:hAnsi="Times New Roman" w:cs="Times New Roman"/>
          <w:sz w:val="28"/>
          <w:szCs w:val="28"/>
        </w:rPr>
        <w:t xml:space="preserve">                                                                             Проверил:</w:t>
      </w:r>
    </w:p>
    <w:p w14:paraId="61249B77" w14:textId="77777777" w:rsidR="009B7E65" w:rsidRPr="007447B7" w:rsidRDefault="009B7E65" w:rsidP="007447B7">
      <w:pPr>
        <w:pStyle w:val="Normal0"/>
        <w:spacing w:after="0" w:line="240" w:lineRule="auto"/>
        <w:jc w:val="both"/>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 xml:space="preserve">Студенты гр.150504                                                                  </w:t>
      </w:r>
      <w:proofErr w:type="spellStart"/>
      <w:r w:rsidRPr="007447B7">
        <w:rPr>
          <w:rFonts w:ascii="Times New Roman" w:eastAsia="Times New Roman" w:hAnsi="Times New Roman" w:cs="Times New Roman"/>
          <w:sz w:val="28"/>
          <w:szCs w:val="28"/>
        </w:rPr>
        <w:t>Столер</w:t>
      </w:r>
      <w:proofErr w:type="spellEnd"/>
      <w:r w:rsidRPr="007447B7">
        <w:rPr>
          <w:rFonts w:ascii="Times New Roman" w:eastAsia="Times New Roman" w:hAnsi="Times New Roman" w:cs="Times New Roman"/>
          <w:sz w:val="28"/>
          <w:szCs w:val="28"/>
        </w:rPr>
        <w:t xml:space="preserve"> Д.В.</w:t>
      </w:r>
    </w:p>
    <w:p w14:paraId="3D3AC60F" w14:textId="306B39CF" w:rsidR="009B7E65" w:rsidRPr="007447B7" w:rsidRDefault="009B7E65" w:rsidP="007447B7">
      <w:pPr>
        <w:pStyle w:val="Normal0"/>
        <w:spacing w:after="0" w:line="240" w:lineRule="auto"/>
        <w:jc w:val="both"/>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Нестеренко К.Э.</w:t>
      </w:r>
    </w:p>
    <w:p w14:paraId="1C957E76" w14:textId="513FA02A" w:rsidR="009B7E65" w:rsidRPr="007447B7" w:rsidRDefault="009B7E65" w:rsidP="007447B7">
      <w:pPr>
        <w:pStyle w:val="Normal0"/>
        <w:spacing w:after="0" w:line="240" w:lineRule="auto"/>
        <w:jc w:val="both"/>
        <w:rPr>
          <w:rFonts w:ascii="Times New Roman" w:eastAsia="Times New Roman" w:hAnsi="Times New Roman" w:cs="Times New Roman"/>
          <w:sz w:val="28"/>
          <w:szCs w:val="28"/>
        </w:rPr>
      </w:pPr>
      <w:r w:rsidRPr="007447B7">
        <w:rPr>
          <w:rFonts w:ascii="Times New Roman" w:eastAsia="Times New Roman" w:hAnsi="Times New Roman" w:cs="Times New Roman"/>
          <w:sz w:val="28"/>
          <w:szCs w:val="28"/>
        </w:rPr>
        <w:t>Бобылёв Н.С.</w:t>
      </w:r>
    </w:p>
    <w:p w14:paraId="12CD06FE"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5E91F412"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204D406A"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4EACEF3C"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5B62AAA2" w14:textId="10F0549C"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6EEAA6FB" w14:textId="3B14E1DF"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2B29F710" w14:textId="03F7EC7E"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593862C8" w14:textId="633277A8"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2225628B" w14:textId="0F42214D"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5330CA3C"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733900E2" w14:textId="77777777" w:rsidR="009B7E65" w:rsidRPr="007447B7" w:rsidRDefault="009B7E65" w:rsidP="007447B7">
      <w:pPr>
        <w:pStyle w:val="Normal0"/>
        <w:spacing w:after="0" w:line="240" w:lineRule="auto"/>
        <w:ind w:firstLine="720"/>
        <w:jc w:val="both"/>
        <w:rPr>
          <w:rFonts w:ascii="Times New Roman" w:eastAsia="Times New Roman" w:hAnsi="Times New Roman" w:cs="Times New Roman"/>
          <w:sz w:val="28"/>
          <w:szCs w:val="28"/>
        </w:rPr>
      </w:pPr>
    </w:p>
    <w:p w14:paraId="6CE3DDDA" w14:textId="77777777" w:rsidR="009B7E65" w:rsidRPr="007447B7" w:rsidRDefault="009B7E65" w:rsidP="00B24DC1">
      <w:pPr>
        <w:pStyle w:val="Normal0"/>
        <w:spacing w:after="0" w:line="240" w:lineRule="auto"/>
        <w:ind w:firstLine="720"/>
        <w:jc w:val="center"/>
        <w:rPr>
          <w:rFonts w:ascii="Times New Roman" w:eastAsia="Times New Roman" w:hAnsi="Times New Roman" w:cs="Times New Roman"/>
          <w:sz w:val="28"/>
          <w:szCs w:val="28"/>
        </w:rPr>
      </w:pPr>
      <w:bookmarkStart w:id="0" w:name="_heading=h.gjdgxs"/>
      <w:bookmarkEnd w:id="0"/>
      <w:r w:rsidRPr="007447B7">
        <w:rPr>
          <w:rFonts w:ascii="Times New Roman" w:eastAsia="Times New Roman" w:hAnsi="Times New Roman" w:cs="Times New Roman"/>
          <w:sz w:val="28"/>
          <w:szCs w:val="28"/>
        </w:rPr>
        <w:t>Минск 2023</w:t>
      </w:r>
    </w:p>
    <w:p w14:paraId="79F9AE9A" w14:textId="5B0CFC9E" w:rsidR="007753A8" w:rsidRPr="007447B7" w:rsidRDefault="009B7E65" w:rsidP="007447B7">
      <w:pPr>
        <w:ind w:firstLine="708"/>
        <w:jc w:val="both"/>
        <w:rPr>
          <w:rFonts w:ascii="Times New Roman" w:hAnsi="Times New Roman"/>
          <w:sz w:val="24"/>
          <w:szCs w:val="24"/>
        </w:rPr>
      </w:pPr>
      <w:r w:rsidRPr="007447B7">
        <w:rPr>
          <w:rFonts w:ascii="Times New Roman" w:hAnsi="Times New Roman"/>
          <w:color w:val="000000"/>
          <w:sz w:val="28"/>
          <w:szCs w:val="28"/>
        </w:rPr>
        <w:br w:type="page"/>
      </w:r>
      <w:r w:rsidRPr="007447B7">
        <w:rPr>
          <w:rFonts w:ascii="Times New Roman" w:hAnsi="Times New Roman"/>
          <w:b/>
          <w:bCs/>
          <w:sz w:val="24"/>
          <w:szCs w:val="24"/>
        </w:rPr>
        <w:lastRenderedPageBreak/>
        <w:t>Цель работы:</w:t>
      </w:r>
      <w:r w:rsidRPr="007447B7">
        <w:rPr>
          <w:rFonts w:ascii="Times New Roman" w:hAnsi="Times New Roman"/>
          <w:sz w:val="24"/>
          <w:szCs w:val="24"/>
        </w:rPr>
        <w:t xml:space="preserve"> ознакомиться с процедурами выплаты лицензионных отчислений; получить практические навыки расчета роялти.</w:t>
      </w:r>
    </w:p>
    <w:p w14:paraId="1C4432EF" w14:textId="7F62C620" w:rsidR="009B7E65" w:rsidRPr="007447B7" w:rsidRDefault="009B7E65" w:rsidP="007447B7">
      <w:pPr>
        <w:spacing w:after="160" w:line="259" w:lineRule="auto"/>
        <w:jc w:val="both"/>
        <w:rPr>
          <w:rFonts w:ascii="Times New Roman" w:hAnsi="Times New Roman"/>
          <w:sz w:val="24"/>
          <w:szCs w:val="24"/>
        </w:rPr>
      </w:pPr>
      <w:r w:rsidRPr="007447B7">
        <w:rPr>
          <w:rFonts w:ascii="Times New Roman" w:hAnsi="Times New Roman"/>
          <w:sz w:val="24"/>
          <w:szCs w:val="24"/>
        </w:rPr>
        <w:br w:type="page"/>
      </w:r>
    </w:p>
    <w:p w14:paraId="6030BDC9" w14:textId="7F68B5E6" w:rsidR="002403A9" w:rsidRPr="007447B7" w:rsidRDefault="009B7E65" w:rsidP="007447B7">
      <w:pPr>
        <w:ind w:firstLine="708"/>
        <w:jc w:val="both"/>
        <w:rPr>
          <w:rFonts w:ascii="Times New Roman" w:hAnsi="Times New Roman"/>
          <w:b/>
          <w:bCs/>
          <w:sz w:val="28"/>
          <w:szCs w:val="28"/>
        </w:rPr>
      </w:pPr>
      <w:r w:rsidRPr="007447B7">
        <w:rPr>
          <w:rFonts w:ascii="Times New Roman" w:hAnsi="Times New Roman"/>
          <w:b/>
          <w:bCs/>
          <w:sz w:val="28"/>
          <w:szCs w:val="28"/>
        </w:rPr>
        <w:lastRenderedPageBreak/>
        <w:t>Вопросы и ответы согласно практическому заданию</w:t>
      </w:r>
    </w:p>
    <w:p w14:paraId="06DFBD07" w14:textId="0297CB7D" w:rsidR="002403A9" w:rsidRPr="007447B7" w:rsidRDefault="002403A9" w:rsidP="007447B7">
      <w:pPr>
        <w:pStyle w:val="a3"/>
        <w:numPr>
          <w:ilvl w:val="0"/>
          <w:numId w:val="5"/>
        </w:numPr>
        <w:ind w:left="0" w:firstLine="360"/>
        <w:jc w:val="both"/>
        <w:rPr>
          <w:rFonts w:ascii="Times New Roman" w:hAnsi="Times New Roman"/>
          <w:b/>
          <w:bCs/>
          <w:i/>
          <w:iCs/>
          <w:sz w:val="28"/>
          <w:szCs w:val="28"/>
        </w:rPr>
      </w:pPr>
      <w:r w:rsidRPr="007447B7">
        <w:rPr>
          <w:rFonts w:ascii="Times New Roman" w:hAnsi="Times New Roman"/>
          <w:b/>
          <w:bCs/>
          <w:i/>
          <w:iCs/>
          <w:sz w:val="28"/>
          <w:szCs w:val="28"/>
        </w:rPr>
        <w:t>Что является основной формой приобретения права на использования объекта</w:t>
      </w:r>
      <w:r w:rsidRPr="007447B7">
        <w:rPr>
          <w:rFonts w:ascii="Times New Roman" w:hAnsi="Times New Roman"/>
          <w:b/>
          <w:bCs/>
          <w:i/>
          <w:iCs/>
          <w:sz w:val="28"/>
          <w:szCs w:val="28"/>
        </w:rPr>
        <w:t xml:space="preserve"> </w:t>
      </w:r>
      <w:r w:rsidRPr="007447B7">
        <w:rPr>
          <w:rFonts w:ascii="Times New Roman" w:hAnsi="Times New Roman"/>
          <w:b/>
          <w:bCs/>
          <w:i/>
          <w:iCs/>
          <w:sz w:val="28"/>
          <w:szCs w:val="28"/>
        </w:rPr>
        <w:t>промышленной собственности, чтобы внедрить в его в производство?</w:t>
      </w:r>
    </w:p>
    <w:p w14:paraId="121B9685" w14:textId="7F0C7ABD" w:rsidR="002403A9" w:rsidRPr="007447B7" w:rsidRDefault="009B7E65" w:rsidP="007447B7">
      <w:pPr>
        <w:ind w:firstLine="708"/>
        <w:jc w:val="both"/>
        <w:rPr>
          <w:rFonts w:ascii="Times New Roman" w:hAnsi="Times New Roman"/>
          <w:sz w:val="28"/>
          <w:szCs w:val="28"/>
        </w:rPr>
      </w:pPr>
      <w:r w:rsidRPr="007447B7">
        <w:rPr>
          <w:rFonts w:ascii="Times New Roman" w:hAnsi="Times New Roman"/>
          <w:sz w:val="28"/>
          <w:szCs w:val="28"/>
        </w:rPr>
        <w:t>Одной из основных форм передачи прав на объекты промышленной собственности (ОПС) является передача прав на основе лицензионного договора, который представляет собой документ, определяющий права на ОПС, которые передает обладатель исключительных имущественных прав (лицензиар) другому лицу (лицензиату) полностью или частично</w:t>
      </w:r>
      <w:r w:rsidR="002403A9" w:rsidRPr="007447B7">
        <w:rPr>
          <w:rFonts w:ascii="Times New Roman" w:hAnsi="Times New Roman"/>
          <w:sz w:val="28"/>
          <w:szCs w:val="28"/>
        </w:rPr>
        <w:t>.</w:t>
      </w:r>
    </w:p>
    <w:p w14:paraId="45B1B8E7" w14:textId="126E6764" w:rsidR="002403A9" w:rsidRPr="007447B7" w:rsidRDefault="007447B7" w:rsidP="007447B7">
      <w:pPr>
        <w:ind w:firstLine="708"/>
        <w:jc w:val="both"/>
        <w:rPr>
          <w:rFonts w:ascii="Times New Roman" w:hAnsi="Times New Roman"/>
          <w:b/>
          <w:bCs/>
          <w:i/>
          <w:iCs/>
          <w:sz w:val="28"/>
          <w:szCs w:val="28"/>
        </w:rPr>
      </w:pPr>
      <w:r w:rsidRPr="007447B7">
        <w:rPr>
          <w:rFonts w:ascii="Times New Roman" w:hAnsi="Times New Roman"/>
          <w:b/>
          <w:bCs/>
          <w:i/>
          <w:iCs/>
          <w:sz w:val="28"/>
          <w:szCs w:val="28"/>
        </w:rPr>
        <w:t xml:space="preserve">2. </w:t>
      </w:r>
      <w:r w:rsidR="002403A9" w:rsidRPr="007447B7">
        <w:rPr>
          <w:rFonts w:ascii="Times New Roman" w:hAnsi="Times New Roman"/>
          <w:b/>
          <w:bCs/>
          <w:i/>
          <w:iCs/>
          <w:sz w:val="28"/>
          <w:szCs w:val="28"/>
        </w:rPr>
        <w:t>Укажите факторы, влияющие на размер вознаграждения (стоимость лицензии) за право пользования объектом промышленной собственности (ОПС), и основные методы его расчета.</w:t>
      </w:r>
    </w:p>
    <w:p w14:paraId="2A43D0ED"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 xml:space="preserve">а) объем прав, предоставляемых лицензиату (исключительная или простая лицензия; право производить, использовать, продавать продукцию или весь комплекс прав); </w:t>
      </w:r>
    </w:p>
    <w:p w14:paraId="16C9BF9B"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 xml:space="preserve">б) прибыль или экономию, которую использование лицензии может принести лицензиату; </w:t>
      </w:r>
    </w:p>
    <w:p w14:paraId="27CF52A7"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в) ожидаемый объем товара, производимого по лицензии, или возможности использования технологического процесса (аппаратуры), на который предлагается лицензия;</w:t>
      </w:r>
    </w:p>
    <w:p w14:paraId="7DAAA128"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 xml:space="preserve">г) объем технологических работ, необходимый лицензиату для освоения процесса по лицензии; стоимость конструкторских работ (разработка чертежей, спецификаций и т. д.); </w:t>
      </w:r>
    </w:p>
    <w:p w14:paraId="024E7304"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 xml:space="preserve">д) вид и характер обязательств, принимаемых на себя по соглашению, например, технические гарантии и ответственность, отсутствие исков третьих лиц, объем помощи, предоставляемой лицензиаром, и т.д.; </w:t>
      </w:r>
    </w:p>
    <w:p w14:paraId="38892F7A"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 xml:space="preserve">е) ограничительные условия: </w:t>
      </w:r>
    </w:p>
    <w:p w14:paraId="524585CF"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1) срок действия и территория соглашения; </w:t>
      </w:r>
    </w:p>
    <w:p w14:paraId="2565AFB8"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2) объем выпуска продукции по лицензии; </w:t>
      </w:r>
    </w:p>
    <w:p w14:paraId="7555975E"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3) наличие конкуренции на данном рынке, ограничивающей объем реализации продукции; </w:t>
      </w:r>
    </w:p>
    <w:p w14:paraId="73BE519C" w14:textId="6D2284D4" w:rsidR="002403A9"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4) сроки, необходимые для организации производства продукции по лицензии;</w:t>
      </w:r>
    </w:p>
    <w:p w14:paraId="604EB3AC" w14:textId="77777777" w:rsidR="007447B7" w:rsidRPr="007447B7" w:rsidRDefault="007447B7" w:rsidP="007447B7">
      <w:pPr>
        <w:spacing w:line="240" w:lineRule="auto"/>
        <w:ind w:left="708" w:firstLine="708"/>
        <w:jc w:val="both"/>
        <w:rPr>
          <w:rFonts w:ascii="Times New Roman" w:hAnsi="Times New Roman"/>
          <w:sz w:val="28"/>
          <w:szCs w:val="28"/>
        </w:rPr>
      </w:pPr>
    </w:p>
    <w:p w14:paraId="1626192F"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lastRenderedPageBreak/>
        <w:t>ж) финансовые условия:</w:t>
      </w:r>
    </w:p>
    <w:p w14:paraId="1A0DF061"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1) цены на сырье, оборудование, электроэнергию, рабочую силу;</w:t>
      </w:r>
    </w:p>
    <w:p w14:paraId="6B118269"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2) ставки банковского процента; </w:t>
      </w:r>
    </w:p>
    <w:p w14:paraId="33A18C4A"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3) налоговая система, относящаяся к покупке-продаже лицензий; </w:t>
      </w:r>
    </w:p>
    <w:p w14:paraId="3ECDF37F"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4) инфляционные процессы; </w:t>
      </w:r>
    </w:p>
    <w:p w14:paraId="310C63E6" w14:textId="06DF53C2"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5) изменение курсов валют и др.; </w:t>
      </w:r>
    </w:p>
    <w:p w14:paraId="409CF438" w14:textId="77777777" w:rsidR="007447B7" w:rsidRPr="007447B7" w:rsidRDefault="007447B7" w:rsidP="007447B7">
      <w:pPr>
        <w:spacing w:line="240" w:lineRule="auto"/>
        <w:ind w:left="708" w:firstLine="708"/>
        <w:jc w:val="both"/>
        <w:rPr>
          <w:rFonts w:ascii="Times New Roman" w:hAnsi="Times New Roman"/>
          <w:sz w:val="28"/>
          <w:szCs w:val="28"/>
        </w:rPr>
      </w:pPr>
    </w:p>
    <w:p w14:paraId="71AFE611" w14:textId="77777777" w:rsidR="002403A9" w:rsidRPr="007447B7" w:rsidRDefault="002403A9" w:rsidP="007447B7">
      <w:pPr>
        <w:spacing w:line="240" w:lineRule="auto"/>
        <w:ind w:firstLine="708"/>
        <w:jc w:val="both"/>
        <w:rPr>
          <w:rFonts w:ascii="Times New Roman" w:hAnsi="Times New Roman"/>
          <w:sz w:val="28"/>
          <w:szCs w:val="28"/>
        </w:rPr>
      </w:pPr>
      <w:r w:rsidRPr="007447B7">
        <w:rPr>
          <w:rFonts w:ascii="Times New Roman" w:hAnsi="Times New Roman"/>
          <w:sz w:val="28"/>
          <w:szCs w:val="28"/>
        </w:rPr>
        <w:t>з) характер и условия платежа:</w:t>
      </w:r>
    </w:p>
    <w:p w14:paraId="78A0CAEA" w14:textId="7C4064BC"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1) паушальный (единовременный); </w:t>
      </w:r>
    </w:p>
    <w:p w14:paraId="3C49F4C8" w14:textId="77777777"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 xml:space="preserve">2) роялти (периодические отчисления); </w:t>
      </w:r>
    </w:p>
    <w:p w14:paraId="0A98CB53" w14:textId="6825C504" w:rsidR="002403A9" w:rsidRPr="007447B7" w:rsidRDefault="002403A9" w:rsidP="007447B7">
      <w:pPr>
        <w:spacing w:line="240" w:lineRule="auto"/>
        <w:ind w:left="708" w:firstLine="708"/>
        <w:jc w:val="both"/>
        <w:rPr>
          <w:rFonts w:ascii="Times New Roman" w:hAnsi="Times New Roman"/>
          <w:sz w:val="28"/>
          <w:szCs w:val="28"/>
        </w:rPr>
      </w:pPr>
      <w:r w:rsidRPr="007447B7">
        <w:rPr>
          <w:rFonts w:ascii="Times New Roman" w:hAnsi="Times New Roman"/>
          <w:sz w:val="28"/>
          <w:szCs w:val="28"/>
        </w:rPr>
        <w:t>3) комбинированные платежи</w:t>
      </w:r>
      <w:r w:rsidRPr="007447B7">
        <w:rPr>
          <w:rFonts w:ascii="Times New Roman" w:hAnsi="Times New Roman"/>
          <w:sz w:val="28"/>
          <w:szCs w:val="28"/>
        </w:rPr>
        <w:t>.</w:t>
      </w:r>
    </w:p>
    <w:p w14:paraId="6695B309" w14:textId="08ED1C64" w:rsidR="007447B7" w:rsidRPr="007447B7" w:rsidRDefault="007447B7" w:rsidP="007447B7">
      <w:pPr>
        <w:spacing w:after="160" w:line="259" w:lineRule="auto"/>
        <w:rPr>
          <w:rFonts w:ascii="Times New Roman" w:hAnsi="Times New Roman"/>
          <w:sz w:val="24"/>
          <w:szCs w:val="24"/>
        </w:rPr>
      </w:pPr>
      <w:r>
        <w:rPr>
          <w:rFonts w:ascii="Times New Roman" w:hAnsi="Times New Roman"/>
          <w:sz w:val="24"/>
          <w:szCs w:val="24"/>
        </w:rPr>
        <w:br w:type="page"/>
      </w:r>
    </w:p>
    <w:p w14:paraId="18023FE1" w14:textId="77777777" w:rsidR="007447B7" w:rsidRPr="007447B7" w:rsidRDefault="007447B7" w:rsidP="007447B7">
      <w:pPr>
        <w:pStyle w:val="a4"/>
        <w:spacing w:before="0" w:beforeAutospacing="0" w:after="0" w:afterAutospacing="0"/>
        <w:ind w:firstLine="652"/>
        <w:jc w:val="both"/>
        <w:rPr>
          <w:b/>
          <w:bCs/>
          <w:i/>
          <w:color w:val="000000"/>
          <w:sz w:val="28"/>
          <w:szCs w:val="28"/>
        </w:rPr>
      </w:pPr>
      <w:r w:rsidRPr="007447B7">
        <w:rPr>
          <w:b/>
          <w:i/>
          <w:color w:val="000000"/>
          <w:sz w:val="28"/>
          <w:szCs w:val="28"/>
        </w:rPr>
        <w:lastRenderedPageBreak/>
        <w:t>3.</w:t>
      </w:r>
      <w:r w:rsidRPr="007447B7">
        <w:rPr>
          <w:i/>
        </w:rPr>
        <w:t xml:space="preserve"> </w:t>
      </w:r>
      <w:r w:rsidRPr="007447B7">
        <w:rPr>
          <w:rStyle w:val="fontstyle01"/>
          <w:rFonts w:ascii="Times New Roman" w:hAnsi="Times New Roman"/>
          <w:b/>
          <w:bCs/>
          <w:i/>
        </w:rPr>
        <w:t>На основании каких факторов (показателей) формируется размер</w:t>
      </w:r>
      <w:r w:rsidRPr="007447B7">
        <w:rPr>
          <w:b/>
          <w:bCs/>
          <w:i/>
          <w:color w:val="000000"/>
          <w:sz w:val="28"/>
          <w:szCs w:val="28"/>
        </w:rPr>
        <w:br/>
      </w:r>
      <w:r w:rsidRPr="007447B7">
        <w:rPr>
          <w:rStyle w:val="fontstyle01"/>
          <w:rFonts w:ascii="Times New Roman" w:hAnsi="Times New Roman"/>
          <w:b/>
          <w:bCs/>
          <w:i/>
        </w:rPr>
        <w:t>вознаграждения за право пользования объектом промышленной собственности (ОПС</w:t>
      </w:r>
      <w:proofErr w:type="gramStart"/>
      <w:r w:rsidRPr="007447B7">
        <w:rPr>
          <w:rStyle w:val="fontstyle01"/>
          <w:rFonts w:ascii="Times New Roman" w:hAnsi="Times New Roman"/>
          <w:b/>
          <w:bCs/>
          <w:i/>
        </w:rPr>
        <w:t>),выплата</w:t>
      </w:r>
      <w:proofErr w:type="gramEnd"/>
      <w:r w:rsidRPr="007447B7">
        <w:rPr>
          <w:rStyle w:val="fontstyle01"/>
          <w:rFonts w:ascii="Times New Roman" w:hAnsi="Times New Roman"/>
          <w:b/>
          <w:bCs/>
          <w:i/>
        </w:rPr>
        <w:t xml:space="preserve"> которого осуществляется в форме роялти (периодических выплат).</w:t>
      </w:r>
      <w:r w:rsidRPr="007447B7">
        <w:rPr>
          <w:b/>
          <w:bCs/>
          <w:i/>
          <w:color w:val="000000"/>
          <w:sz w:val="28"/>
          <w:szCs w:val="28"/>
        </w:rPr>
        <w:t xml:space="preserve"> </w:t>
      </w:r>
      <w:r w:rsidRPr="007447B7">
        <w:rPr>
          <w:rStyle w:val="fontstyle01"/>
          <w:rFonts w:ascii="Times New Roman" w:hAnsi="Times New Roman"/>
          <w:b/>
          <w:bCs/>
          <w:i/>
        </w:rPr>
        <w:t>Приведите формулу расчета стоимости лицензии исходя из стоимости продукции, произведенной с использованием научной разработки (ОПС).</w:t>
      </w:r>
    </w:p>
    <w:p w14:paraId="29596BE3" w14:textId="77777777" w:rsidR="007447B7" w:rsidRPr="007447B7" w:rsidRDefault="007447B7" w:rsidP="007447B7">
      <w:pPr>
        <w:pStyle w:val="a4"/>
        <w:ind w:firstLine="652"/>
        <w:jc w:val="both"/>
        <w:rPr>
          <w:color w:val="000000"/>
          <w:sz w:val="28"/>
          <w:szCs w:val="28"/>
        </w:rPr>
      </w:pPr>
      <w:r w:rsidRPr="007447B7">
        <w:rPr>
          <w:color w:val="000000"/>
          <w:sz w:val="28"/>
          <w:szCs w:val="28"/>
        </w:rPr>
        <w:t xml:space="preserve">Размер вознаграждения за право пользования объектом промышленной собственности (ОПС), выплата которого осуществляется в форме роялти, формируется на основании следующих факторов: объема производства продукции, стоимости продукции, произведенной с использованием ОПС, размера рыночной цены ОПС. </w:t>
      </w:r>
    </w:p>
    <w:p w14:paraId="668CB270" w14:textId="77777777" w:rsidR="007447B7" w:rsidRPr="007447B7" w:rsidRDefault="007447B7" w:rsidP="007447B7">
      <w:pPr>
        <w:pStyle w:val="a4"/>
        <w:ind w:firstLine="652"/>
        <w:jc w:val="both"/>
        <w:rPr>
          <w:color w:val="000000"/>
          <w:sz w:val="28"/>
          <w:szCs w:val="28"/>
        </w:rPr>
      </w:pPr>
      <w:r w:rsidRPr="007447B7">
        <w:rPr>
          <w:color w:val="000000"/>
          <w:sz w:val="28"/>
          <w:szCs w:val="28"/>
        </w:rPr>
        <w:t xml:space="preserve">Формула расчета стоимости лицензии исходя из стоимости продукции, произведенной с использованием научной разработки (ОПС), может быть представлена следующим образом: </w:t>
      </w:r>
    </w:p>
    <w:p w14:paraId="3EA65DC3" w14:textId="77777777" w:rsidR="007447B7" w:rsidRPr="007447B7" w:rsidRDefault="007447B7" w:rsidP="007447B7">
      <w:pPr>
        <w:pStyle w:val="a4"/>
        <w:ind w:firstLine="652"/>
        <w:jc w:val="both"/>
        <w:rPr>
          <w:color w:val="000000"/>
          <w:sz w:val="28"/>
          <w:szCs w:val="28"/>
        </w:rPr>
      </w:pPr>
      <w:r w:rsidRPr="007447B7">
        <w:rPr>
          <w:color w:val="000000"/>
          <w:sz w:val="28"/>
          <w:szCs w:val="28"/>
        </w:rPr>
        <w:t>Стоимость лицензии = (Роялти * Объем производства продукции) / Стоимость продукции</w:t>
      </w:r>
    </w:p>
    <w:p w14:paraId="0F67CAF9" w14:textId="77777777" w:rsidR="007447B7" w:rsidRPr="007447B7" w:rsidRDefault="007447B7" w:rsidP="007447B7">
      <w:pPr>
        <w:pStyle w:val="a4"/>
        <w:spacing w:before="0" w:beforeAutospacing="0" w:after="0" w:afterAutospacing="0"/>
        <w:ind w:firstLine="652"/>
        <w:jc w:val="both"/>
        <w:rPr>
          <w:color w:val="000000"/>
          <w:sz w:val="28"/>
          <w:szCs w:val="28"/>
        </w:rPr>
      </w:pPr>
      <w:r w:rsidRPr="007447B7">
        <w:rPr>
          <w:color w:val="000000"/>
          <w:sz w:val="28"/>
          <w:szCs w:val="28"/>
        </w:rPr>
        <w:t>Здесь Роялти - размер вознаграждения за право использования ОПС в форме роялти.</w:t>
      </w:r>
    </w:p>
    <w:p w14:paraId="1BE270BA"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590B40DF" w14:textId="7DBAB91F" w:rsidR="007447B7" w:rsidRPr="007447B7" w:rsidRDefault="007447B7" w:rsidP="007447B7">
      <w:pPr>
        <w:pStyle w:val="a4"/>
        <w:spacing w:before="0" w:beforeAutospacing="0" w:after="0" w:afterAutospacing="0"/>
        <w:ind w:firstLine="652"/>
        <w:jc w:val="both"/>
        <w:rPr>
          <w:b/>
          <w:color w:val="000000"/>
          <w:sz w:val="28"/>
          <w:szCs w:val="28"/>
        </w:rPr>
      </w:pPr>
    </w:p>
    <w:p w14:paraId="7F5CCFF8" w14:textId="26A36B16" w:rsidR="007447B7" w:rsidRPr="007447B7" w:rsidRDefault="007447B7" w:rsidP="007447B7">
      <w:pPr>
        <w:pStyle w:val="a4"/>
        <w:spacing w:before="0" w:beforeAutospacing="0" w:after="0" w:afterAutospacing="0"/>
        <w:ind w:firstLine="652"/>
        <w:jc w:val="both"/>
        <w:rPr>
          <w:b/>
          <w:color w:val="000000"/>
          <w:sz w:val="28"/>
          <w:szCs w:val="28"/>
        </w:rPr>
      </w:pPr>
    </w:p>
    <w:p w14:paraId="664FE68F" w14:textId="224CE54D" w:rsidR="007447B7" w:rsidRPr="007447B7" w:rsidRDefault="007447B7" w:rsidP="007447B7">
      <w:pPr>
        <w:pStyle w:val="a4"/>
        <w:spacing w:before="0" w:beforeAutospacing="0" w:after="0" w:afterAutospacing="0"/>
        <w:ind w:firstLine="652"/>
        <w:jc w:val="both"/>
        <w:rPr>
          <w:b/>
          <w:color w:val="000000"/>
          <w:sz w:val="28"/>
          <w:szCs w:val="28"/>
        </w:rPr>
      </w:pPr>
    </w:p>
    <w:p w14:paraId="7B057D48" w14:textId="1CA429D8" w:rsidR="007447B7" w:rsidRPr="007447B7" w:rsidRDefault="007447B7" w:rsidP="007447B7">
      <w:pPr>
        <w:pStyle w:val="a4"/>
        <w:spacing w:before="0" w:beforeAutospacing="0" w:after="0" w:afterAutospacing="0"/>
        <w:ind w:firstLine="652"/>
        <w:jc w:val="both"/>
        <w:rPr>
          <w:b/>
          <w:color w:val="000000"/>
          <w:sz w:val="28"/>
          <w:szCs w:val="28"/>
        </w:rPr>
      </w:pPr>
    </w:p>
    <w:p w14:paraId="60E61284" w14:textId="756143FE" w:rsidR="007447B7" w:rsidRPr="007447B7" w:rsidRDefault="007447B7" w:rsidP="007447B7">
      <w:pPr>
        <w:pStyle w:val="a4"/>
        <w:spacing w:before="0" w:beforeAutospacing="0" w:after="0" w:afterAutospacing="0"/>
        <w:ind w:firstLine="652"/>
        <w:jc w:val="both"/>
        <w:rPr>
          <w:b/>
          <w:color w:val="000000"/>
          <w:sz w:val="28"/>
          <w:szCs w:val="28"/>
        </w:rPr>
      </w:pPr>
    </w:p>
    <w:p w14:paraId="2F7A52A6" w14:textId="02C16906" w:rsidR="007447B7" w:rsidRPr="007447B7" w:rsidRDefault="007447B7" w:rsidP="007447B7">
      <w:pPr>
        <w:pStyle w:val="a4"/>
        <w:spacing w:before="0" w:beforeAutospacing="0" w:after="0" w:afterAutospacing="0"/>
        <w:ind w:firstLine="652"/>
        <w:jc w:val="both"/>
        <w:rPr>
          <w:b/>
          <w:color w:val="000000"/>
          <w:sz w:val="28"/>
          <w:szCs w:val="28"/>
        </w:rPr>
      </w:pPr>
    </w:p>
    <w:p w14:paraId="50E6BFEE" w14:textId="3F5DE282" w:rsidR="007447B7" w:rsidRPr="007447B7" w:rsidRDefault="007447B7" w:rsidP="007447B7">
      <w:pPr>
        <w:pStyle w:val="a4"/>
        <w:spacing w:before="0" w:beforeAutospacing="0" w:after="0" w:afterAutospacing="0"/>
        <w:ind w:firstLine="652"/>
        <w:jc w:val="both"/>
        <w:rPr>
          <w:b/>
          <w:color w:val="000000"/>
          <w:sz w:val="28"/>
          <w:szCs w:val="28"/>
        </w:rPr>
      </w:pPr>
    </w:p>
    <w:p w14:paraId="0FC765ED" w14:textId="6F9E009F" w:rsidR="007447B7" w:rsidRPr="007447B7" w:rsidRDefault="007447B7" w:rsidP="007447B7">
      <w:pPr>
        <w:pStyle w:val="a4"/>
        <w:spacing w:before="0" w:beforeAutospacing="0" w:after="0" w:afterAutospacing="0"/>
        <w:ind w:firstLine="652"/>
        <w:jc w:val="both"/>
        <w:rPr>
          <w:b/>
          <w:color w:val="000000"/>
          <w:sz w:val="28"/>
          <w:szCs w:val="28"/>
        </w:rPr>
      </w:pPr>
    </w:p>
    <w:p w14:paraId="626EE819" w14:textId="53CAE9E9" w:rsidR="007447B7" w:rsidRPr="007447B7" w:rsidRDefault="007447B7" w:rsidP="007447B7">
      <w:pPr>
        <w:spacing w:after="160" w:line="259" w:lineRule="auto"/>
        <w:rPr>
          <w:rFonts w:ascii="Times New Roman" w:eastAsia="Times New Roman" w:hAnsi="Times New Roman"/>
          <w:b/>
          <w:color w:val="000000"/>
          <w:sz w:val="28"/>
          <w:szCs w:val="28"/>
          <w:lang w:eastAsia="ru-RU"/>
        </w:rPr>
      </w:pPr>
      <w:r>
        <w:rPr>
          <w:b/>
          <w:color w:val="000000"/>
          <w:sz w:val="28"/>
          <w:szCs w:val="28"/>
        </w:rPr>
        <w:br w:type="page"/>
      </w:r>
    </w:p>
    <w:p w14:paraId="139CD55A" w14:textId="77777777" w:rsidR="007447B7" w:rsidRPr="007447B7" w:rsidRDefault="007447B7" w:rsidP="007447B7">
      <w:pPr>
        <w:pStyle w:val="a4"/>
        <w:spacing w:before="0" w:beforeAutospacing="0" w:after="0" w:afterAutospacing="0"/>
        <w:ind w:firstLine="652"/>
        <w:jc w:val="both"/>
        <w:rPr>
          <w:rStyle w:val="fontstyle01"/>
          <w:rFonts w:ascii="Times New Roman" w:hAnsi="Times New Roman"/>
          <w:b/>
          <w:i/>
        </w:rPr>
      </w:pPr>
      <w:r w:rsidRPr="007447B7">
        <w:rPr>
          <w:b/>
          <w:i/>
          <w:color w:val="000000"/>
          <w:sz w:val="28"/>
          <w:szCs w:val="28"/>
        </w:rPr>
        <w:lastRenderedPageBreak/>
        <w:t>4.</w:t>
      </w:r>
      <w:r w:rsidRPr="007447B7">
        <w:rPr>
          <w:b/>
          <w:i/>
        </w:rPr>
        <w:t xml:space="preserve"> </w:t>
      </w:r>
      <w:r w:rsidRPr="007447B7">
        <w:rPr>
          <w:rStyle w:val="fontstyle01"/>
          <w:rFonts w:ascii="Times New Roman" w:hAnsi="Times New Roman"/>
          <w:b/>
          <w:i/>
        </w:rPr>
        <w:t>Как можно определить ставку роялти?</w:t>
      </w:r>
    </w:p>
    <w:p w14:paraId="02B19AEA" w14:textId="77777777" w:rsidR="007447B7" w:rsidRPr="007447B7" w:rsidRDefault="007447B7" w:rsidP="007447B7">
      <w:pPr>
        <w:pStyle w:val="a4"/>
        <w:spacing w:before="0" w:beforeAutospacing="0" w:after="0" w:afterAutospacing="0"/>
        <w:ind w:firstLine="652"/>
        <w:jc w:val="both"/>
        <w:rPr>
          <w:rStyle w:val="fontstyle01"/>
          <w:rFonts w:ascii="Times New Roman" w:hAnsi="Times New Roman"/>
        </w:rPr>
      </w:pPr>
    </w:p>
    <w:p w14:paraId="7290C5D7" w14:textId="77777777" w:rsidR="007447B7" w:rsidRPr="007447B7" w:rsidRDefault="007447B7" w:rsidP="007447B7">
      <w:pPr>
        <w:pStyle w:val="a4"/>
        <w:ind w:firstLine="652"/>
        <w:jc w:val="both"/>
      </w:pPr>
      <w:r w:rsidRPr="007447B7">
        <w:rPr>
          <w:color w:val="000000"/>
          <w:sz w:val="28"/>
          <w:szCs w:val="28"/>
        </w:rPr>
        <w:t>Ставка роялти может быть определена с помощью таблиц стандартных ставок роялти, составленных на основе анализа мировой практики лицензионной торговли, либо расчетным путем исходя из нормы рентабельности выпускаемой по лицензии продукции и доли лицензиара в прибыли лицензиата. При определении ставки роялти учитываются следующие факторы: Уникальность и ценность объекта промышленной собственности (ОПС). Размер рынка, на котором будет использоваться ОПС. Конкурентная ситуация на рынке. Степень защиты ОПС. Уровень технологической развитости отрасли. Степень вовлеченности лицензиара в производство продукции по лицензии. Срок действия лицензионного договора.</w:t>
      </w:r>
    </w:p>
    <w:p w14:paraId="54260E77"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0543050E" w14:textId="7725988A" w:rsidR="007447B7" w:rsidRPr="007447B7" w:rsidRDefault="007447B7" w:rsidP="007447B7">
      <w:pPr>
        <w:spacing w:after="160" w:line="259" w:lineRule="auto"/>
        <w:rPr>
          <w:rFonts w:ascii="Times New Roman" w:eastAsia="Times New Roman" w:hAnsi="Times New Roman"/>
          <w:b/>
          <w:color w:val="000000"/>
          <w:sz w:val="28"/>
          <w:szCs w:val="28"/>
          <w:lang w:eastAsia="ru-RU"/>
        </w:rPr>
      </w:pPr>
      <w:r>
        <w:rPr>
          <w:b/>
          <w:color w:val="000000"/>
          <w:sz w:val="28"/>
          <w:szCs w:val="28"/>
        </w:rPr>
        <w:br w:type="page"/>
      </w:r>
    </w:p>
    <w:p w14:paraId="3A29337B" w14:textId="77777777" w:rsidR="007447B7" w:rsidRPr="007447B7" w:rsidRDefault="007447B7" w:rsidP="007447B7">
      <w:pPr>
        <w:pStyle w:val="a4"/>
        <w:ind w:firstLine="652"/>
        <w:jc w:val="both"/>
        <w:rPr>
          <w:rStyle w:val="fontstyle01"/>
          <w:rFonts w:ascii="Times New Roman" w:hAnsi="Times New Roman"/>
          <w:b/>
          <w:i/>
        </w:rPr>
      </w:pPr>
      <w:r w:rsidRPr="007447B7">
        <w:rPr>
          <w:rStyle w:val="fontstyle01"/>
          <w:rFonts w:ascii="Times New Roman" w:hAnsi="Times New Roman"/>
          <w:b/>
          <w:i/>
        </w:rPr>
        <w:lastRenderedPageBreak/>
        <w:t>5. В чем отличие при определении размера вознаграждения, выплачиваемого в</w:t>
      </w:r>
      <w:r w:rsidRPr="007447B7">
        <w:rPr>
          <w:b/>
          <w:i/>
          <w:color w:val="000000"/>
          <w:sz w:val="28"/>
          <w:szCs w:val="28"/>
        </w:rPr>
        <w:t xml:space="preserve"> </w:t>
      </w:r>
      <w:r w:rsidRPr="007447B7">
        <w:rPr>
          <w:rStyle w:val="fontstyle01"/>
          <w:rFonts w:ascii="Times New Roman" w:hAnsi="Times New Roman"/>
          <w:b/>
          <w:i/>
        </w:rPr>
        <w:t>форме роялти, от размера вознаграждения, выплачиваемого паушальным платежом?</w:t>
      </w:r>
    </w:p>
    <w:p w14:paraId="59A8B872" w14:textId="77777777" w:rsidR="007447B7" w:rsidRPr="007447B7" w:rsidRDefault="007447B7" w:rsidP="007447B7">
      <w:pPr>
        <w:pStyle w:val="a4"/>
        <w:ind w:firstLine="652"/>
        <w:jc w:val="both"/>
      </w:pPr>
      <w:r w:rsidRPr="007447B7">
        <w:rPr>
          <w:color w:val="000000"/>
          <w:sz w:val="28"/>
          <w:szCs w:val="28"/>
        </w:rPr>
        <w:t>Размер вознаграждения, выплачиваемого в форме роялти, зависит от объема производства продукции, произведенной с использованием объекта промышленной собственности (ОПС), и может изменяться в зависимости от объемов производства.</w:t>
      </w:r>
      <w:r w:rsidRPr="007447B7">
        <w:t xml:space="preserve"> </w:t>
      </w:r>
      <w:r w:rsidRPr="007447B7">
        <w:rPr>
          <w:color w:val="000000"/>
          <w:sz w:val="28"/>
          <w:szCs w:val="28"/>
        </w:rPr>
        <w:t>Роялти выплачиваются периодически в течение срока действия лицензионного договора.</w:t>
      </w:r>
    </w:p>
    <w:p w14:paraId="38B8C12F" w14:textId="77777777" w:rsidR="007447B7" w:rsidRPr="007447B7" w:rsidRDefault="007447B7" w:rsidP="007447B7">
      <w:pPr>
        <w:pStyle w:val="a4"/>
        <w:ind w:firstLine="652"/>
        <w:jc w:val="both"/>
        <w:rPr>
          <w:color w:val="000000"/>
          <w:sz w:val="28"/>
          <w:szCs w:val="28"/>
        </w:rPr>
      </w:pPr>
      <w:r w:rsidRPr="007447B7">
        <w:rPr>
          <w:color w:val="000000"/>
          <w:sz w:val="28"/>
          <w:szCs w:val="28"/>
        </w:rPr>
        <w:t xml:space="preserve"> Размер вознаграждения, выплачиваемого паушальным платежом, определяется заранее и выплачивается единовременно при заключении лицензионного договора. При этом лицензиат получает право на использование ОПС в течение всего срока действия договора без дополнительных выплат.</w:t>
      </w:r>
    </w:p>
    <w:p w14:paraId="21C779CC" w14:textId="41358EC6" w:rsidR="007447B7" w:rsidRPr="007447B7" w:rsidRDefault="007447B7" w:rsidP="007447B7">
      <w:pPr>
        <w:pStyle w:val="a4"/>
        <w:spacing w:before="0" w:beforeAutospacing="0" w:after="0" w:afterAutospacing="0"/>
        <w:ind w:firstLine="652"/>
        <w:jc w:val="both"/>
        <w:rPr>
          <w:b/>
          <w:color w:val="000000"/>
          <w:sz w:val="28"/>
          <w:szCs w:val="28"/>
        </w:rPr>
      </w:pPr>
    </w:p>
    <w:p w14:paraId="3EB32C1A" w14:textId="7AAFCA0B" w:rsidR="007447B7" w:rsidRPr="007447B7" w:rsidRDefault="007447B7" w:rsidP="007447B7">
      <w:pPr>
        <w:pStyle w:val="a4"/>
        <w:spacing w:before="0" w:beforeAutospacing="0" w:after="0" w:afterAutospacing="0"/>
        <w:ind w:firstLine="652"/>
        <w:jc w:val="both"/>
        <w:rPr>
          <w:b/>
          <w:color w:val="000000"/>
          <w:sz w:val="28"/>
          <w:szCs w:val="28"/>
        </w:rPr>
      </w:pPr>
    </w:p>
    <w:p w14:paraId="44E6F7B7" w14:textId="6BB9FAB9" w:rsidR="007447B7" w:rsidRPr="007447B7" w:rsidRDefault="007447B7" w:rsidP="007447B7">
      <w:pPr>
        <w:pStyle w:val="a4"/>
        <w:spacing w:before="0" w:beforeAutospacing="0" w:after="0" w:afterAutospacing="0"/>
        <w:ind w:firstLine="652"/>
        <w:jc w:val="both"/>
        <w:rPr>
          <w:b/>
          <w:color w:val="000000"/>
          <w:sz w:val="28"/>
          <w:szCs w:val="28"/>
        </w:rPr>
      </w:pPr>
    </w:p>
    <w:p w14:paraId="58D483D7" w14:textId="6BD2BA07" w:rsidR="007447B7" w:rsidRPr="007447B7" w:rsidRDefault="007447B7" w:rsidP="007447B7">
      <w:pPr>
        <w:pStyle w:val="a4"/>
        <w:spacing w:before="0" w:beforeAutospacing="0" w:after="0" w:afterAutospacing="0"/>
        <w:ind w:firstLine="652"/>
        <w:jc w:val="both"/>
        <w:rPr>
          <w:b/>
          <w:color w:val="000000"/>
          <w:sz w:val="28"/>
          <w:szCs w:val="28"/>
        </w:rPr>
      </w:pPr>
    </w:p>
    <w:p w14:paraId="0E37801A" w14:textId="023A2C1B" w:rsidR="007447B7" w:rsidRPr="007447B7" w:rsidRDefault="007447B7" w:rsidP="007447B7">
      <w:pPr>
        <w:pStyle w:val="a4"/>
        <w:spacing w:before="0" w:beforeAutospacing="0" w:after="0" w:afterAutospacing="0"/>
        <w:ind w:firstLine="652"/>
        <w:jc w:val="both"/>
        <w:rPr>
          <w:b/>
          <w:color w:val="000000"/>
          <w:sz w:val="28"/>
          <w:szCs w:val="28"/>
        </w:rPr>
      </w:pPr>
    </w:p>
    <w:p w14:paraId="0CBAC64D" w14:textId="74563E2E" w:rsidR="007447B7" w:rsidRPr="007447B7" w:rsidRDefault="007447B7" w:rsidP="007447B7">
      <w:pPr>
        <w:pStyle w:val="a4"/>
        <w:spacing w:before="0" w:beforeAutospacing="0" w:after="0" w:afterAutospacing="0"/>
        <w:ind w:firstLine="652"/>
        <w:jc w:val="both"/>
        <w:rPr>
          <w:b/>
          <w:color w:val="000000"/>
          <w:sz w:val="28"/>
          <w:szCs w:val="28"/>
        </w:rPr>
      </w:pPr>
    </w:p>
    <w:p w14:paraId="2B9C631D" w14:textId="29931632" w:rsidR="007447B7" w:rsidRPr="007447B7" w:rsidRDefault="007447B7" w:rsidP="007447B7">
      <w:pPr>
        <w:pStyle w:val="a4"/>
        <w:spacing w:before="0" w:beforeAutospacing="0" w:after="0" w:afterAutospacing="0"/>
        <w:ind w:firstLine="652"/>
        <w:jc w:val="both"/>
        <w:rPr>
          <w:b/>
          <w:color w:val="000000"/>
          <w:sz w:val="28"/>
          <w:szCs w:val="28"/>
        </w:rPr>
      </w:pPr>
    </w:p>
    <w:p w14:paraId="0AC73AA8" w14:textId="1822053E" w:rsidR="007447B7" w:rsidRPr="007447B7" w:rsidRDefault="007447B7" w:rsidP="007447B7">
      <w:pPr>
        <w:pStyle w:val="a4"/>
        <w:spacing w:before="0" w:beforeAutospacing="0" w:after="0" w:afterAutospacing="0"/>
        <w:ind w:firstLine="652"/>
        <w:jc w:val="both"/>
        <w:rPr>
          <w:b/>
          <w:color w:val="000000"/>
          <w:sz w:val="28"/>
          <w:szCs w:val="28"/>
        </w:rPr>
      </w:pPr>
    </w:p>
    <w:p w14:paraId="6C2FD691" w14:textId="0247579D" w:rsidR="007447B7" w:rsidRPr="007447B7" w:rsidRDefault="007447B7" w:rsidP="007447B7">
      <w:pPr>
        <w:pStyle w:val="a4"/>
        <w:spacing w:before="0" w:beforeAutospacing="0" w:after="0" w:afterAutospacing="0"/>
        <w:ind w:firstLine="652"/>
        <w:jc w:val="both"/>
        <w:rPr>
          <w:b/>
          <w:color w:val="000000"/>
          <w:sz w:val="28"/>
          <w:szCs w:val="28"/>
        </w:rPr>
      </w:pPr>
    </w:p>
    <w:p w14:paraId="05F8DAE9" w14:textId="36F2CAF4" w:rsidR="007447B7" w:rsidRPr="007447B7" w:rsidRDefault="007447B7" w:rsidP="007447B7">
      <w:pPr>
        <w:pStyle w:val="a4"/>
        <w:spacing w:before="0" w:beforeAutospacing="0" w:after="0" w:afterAutospacing="0"/>
        <w:ind w:firstLine="652"/>
        <w:jc w:val="both"/>
        <w:rPr>
          <w:b/>
          <w:color w:val="000000"/>
          <w:sz w:val="28"/>
          <w:szCs w:val="28"/>
          <w:lang w:val="en-US"/>
        </w:rPr>
      </w:pPr>
    </w:p>
    <w:p w14:paraId="1B60C6DA" w14:textId="6AB96A0A" w:rsidR="007447B7" w:rsidRPr="007447B7" w:rsidRDefault="007447B7" w:rsidP="007447B7">
      <w:pPr>
        <w:pStyle w:val="a4"/>
        <w:spacing w:before="0" w:beforeAutospacing="0" w:after="0" w:afterAutospacing="0"/>
        <w:ind w:firstLine="652"/>
        <w:jc w:val="both"/>
        <w:rPr>
          <w:b/>
          <w:color w:val="000000"/>
          <w:sz w:val="28"/>
          <w:szCs w:val="28"/>
        </w:rPr>
      </w:pPr>
    </w:p>
    <w:p w14:paraId="29B2DC57" w14:textId="4DBBB1C6" w:rsidR="007447B7" w:rsidRPr="007447B7" w:rsidRDefault="007447B7" w:rsidP="007447B7">
      <w:pPr>
        <w:spacing w:after="160" w:line="259" w:lineRule="auto"/>
        <w:rPr>
          <w:rFonts w:ascii="Times New Roman" w:eastAsia="Times New Roman" w:hAnsi="Times New Roman"/>
          <w:b/>
          <w:color w:val="000000"/>
          <w:sz w:val="28"/>
          <w:szCs w:val="28"/>
          <w:lang w:eastAsia="ru-RU"/>
        </w:rPr>
      </w:pPr>
      <w:r>
        <w:rPr>
          <w:b/>
          <w:color w:val="000000"/>
          <w:sz w:val="28"/>
          <w:szCs w:val="28"/>
        </w:rPr>
        <w:br w:type="page"/>
      </w:r>
    </w:p>
    <w:p w14:paraId="34BB09BC" w14:textId="34178F40" w:rsidR="007447B7" w:rsidRPr="007447B7" w:rsidRDefault="007447B7" w:rsidP="007447B7">
      <w:pPr>
        <w:pStyle w:val="a4"/>
        <w:ind w:firstLine="652"/>
        <w:jc w:val="both"/>
        <w:rPr>
          <w:b/>
          <w:i/>
          <w:color w:val="000000"/>
          <w:sz w:val="28"/>
          <w:szCs w:val="28"/>
        </w:rPr>
      </w:pPr>
      <w:r w:rsidRPr="007447B7">
        <w:rPr>
          <w:b/>
          <w:i/>
          <w:color w:val="000000"/>
          <w:sz w:val="28"/>
          <w:szCs w:val="28"/>
        </w:rPr>
        <w:lastRenderedPageBreak/>
        <w:t>6.</w:t>
      </w:r>
      <w:r w:rsidRPr="007447B7">
        <w:rPr>
          <w:b/>
          <w:i/>
        </w:rPr>
        <w:t xml:space="preserve"> </w:t>
      </w:r>
      <w:r w:rsidRPr="007447B7">
        <w:rPr>
          <w:rStyle w:val="fontstyle01"/>
          <w:rFonts w:ascii="Times New Roman" w:hAnsi="Times New Roman"/>
          <w:b/>
          <w:i/>
        </w:rPr>
        <w:t>Указать порядок определения стоимости лицензии при применении в</w:t>
      </w:r>
      <w:r>
        <w:rPr>
          <w:b/>
          <w:i/>
          <w:color w:val="000000"/>
          <w:sz w:val="28"/>
          <w:szCs w:val="28"/>
        </w:rPr>
        <w:t xml:space="preserve"> </w:t>
      </w:r>
      <w:r w:rsidRPr="007447B7">
        <w:rPr>
          <w:rStyle w:val="fontstyle01"/>
          <w:rFonts w:ascii="Times New Roman" w:hAnsi="Times New Roman"/>
          <w:b/>
          <w:i/>
        </w:rPr>
        <w:t>лицензионном договоре комбинированной формы ее оплаты.</w:t>
      </w:r>
    </w:p>
    <w:p w14:paraId="06714C43" w14:textId="77777777" w:rsidR="007447B7" w:rsidRPr="007447B7" w:rsidRDefault="007447B7" w:rsidP="007447B7">
      <w:pPr>
        <w:pStyle w:val="a4"/>
        <w:jc w:val="both"/>
        <w:rPr>
          <w:color w:val="000000"/>
          <w:sz w:val="28"/>
          <w:szCs w:val="28"/>
        </w:rPr>
      </w:pPr>
      <w:r w:rsidRPr="007447B7">
        <w:rPr>
          <w:color w:val="000000"/>
          <w:sz w:val="28"/>
          <w:szCs w:val="28"/>
        </w:rPr>
        <w:t>При применении в лицензионном договоре комбинированной формы оплаты стоимость лицензии определяется следующим порядком:</w:t>
      </w:r>
    </w:p>
    <w:p w14:paraId="43876D72" w14:textId="77777777" w:rsidR="007447B7" w:rsidRPr="007447B7" w:rsidRDefault="007447B7" w:rsidP="007447B7">
      <w:pPr>
        <w:pStyle w:val="a4"/>
        <w:jc w:val="both"/>
        <w:rPr>
          <w:color w:val="000000"/>
          <w:sz w:val="28"/>
          <w:szCs w:val="28"/>
        </w:rPr>
      </w:pPr>
      <w:r w:rsidRPr="007447B7">
        <w:rPr>
          <w:color w:val="000000"/>
          <w:sz w:val="28"/>
          <w:szCs w:val="28"/>
        </w:rPr>
        <w:t xml:space="preserve">1. Определяется база роялти </w:t>
      </w:r>
      <w:proofErr w:type="gramStart"/>
      <w:r w:rsidRPr="007447B7">
        <w:rPr>
          <w:color w:val="000000"/>
          <w:sz w:val="28"/>
          <w:szCs w:val="28"/>
        </w:rPr>
        <w:t>- это</w:t>
      </w:r>
      <w:proofErr w:type="gramEnd"/>
      <w:r w:rsidRPr="007447B7">
        <w:rPr>
          <w:color w:val="000000"/>
          <w:sz w:val="28"/>
          <w:szCs w:val="28"/>
        </w:rPr>
        <w:t xml:space="preserve"> может быть объем производства продукции, выручка от продажи продукции или другой показатель, связанный с использованием объекта промышленной собственности (ОПС).</w:t>
      </w:r>
    </w:p>
    <w:p w14:paraId="3C68BE53" w14:textId="072D3817" w:rsidR="007447B7" w:rsidRPr="007447B7" w:rsidRDefault="007447B7" w:rsidP="007447B7">
      <w:pPr>
        <w:pStyle w:val="a4"/>
        <w:jc w:val="both"/>
        <w:rPr>
          <w:color w:val="000000"/>
          <w:sz w:val="28"/>
          <w:szCs w:val="28"/>
        </w:rPr>
      </w:pPr>
      <w:r w:rsidRPr="007447B7">
        <w:rPr>
          <w:color w:val="000000"/>
          <w:sz w:val="28"/>
          <w:szCs w:val="28"/>
        </w:rPr>
        <w:t xml:space="preserve">2. Определяется ставка роялти </w:t>
      </w:r>
      <w:proofErr w:type="gramStart"/>
      <w:r w:rsidRPr="007447B7">
        <w:rPr>
          <w:color w:val="000000"/>
          <w:sz w:val="28"/>
          <w:szCs w:val="28"/>
        </w:rPr>
        <w:t>- это</w:t>
      </w:r>
      <w:proofErr w:type="gramEnd"/>
      <w:r w:rsidRPr="007447B7">
        <w:rPr>
          <w:color w:val="000000"/>
          <w:sz w:val="28"/>
          <w:szCs w:val="28"/>
        </w:rPr>
        <w:t xml:space="preserve"> процент от базы роялти, который будет выплачиваться в качестве вознаграждения за использование ОПС.</w:t>
      </w:r>
    </w:p>
    <w:p w14:paraId="195A59CF" w14:textId="77777777" w:rsidR="007447B7" w:rsidRPr="007447B7" w:rsidRDefault="007447B7" w:rsidP="007447B7">
      <w:pPr>
        <w:pStyle w:val="a4"/>
        <w:jc w:val="both"/>
        <w:rPr>
          <w:color w:val="000000"/>
          <w:sz w:val="28"/>
          <w:szCs w:val="28"/>
        </w:rPr>
      </w:pPr>
      <w:r w:rsidRPr="007447B7">
        <w:rPr>
          <w:color w:val="000000"/>
          <w:sz w:val="28"/>
          <w:szCs w:val="28"/>
        </w:rPr>
        <w:t xml:space="preserve">3. Определяется первоначальный платеж </w:t>
      </w:r>
      <w:proofErr w:type="gramStart"/>
      <w:r w:rsidRPr="007447B7">
        <w:rPr>
          <w:color w:val="000000"/>
          <w:sz w:val="28"/>
          <w:szCs w:val="28"/>
        </w:rPr>
        <w:t>- это</w:t>
      </w:r>
      <w:proofErr w:type="gramEnd"/>
      <w:r w:rsidRPr="007447B7">
        <w:rPr>
          <w:color w:val="000000"/>
          <w:sz w:val="28"/>
          <w:szCs w:val="28"/>
        </w:rPr>
        <w:t xml:space="preserve"> фиксированная сумма, которую лицензиат должен выплатить лицензиару при заключении договора.</w:t>
      </w:r>
    </w:p>
    <w:p w14:paraId="3A342401" w14:textId="77777777" w:rsidR="007447B7" w:rsidRPr="007447B7" w:rsidRDefault="007447B7" w:rsidP="007447B7">
      <w:pPr>
        <w:pStyle w:val="a4"/>
        <w:jc w:val="both"/>
        <w:rPr>
          <w:color w:val="000000"/>
          <w:sz w:val="28"/>
          <w:szCs w:val="28"/>
        </w:rPr>
      </w:pPr>
      <w:r w:rsidRPr="007447B7">
        <w:rPr>
          <w:color w:val="000000"/>
          <w:sz w:val="28"/>
          <w:szCs w:val="28"/>
        </w:rPr>
        <w:t xml:space="preserve">4. Рассчитывается размер периодических платежей (роялти) </w:t>
      </w:r>
      <w:proofErr w:type="gramStart"/>
      <w:r w:rsidRPr="007447B7">
        <w:rPr>
          <w:color w:val="000000"/>
          <w:sz w:val="28"/>
          <w:szCs w:val="28"/>
        </w:rPr>
        <w:t>- это</w:t>
      </w:r>
      <w:proofErr w:type="gramEnd"/>
      <w:r w:rsidRPr="007447B7">
        <w:rPr>
          <w:color w:val="000000"/>
          <w:sz w:val="28"/>
          <w:szCs w:val="28"/>
        </w:rPr>
        <w:t xml:space="preserve"> произведение базы роялти на ставку роялти.</w:t>
      </w:r>
    </w:p>
    <w:p w14:paraId="7D5610FA" w14:textId="77777777" w:rsidR="007447B7" w:rsidRPr="007447B7" w:rsidRDefault="007447B7" w:rsidP="007447B7">
      <w:pPr>
        <w:pStyle w:val="a4"/>
        <w:jc w:val="both"/>
        <w:rPr>
          <w:color w:val="000000"/>
          <w:sz w:val="28"/>
          <w:szCs w:val="28"/>
        </w:rPr>
      </w:pPr>
      <w:r w:rsidRPr="007447B7">
        <w:rPr>
          <w:color w:val="000000"/>
          <w:sz w:val="28"/>
          <w:szCs w:val="28"/>
        </w:rPr>
        <w:t>5. Стоимость лицензии определяется как сумма первоначального платежа и всех периодических платежей за весь период действия договора.</w:t>
      </w:r>
    </w:p>
    <w:p w14:paraId="69D6461F" w14:textId="77777777" w:rsidR="007447B7" w:rsidRPr="007447B7" w:rsidRDefault="007447B7" w:rsidP="007447B7">
      <w:pPr>
        <w:pStyle w:val="a4"/>
        <w:jc w:val="both"/>
        <w:rPr>
          <w:color w:val="000000"/>
          <w:sz w:val="28"/>
          <w:szCs w:val="28"/>
        </w:rPr>
      </w:pPr>
      <w:r w:rsidRPr="007447B7">
        <w:rPr>
          <w:color w:val="000000"/>
          <w:sz w:val="28"/>
          <w:szCs w:val="28"/>
        </w:rPr>
        <w:t>Таким образом, при комбинированной форме оплаты лицензии стоимость лицензии определяется как сумма первоначального платежа и всех последующих выплат по роялти за весь срок действия договора</w:t>
      </w:r>
    </w:p>
    <w:p w14:paraId="3E489F18" w14:textId="030C3A82" w:rsidR="007447B7" w:rsidRPr="007447B7" w:rsidRDefault="007447B7" w:rsidP="007447B7">
      <w:pPr>
        <w:spacing w:after="160" w:line="259" w:lineRule="auto"/>
        <w:jc w:val="both"/>
        <w:rPr>
          <w:rFonts w:ascii="Times New Roman" w:eastAsia="Times New Roman" w:hAnsi="Times New Roman"/>
          <w:color w:val="000000"/>
          <w:sz w:val="28"/>
          <w:szCs w:val="28"/>
          <w:lang w:eastAsia="ru-RU"/>
        </w:rPr>
      </w:pPr>
      <w:r w:rsidRPr="007447B7">
        <w:rPr>
          <w:rFonts w:ascii="Times New Roman" w:hAnsi="Times New Roman"/>
          <w:color w:val="000000"/>
          <w:sz w:val="28"/>
          <w:szCs w:val="28"/>
        </w:rPr>
        <w:br w:type="page"/>
      </w:r>
    </w:p>
    <w:p w14:paraId="11B1A7C5" w14:textId="77777777" w:rsidR="007447B7" w:rsidRPr="007447B7" w:rsidRDefault="007447B7" w:rsidP="007447B7">
      <w:pPr>
        <w:pStyle w:val="a4"/>
        <w:jc w:val="both"/>
        <w:rPr>
          <w:bCs/>
          <w:sz w:val="28"/>
          <w:szCs w:val="28"/>
        </w:rPr>
      </w:pPr>
      <w:r w:rsidRPr="007447B7">
        <w:rPr>
          <w:b/>
          <w:color w:val="000000"/>
          <w:sz w:val="28"/>
          <w:szCs w:val="28"/>
        </w:rPr>
        <w:lastRenderedPageBreak/>
        <w:t>Вывод:</w:t>
      </w:r>
      <w:r w:rsidRPr="007447B7">
        <w:rPr>
          <w:color w:val="000000"/>
          <w:sz w:val="28"/>
          <w:szCs w:val="28"/>
        </w:rPr>
        <w:t xml:space="preserve"> Мы </w:t>
      </w:r>
      <w:r w:rsidRPr="007447B7">
        <w:rPr>
          <w:bCs/>
          <w:sz w:val="28"/>
          <w:szCs w:val="28"/>
        </w:rPr>
        <w:t>ознакомились с процедурами выплаты лицензионных отчислений</w:t>
      </w:r>
      <w:proofErr w:type="gramStart"/>
      <w:r w:rsidRPr="007447B7">
        <w:rPr>
          <w:bCs/>
          <w:sz w:val="28"/>
          <w:szCs w:val="28"/>
        </w:rPr>
        <w:t>; Получили</w:t>
      </w:r>
      <w:proofErr w:type="gramEnd"/>
      <w:r w:rsidRPr="007447B7">
        <w:rPr>
          <w:bCs/>
          <w:sz w:val="28"/>
          <w:szCs w:val="28"/>
        </w:rPr>
        <w:t xml:space="preserve"> практические навыки расчета роялти.</w:t>
      </w:r>
    </w:p>
    <w:p w14:paraId="0A13CABB"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7C9842D3"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78488FEF"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12C6CAA0" w14:textId="77777777" w:rsidR="007447B7" w:rsidRPr="007447B7" w:rsidRDefault="007447B7" w:rsidP="007447B7">
      <w:pPr>
        <w:pStyle w:val="a4"/>
        <w:spacing w:before="0" w:beforeAutospacing="0" w:after="0" w:afterAutospacing="0"/>
        <w:ind w:firstLine="652"/>
        <w:jc w:val="both"/>
        <w:rPr>
          <w:b/>
          <w:color w:val="000000"/>
          <w:sz w:val="28"/>
          <w:szCs w:val="28"/>
        </w:rPr>
      </w:pPr>
    </w:p>
    <w:p w14:paraId="02393816" w14:textId="77777777" w:rsidR="002403A9" w:rsidRPr="007447B7" w:rsidRDefault="002403A9" w:rsidP="007447B7">
      <w:pPr>
        <w:spacing w:line="240" w:lineRule="auto"/>
        <w:ind w:left="708" w:firstLine="708"/>
        <w:jc w:val="both"/>
        <w:rPr>
          <w:rFonts w:ascii="Times New Roman" w:hAnsi="Times New Roman"/>
          <w:b/>
          <w:bCs/>
          <w:sz w:val="24"/>
          <w:szCs w:val="24"/>
        </w:rPr>
      </w:pPr>
    </w:p>
    <w:sectPr w:rsidR="002403A9" w:rsidRPr="00744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0B70"/>
    <w:multiLevelType w:val="multilevel"/>
    <w:tmpl w:val="EA520DC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86962E2"/>
    <w:multiLevelType w:val="hybridMultilevel"/>
    <w:tmpl w:val="B8CC0F1C"/>
    <w:lvl w:ilvl="0" w:tplc="BCEAD5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90B79D0"/>
    <w:multiLevelType w:val="multilevel"/>
    <w:tmpl w:val="CACC9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DE200A4"/>
    <w:multiLevelType w:val="multilevel"/>
    <w:tmpl w:val="757A64C0"/>
    <w:lvl w:ilvl="0">
      <w:start w:val="1"/>
      <w:numFmt w:val="decimal"/>
      <w:lvlText w:val="%1"/>
      <w:lvlJc w:val="left"/>
      <w:pPr>
        <w:ind w:left="360" w:hanging="360"/>
      </w:pPr>
      <w:rPr>
        <w:rFonts w:ascii="Times New Roman" w:hAnsi="Times New Roman" w:hint="default"/>
        <w:sz w:val="24"/>
      </w:rPr>
    </w:lvl>
    <w:lvl w:ilvl="1">
      <w:start w:val="1"/>
      <w:numFmt w:val="decimal"/>
      <w:lvlText w:val="%1.%2"/>
      <w:lvlJc w:val="left"/>
      <w:pPr>
        <w:ind w:left="360" w:hanging="36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800" w:hanging="1800"/>
      </w:pPr>
      <w:rPr>
        <w:rFonts w:ascii="Times New Roman" w:hAnsi="Times New Roman" w:hint="default"/>
        <w:sz w:val="24"/>
      </w:rPr>
    </w:lvl>
  </w:abstractNum>
  <w:abstractNum w:abstractNumId="4" w15:restartNumberingAfterBreak="0">
    <w:nsid w:val="5E007F2C"/>
    <w:multiLevelType w:val="hybridMultilevel"/>
    <w:tmpl w:val="E0E6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5637240">
    <w:abstractNumId w:val="0"/>
  </w:num>
  <w:num w:numId="2" w16cid:durableId="1897616852">
    <w:abstractNumId w:val="2"/>
  </w:num>
  <w:num w:numId="3" w16cid:durableId="1553343299">
    <w:abstractNumId w:val="3"/>
  </w:num>
  <w:num w:numId="4" w16cid:durableId="763067068">
    <w:abstractNumId w:val="1"/>
  </w:num>
  <w:num w:numId="5" w16cid:durableId="875891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65"/>
    <w:rsid w:val="002403A9"/>
    <w:rsid w:val="007447B7"/>
    <w:rsid w:val="007753A8"/>
    <w:rsid w:val="009B7E65"/>
    <w:rsid w:val="00AB64B4"/>
    <w:rsid w:val="00B24DC1"/>
    <w:rsid w:val="00F90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8BD5"/>
  <w15:chartTrackingRefBased/>
  <w15:docId w15:val="{FE97AC5F-9CA2-40E5-85FD-04DC0856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E65"/>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0"/>
    <w:qFormat/>
    <w:rsid w:val="009B7E65"/>
    <w:pPr>
      <w:spacing w:line="256" w:lineRule="auto"/>
    </w:pPr>
    <w:rPr>
      <w:rFonts w:ascii="Calibri" w:eastAsia="Calibri" w:hAnsi="Calibri" w:cs="Calibri"/>
      <w:lang w:eastAsia="ru-RU"/>
    </w:rPr>
  </w:style>
  <w:style w:type="paragraph" w:styleId="a3">
    <w:name w:val="List Paragraph"/>
    <w:basedOn w:val="a"/>
    <w:uiPriority w:val="34"/>
    <w:qFormat/>
    <w:rsid w:val="002403A9"/>
    <w:pPr>
      <w:ind w:left="720"/>
      <w:contextualSpacing/>
    </w:pPr>
  </w:style>
  <w:style w:type="paragraph" w:styleId="a4">
    <w:name w:val="Normal (Web)"/>
    <w:basedOn w:val="a"/>
    <w:uiPriority w:val="99"/>
    <w:semiHidden/>
    <w:unhideWhenUsed/>
    <w:rsid w:val="007447B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fontstyle01">
    <w:name w:val="fontstyle01"/>
    <w:basedOn w:val="a0"/>
    <w:rsid w:val="007447B7"/>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848317">
      <w:bodyDiv w:val="1"/>
      <w:marLeft w:val="0"/>
      <w:marRight w:val="0"/>
      <w:marTop w:val="0"/>
      <w:marBottom w:val="0"/>
      <w:divBdr>
        <w:top w:val="none" w:sz="0" w:space="0" w:color="auto"/>
        <w:left w:val="none" w:sz="0" w:space="0" w:color="auto"/>
        <w:bottom w:val="none" w:sz="0" w:space="0" w:color="auto"/>
        <w:right w:val="none" w:sz="0" w:space="0" w:color="auto"/>
      </w:divBdr>
    </w:div>
    <w:div w:id="1341661505">
      <w:bodyDiv w:val="1"/>
      <w:marLeft w:val="0"/>
      <w:marRight w:val="0"/>
      <w:marTop w:val="0"/>
      <w:marBottom w:val="0"/>
      <w:divBdr>
        <w:top w:val="none" w:sz="0" w:space="0" w:color="auto"/>
        <w:left w:val="none" w:sz="0" w:space="0" w:color="auto"/>
        <w:bottom w:val="none" w:sz="0" w:space="0" w:color="auto"/>
        <w:right w:val="none" w:sz="0" w:space="0" w:color="auto"/>
      </w:divBdr>
    </w:div>
    <w:div w:id="1487749006">
      <w:bodyDiv w:val="1"/>
      <w:marLeft w:val="0"/>
      <w:marRight w:val="0"/>
      <w:marTop w:val="0"/>
      <w:marBottom w:val="0"/>
      <w:divBdr>
        <w:top w:val="none" w:sz="0" w:space="0" w:color="auto"/>
        <w:left w:val="none" w:sz="0" w:space="0" w:color="auto"/>
        <w:bottom w:val="none" w:sz="0" w:space="0" w:color="auto"/>
        <w:right w:val="none" w:sz="0" w:space="0" w:color="auto"/>
      </w:divBdr>
    </w:div>
    <w:div w:id="20603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937</Words>
  <Characters>5345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Нестеренко Кирилл Эдуардович</dc:creator>
  <cp:keywords/>
  <dc:description/>
  <cp:lastModifiedBy>Нестеренко Кирилл Эдуардович</cp:lastModifiedBy>
  <cp:revision>2</cp:revision>
  <dcterms:created xsi:type="dcterms:W3CDTF">2023-05-24T11:03:00Z</dcterms:created>
  <dcterms:modified xsi:type="dcterms:W3CDTF">2023-05-24T12:05:00Z</dcterms:modified>
</cp:coreProperties>
</file>