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服务器拥有公钥A和私钥B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客户端拥有对称加密C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客户端向服务器请求公钥A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说明:第一次发送请求时使用的为公钥A私钥B的非对称加密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服务器向客户端发送公钥A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说明:第二次发送请求时使用的为公钥A私钥B的非对称加密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客户端向服务器发送AC加密建立连接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说明:第三次以及后续的数据传输使用的是AC的对称协议进行加密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客户端通过CA证书来鉴别公钥A是否为请求访问的服务器所返回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CA证书由专门的颁发机构进行颁发,互联网公司来通过购买证书来进行认证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CA证书上记录了一些相关的信息,有颁发者,认证公司等等信息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首次传输时使用的是非对称加密,后续进行数据传输过程中都是采用的堆成加密,因为非对称加密首次传输的过程中的效率相对低,但是后续传输过程中均采用对称加密,效率相对全程采用非对称加密的效率更高,且安全性相比较全程采用对称加密安全性更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4YWE5ZDMzMmM0NDQ4YWViNWUyM2MzMzVkMmEwOTcifQ=="/>
  </w:docVars>
  <w:rsids>
    <w:rsidRoot w:val="00000000"/>
    <w:rsid w:val="4A0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2022-10-12T09:18:43Z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54B7593D84234F7AB9CAB7BBBA330793</vt:lpwstr>
  </property>
</Properties>
</file>