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1762760</wp:posOffset>
            </wp:positionH>
            <wp:positionV relativeFrom="page">
              <wp:posOffset>1245870</wp:posOffset>
            </wp:positionV>
            <wp:extent cx="4044950" cy="3216297"/>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044950" cy="321629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0</wp:posOffset>
            </wp:positionV>
            <wp:extent cx="7747000" cy="10088894"/>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747000" cy="10088894"/>
                    </a:xfrm>
                    <a:prstGeom prst="rect"/>
                  </pic:spPr>
                </pic:pic>
              </a:graphicData>
            </a:graphic>
          </wp:anchor>
        </w:drawing>
      </w:r>
    </w:p>
    <w:p>
      <w:pPr>
        <w:autoSpaceDN w:val="0"/>
        <w:autoSpaceDE w:val="0"/>
        <w:widowControl/>
        <w:spacing w:line="228" w:lineRule="exact" w:before="0" w:after="0"/>
        <w:ind w:left="8176" w:right="0" w:firstLine="0"/>
        <w:jc w:val="left"/>
      </w:pPr>
      <w:r>
        <w:rPr>
          <w:rFonts w:ascii="DFHeiStd" w:hAnsi="DFHeiStd" w:eastAsia="DFHeiStd"/>
          <w:b w:val="0"/>
          <w:i w:val="0"/>
          <w:color w:val="FFFFFF"/>
          <w:sz w:val="16"/>
        </w:rPr>
        <w:t xml:space="preserve">玉山金 2884 </w:t>
      </w:r>
      <w:r>
        <w:br/>
      </w:r>
      <w:r>
        <w:rPr>
          <w:rFonts w:ascii="Helvetica" w:hAnsi="Helvetica" w:eastAsia="Helvetica"/>
          <w:b w:val="0"/>
          <w:i w:val="0"/>
          <w:color w:val="FFFFFF"/>
          <w:sz w:val="16"/>
        </w:rPr>
        <w:t xml:space="preserve">https://www.esunfhc.com </w:t>
      </w:r>
      <w:r>
        <w:br/>
      </w:r>
      <w:r>
        <w:rPr>
          <w:rFonts w:ascii="Helvetica" w:hAnsi="Helvetica" w:eastAsia="Helvetica"/>
          <w:b w:val="0"/>
          <w:i w:val="0"/>
          <w:color w:val="FFFFFF"/>
          <w:sz w:val="16"/>
        </w:rPr>
        <w:t>http://mops.twse.com.tw</w:t>
      </w:r>
      <w:r>
        <w:br/>
      </w:r>
      <w:r>
        <w:rPr>
          <w:rFonts w:ascii="DFHeiStd" w:hAnsi="DFHeiStd" w:eastAsia="DFHeiStd"/>
          <w:b w:val="0"/>
          <w:i w:val="0"/>
          <w:color w:val="FFFFFF"/>
          <w:sz w:val="16"/>
        </w:rPr>
        <w:t>刊印日期：2025.01.31</w:t>
      </w:r>
    </w:p>
    <w:p>
      <w:pPr>
        <w:autoSpaceDN w:val="0"/>
        <w:autoSpaceDE w:val="0"/>
        <w:widowControl/>
        <w:spacing w:line="269" w:lineRule="auto" w:before="5492" w:after="0"/>
        <w:ind w:left="3810" w:right="2880" w:firstLine="20"/>
        <w:jc w:val="left"/>
      </w:pPr>
      <w:r>
        <w:rPr>
          <w:rFonts w:ascii="TimesNewRomanPS" w:hAnsi="TimesNewRomanPS" w:eastAsia="TimesNewRomanPS"/>
          <w:b/>
          <w:i/>
          <w:color w:val="896C00"/>
          <w:sz w:val="70"/>
        </w:rPr>
        <w:t xml:space="preserve">113 </w:t>
      </w:r>
      <w:r>
        <w:br/>
      </w:r>
      <w:r>
        <w:rPr>
          <w:rFonts w:ascii="Helvetica" w:hAnsi="Helvetica" w:eastAsia="Helvetica"/>
          <w:b/>
          <w:i/>
          <w:color w:val="896C00"/>
          <w:sz w:val="28"/>
        </w:rPr>
        <w:t>ANNUAL REPORT 2024</w:t>
      </w:r>
    </w:p>
    <w:p>
      <w:pPr>
        <w:autoSpaceDN w:val="0"/>
        <w:autoSpaceDE w:val="0"/>
        <w:widowControl/>
        <w:spacing w:line="148" w:lineRule="exact" w:before="6876" w:after="0"/>
        <w:ind w:left="0" w:right="20" w:firstLine="0"/>
        <w:jc w:val="right"/>
      </w:pPr>
      <w:r>
        <w:rPr>
          <w:rFonts w:ascii="DFHeiStd" w:hAnsi="DFHeiStd" w:eastAsia="DFHeiStd"/>
          <w:b w:val="0"/>
          <w:i w:val="0"/>
          <w:color w:val="FFFFFF"/>
          <w:sz w:val="14"/>
        </w:rPr>
        <w:t>封面 / 玉山與白鹿 / 山田雄貴</w:t>
      </w:r>
    </w:p>
    <w:p>
      <w:pPr>
        <w:sectPr>
          <w:pgSz w:w="12189" w:h="15874"/>
          <w:pgMar w:top="322" w:right="614" w:bottom="264" w:left="1440" w:header="720" w:footer="720" w:gutter="0"/>
          <w:cols/>
          <w:docGrid w:linePitch="360"/>
        </w:sectPr>
      </w:pPr>
    </w:p>
    <w:p>
      <w:pPr>
        <w:autoSpaceDN w:val="0"/>
        <w:autoSpaceDE w:val="0"/>
        <w:widowControl/>
        <w:spacing w:line="220" w:lineRule="exact" w:before="0" w:after="286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774700</wp:posOffset>
            </wp:positionH>
            <wp:positionV relativeFrom="page">
              <wp:posOffset>431800</wp:posOffset>
            </wp:positionV>
            <wp:extent cx="6184900" cy="88900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84900" cy="8890000"/>
                    </a:xfrm>
                    <a:prstGeom prst="rect"/>
                  </pic:spPr>
                </pic:pic>
              </a:graphicData>
            </a:graphic>
          </wp:anchor>
        </w:drawing>
      </w:r>
    </w:p>
    <w:p>
      <w:pPr>
        <w:autoSpaceDN w:val="0"/>
        <w:autoSpaceDE w:val="0"/>
        <w:widowControl/>
        <w:spacing w:line="210" w:lineRule="exact" w:before="0" w:after="0"/>
        <w:ind w:left="288" w:right="0" w:firstLine="0"/>
        <w:jc w:val="left"/>
      </w:pPr>
      <w:r>
        <w:rPr>
          <w:rFonts w:ascii="DFKaiShu" w:hAnsi="DFKaiShu" w:eastAsia="DFKaiShu"/>
          <w:b w:val="0"/>
          <w:i w:val="0"/>
          <w:color w:val="00A99D"/>
          <w:sz w:val="20"/>
        </w:rPr>
        <w:t>玉山金控及子公司</w:t>
      </w:r>
    </w:p>
    <w:p>
      <w:pPr>
        <w:autoSpaceDN w:val="0"/>
        <w:tabs>
          <w:tab w:pos="2250" w:val="left"/>
          <w:tab w:pos="5790" w:val="left"/>
          <w:tab w:pos="7214" w:val="left"/>
        </w:tabs>
        <w:autoSpaceDE w:val="0"/>
        <w:widowControl/>
        <w:spacing w:line="168" w:lineRule="exact" w:before="152" w:after="0"/>
        <w:ind w:left="310" w:right="0" w:firstLine="0"/>
        <w:jc w:val="left"/>
      </w:pPr>
      <w:r>
        <w:rPr>
          <w:rFonts w:ascii="DFKaiShu" w:hAnsi="DFKaiShu" w:eastAsia="DFKaiShu"/>
          <w:b w:val="0"/>
          <w:i w:val="0"/>
          <w:color w:val="231F20"/>
          <w:sz w:val="16"/>
        </w:rPr>
        <w:t>公司名稱</w:t>
      </w:r>
      <w:r>
        <w:tab/>
      </w:r>
      <w:r>
        <w:rPr>
          <w:rFonts w:ascii="DFKaiShu" w:hAnsi="DFKaiShu" w:eastAsia="DFKaiShu"/>
          <w:b w:val="0"/>
          <w:i w:val="0"/>
          <w:color w:val="231F20"/>
          <w:sz w:val="16"/>
        </w:rPr>
        <w:t>地址</w:t>
      </w:r>
      <w:r>
        <w:tab/>
      </w:r>
      <w:r>
        <w:rPr>
          <w:rFonts w:ascii="DFKaiShu" w:hAnsi="DFKaiShu" w:eastAsia="DFKaiShu"/>
          <w:b w:val="0"/>
          <w:i w:val="0"/>
          <w:color w:val="231F20"/>
          <w:sz w:val="16"/>
        </w:rPr>
        <w:t>電話</w:t>
      </w:r>
      <w:r>
        <w:tab/>
      </w:r>
      <w:r>
        <w:rPr>
          <w:rFonts w:ascii="DFKaiShu" w:hAnsi="DFKaiShu" w:eastAsia="DFKaiShu"/>
          <w:b w:val="0"/>
          <w:i w:val="0"/>
          <w:color w:val="231F20"/>
          <w:sz w:val="16"/>
        </w:rPr>
        <w:t>網址</w:t>
      </w:r>
    </w:p>
    <w:p>
      <w:pPr>
        <w:autoSpaceDN w:val="0"/>
        <w:tabs>
          <w:tab w:pos="2250" w:val="left"/>
          <w:tab w:pos="5790" w:val="left"/>
          <w:tab w:pos="7214" w:val="left"/>
        </w:tabs>
        <w:autoSpaceDE w:val="0"/>
        <w:widowControl/>
        <w:spacing w:line="260" w:lineRule="exact" w:before="0" w:after="0"/>
        <w:ind w:left="310" w:right="0" w:firstLine="0"/>
        <w:jc w:val="left"/>
      </w:pPr>
      <w:r>
        <w:rPr>
          <w:rFonts w:ascii="DFKaiShu" w:hAnsi="DFKaiShu" w:eastAsia="DFKaiShu"/>
          <w:b w:val="0"/>
          <w:i w:val="0"/>
          <w:color w:val="231F20"/>
          <w:sz w:val="16"/>
        </w:rPr>
        <w:t>玉山金融控股（股）公司</w:t>
      </w:r>
      <w:r>
        <w:tab/>
      </w:r>
      <w:r>
        <w:rPr>
          <w:rFonts w:ascii="DFKaiShu" w:hAnsi="DFKaiShu" w:eastAsia="DFKaiShu"/>
          <w:b w:val="0"/>
          <w:i w:val="0"/>
          <w:color w:val="231F20"/>
          <w:sz w:val="16"/>
        </w:rPr>
        <w:t>臺北市松山區民生東路</w:t>
      </w:r>
      <w:r>
        <w:rPr>
          <w:rFonts w:ascii="Times" w:hAnsi="Times" w:eastAsia="Times"/>
          <w:b w:val="0"/>
          <w:i w:val="0"/>
          <w:color w:val="231F20"/>
          <w:sz w:val="16"/>
        </w:rPr>
        <w:t>3</w:t>
      </w:r>
      <w:r>
        <w:rPr>
          <w:rFonts w:ascii="DFKaiShu" w:hAnsi="DFKaiShu" w:eastAsia="DFKaiShu"/>
          <w:b w:val="0"/>
          <w:i w:val="0"/>
          <w:color w:val="231F20"/>
          <w:sz w:val="16"/>
        </w:rPr>
        <w:t>段</w:t>
      </w:r>
      <w:r>
        <w:rPr>
          <w:rFonts w:ascii="Times" w:hAnsi="Times" w:eastAsia="Times"/>
          <w:b w:val="0"/>
          <w:i w:val="0"/>
          <w:color w:val="231F20"/>
          <w:sz w:val="16"/>
        </w:rPr>
        <w:t>115</w:t>
      </w:r>
      <w:r>
        <w:rPr>
          <w:rFonts w:ascii="DFKaiShu" w:hAnsi="DFKaiShu" w:eastAsia="DFKaiShu"/>
          <w:b w:val="0"/>
          <w:i w:val="0"/>
          <w:color w:val="231F20"/>
          <w:sz w:val="16"/>
        </w:rPr>
        <w:t>號</w:t>
      </w:r>
      <w:r>
        <w:rPr>
          <w:rFonts w:ascii="Times" w:hAnsi="Times" w:eastAsia="Times"/>
          <w:b w:val="0"/>
          <w:i w:val="0"/>
          <w:color w:val="231F20"/>
          <w:sz w:val="16"/>
        </w:rPr>
        <w:t>1</w:t>
      </w:r>
      <w:r>
        <w:rPr>
          <w:rFonts w:ascii="DFKaiShu" w:hAnsi="DFKaiShu" w:eastAsia="DFKaiShu"/>
          <w:b w:val="0"/>
          <w:i w:val="0"/>
          <w:color w:val="231F20"/>
          <w:sz w:val="16"/>
        </w:rPr>
        <w:t>樓及</w:t>
      </w:r>
      <w:r>
        <w:rPr>
          <w:rFonts w:ascii="Times" w:hAnsi="Times" w:eastAsia="Times"/>
          <w:b w:val="0"/>
          <w:i w:val="0"/>
          <w:color w:val="231F20"/>
          <w:sz w:val="16"/>
        </w:rPr>
        <w:t>117</w:t>
      </w:r>
      <w:r>
        <w:rPr>
          <w:rFonts w:ascii="DFKaiShu" w:hAnsi="DFKaiShu" w:eastAsia="DFKaiShu"/>
          <w:b w:val="0"/>
          <w:i w:val="0"/>
          <w:color w:val="231F20"/>
          <w:sz w:val="16"/>
        </w:rPr>
        <w:t>號</w:t>
      </w:r>
      <w:r>
        <w:rPr>
          <w:rFonts w:ascii="Times" w:hAnsi="Times" w:eastAsia="Times"/>
          <w:b w:val="0"/>
          <w:i w:val="0"/>
          <w:color w:val="231F20"/>
          <w:sz w:val="16"/>
        </w:rPr>
        <w:t>14</w:t>
      </w:r>
      <w:r>
        <w:rPr>
          <w:rFonts w:ascii="DFKaiShu" w:hAnsi="DFKaiShu" w:eastAsia="DFKaiShu"/>
          <w:b w:val="0"/>
          <w:i w:val="0"/>
          <w:color w:val="231F20"/>
          <w:sz w:val="16"/>
        </w:rPr>
        <w:t>樓</w:t>
      </w:r>
      <w:r>
        <w:tab/>
      </w:r>
      <w:r>
        <w:rPr>
          <w:rFonts w:ascii="Times" w:hAnsi="Times" w:eastAsia="Times"/>
          <w:b w:val="0"/>
          <w:i w:val="0"/>
          <w:color w:val="231F20"/>
          <w:sz w:val="16"/>
        </w:rPr>
        <w:t xml:space="preserve">+886-2-2175-1313 </w:t>
      </w:r>
      <w:r>
        <w:tab/>
      </w:r>
      <w:r>
        <w:rPr>
          <w:rFonts w:ascii="Times" w:hAnsi="Times" w:eastAsia="Times"/>
          <w:b w:val="0"/>
          <w:i w:val="0"/>
          <w:color w:val="231F20"/>
          <w:sz w:val="16"/>
        </w:rPr>
        <w:t>https://www.esunfhc.com</w:t>
      </w:r>
    </w:p>
    <w:p>
      <w:pPr>
        <w:autoSpaceDN w:val="0"/>
        <w:tabs>
          <w:tab w:pos="2250" w:val="left"/>
          <w:tab w:pos="5790" w:val="left"/>
          <w:tab w:pos="7214" w:val="left"/>
        </w:tabs>
        <w:autoSpaceDE w:val="0"/>
        <w:widowControl/>
        <w:spacing w:line="168" w:lineRule="exact" w:before="0" w:after="0"/>
        <w:ind w:left="310" w:right="0" w:firstLine="0"/>
        <w:jc w:val="left"/>
      </w:pPr>
      <w:r>
        <w:rPr>
          <w:rFonts w:ascii="DFKaiShu" w:hAnsi="DFKaiShu" w:eastAsia="DFKaiShu"/>
          <w:b w:val="0"/>
          <w:i w:val="0"/>
          <w:color w:val="231F20"/>
          <w:sz w:val="16"/>
        </w:rPr>
        <w:t>玉山商業銀行（股）公司</w:t>
      </w:r>
      <w:r>
        <w:tab/>
      </w:r>
      <w:r>
        <w:rPr>
          <w:rFonts w:ascii="DFKaiShu" w:hAnsi="DFKaiShu" w:eastAsia="DFKaiShu"/>
          <w:b w:val="0"/>
          <w:i w:val="0"/>
          <w:color w:val="231F20"/>
          <w:sz w:val="16"/>
        </w:rPr>
        <w:t>臺北市松山區民生東路</w:t>
      </w:r>
      <w:r>
        <w:rPr>
          <w:rFonts w:ascii="Times" w:hAnsi="Times" w:eastAsia="Times"/>
          <w:b w:val="0"/>
          <w:i w:val="0"/>
          <w:color w:val="231F20"/>
          <w:sz w:val="16"/>
        </w:rPr>
        <w:t>3</w:t>
      </w:r>
      <w:r>
        <w:rPr>
          <w:rFonts w:ascii="DFKaiShu" w:hAnsi="DFKaiShu" w:eastAsia="DFKaiShu"/>
          <w:b w:val="0"/>
          <w:i w:val="0"/>
          <w:color w:val="231F20"/>
          <w:sz w:val="16"/>
        </w:rPr>
        <w:t>段</w:t>
      </w:r>
      <w:r>
        <w:rPr>
          <w:rFonts w:ascii="Times" w:hAnsi="Times" w:eastAsia="Times"/>
          <w:b w:val="0"/>
          <w:i w:val="0"/>
          <w:color w:val="231F20"/>
          <w:sz w:val="16"/>
        </w:rPr>
        <w:t>115</w:t>
      </w:r>
      <w:r>
        <w:rPr>
          <w:rFonts w:ascii="DFKaiShu" w:hAnsi="DFKaiShu" w:eastAsia="DFKaiShu"/>
          <w:b w:val="0"/>
          <w:i w:val="0"/>
          <w:color w:val="231F20"/>
          <w:sz w:val="16"/>
        </w:rPr>
        <w:t>及</w:t>
      </w:r>
      <w:r>
        <w:rPr>
          <w:rFonts w:ascii="Times" w:hAnsi="Times" w:eastAsia="Times"/>
          <w:b w:val="0"/>
          <w:i w:val="0"/>
          <w:color w:val="231F20"/>
          <w:sz w:val="16"/>
        </w:rPr>
        <w:t>117</w:t>
      </w:r>
      <w:r>
        <w:rPr>
          <w:rFonts w:ascii="DFKaiShu" w:hAnsi="DFKaiShu" w:eastAsia="DFKaiShu"/>
          <w:b w:val="0"/>
          <w:i w:val="0"/>
          <w:color w:val="231F20"/>
          <w:sz w:val="16"/>
        </w:rPr>
        <w:t>號</w:t>
      </w:r>
      <w:r>
        <w:tab/>
      </w:r>
      <w:r>
        <w:rPr>
          <w:rFonts w:ascii="Times" w:hAnsi="Times" w:eastAsia="Times"/>
          <w:b w:val="0"/>
          <w:i w:val="0"/>
          <w:color w:val="231F20"/>
          <w:sz w:val="16"/>
        </w:rPr>
        <w:t xml:space="preserve">+886-2-2175-1313 </w:t>
      </w:r>
      <w:r>
        <w:tab/>
      </w:r>
      <w:r>
        <w:rPr>
          <w:rFonts w:ascii="Times" w:hAnsi="Times" w:eastAsia="Times"/>
          <w:b w:val="0"/>
          <w:i w:val="0"/>
          <w:color w:val="231F20"/>
          <w:sz w:val="16"/>
        </w:rPr>
        <w:t>https://www.esunbank.com</w:t>
      </w:r>
    </w:p>
    <w:p>
      <w:pPr>
        <w:autoSpaceDN w:val="0"/>
        <w:tabs>
          <w:tab w:pos="2250" w:val="left"/>
          <w:tab w:pos="5790" w:val="left"/>
          <w:tab w:pos="7214" w:val="left"/>
        </w:tabs>
        <w:autoSpaceDE w:val="0"/>
        <w:widowControl/>
        <w:spacing w:line="168" w:lineRule="exact" w:before="0" w:after="0"/>
        <w:ind w:left="310" w:right="0" w:firstLine="0"/>
        <w:jc w:val="left"/>
      </w:pPr>
      <w:r>
        <w:rPr>
          <w:rFonts w:ascii="DFKaiShu" w:hAnsi="DFKaiShu" w:eastAsia="DFKaiShu"/>
          <w:b w:val="0"/>
          <w:i w:val="0"/>
          <w:color w:val="231F20"/>
          <w:sz w:val="16"/>
        </w:rPr>
        <w:t>玉山綜合證券（股）公司</w:t>
      </w:r>
      <w:r>
        <w:tab/>
      </w:r>
      <w:r>
        <w:rPr>
          <w:rFonts w:ascii="DFKaiShu" w:hAnsi="DFKaiShu" w:eastAsia="DFKaiShu"/>
          <w:b w:val="0"/>
          <w:i w:val="0"/>
          <w:color w:val="231F20"/>
          <w:sz w:val="16"/>
        </w:rPr>
        <w:t>臺北市松山區民生東路</w:t>
      </w:r>
      <w:r>
        <w:rPr>
          <w:rFonts w:ascii="Times" w:hAnsi="Times" w:eastAsia="Times"/>
          <w:b w:val="0"/>
          <w:i w:val="0"/>
          <w:color w:val="231F20"/>
          <w:sz w:val="16"/>
        </w:rPr>
        <w:t>3</w:t>
      </w:r>
      <w:r>
        <w:rPr>
          <w:rFonts w:ascii="DFKaiShu" w:hAnsi="DFKaiShu" w:eastAsia="DFKaiShu"/>
          <w:b w:val="0"/>
          <w:i w:val="0"/>
          <w:color w:val="231F20"/>
          <w:sz w:val="16"/>
        </w:rPr>
        <w:t>段</w:t>
      </w:r>
      <w:r>
        <w:rPr>
          <w:rFonts w:ascii="Times" w:hAnsi="Times" w:eastAsia="Times"/>
          <w:b w:val="0"/>
          <w:i w:val="0"/>
          <w:color w:val="231F20"/>
          <w:sz w:val="16"/>
        </w:rPr>
        <w:t>156</w:t>
      </w:r>
      <w:r>
        <w:rPr>
          <w:rFonts w:ascii="DFKaiShu" w:hAnsi="DFKaiShu" w:eastAsia="DFKaiShu"/>
          <w:b w:val="0"/>
          <w:i w:val="0"/>
          <w:color w:val="231F20"/>
          <w:sz w:val="16"/>
        </w:rPr>
        <w:t>號</w:t>
      </w:r>
      <w:r>
        <w:rPr>
          <w:rFonts w:ascii="Times" w:hAnsi="Times" w:eastAsia="Times"/>
          <w:b w:val="0"/>
          <w:i w:val="0"/>
          <w:color w:val="231F20"/>
          <w:sz w:val="16"/>
        </w:rPr>
        <w:t>2</w:t>
      </w:r>
      <w:r>
        <w:rPr>
          <w:rFonts w:ascii="DFKaiShu" w:hAnsi="DFKaiShu" w:eastAsia="DFKaiShu"/>
          <w:b w:val="0"/>
          <w:i w:val="0"/>
          <w:color w:val="231F20"/>
          <w:sz w:val="16"/>
        </w:rPr>
        <w:t>樓及</w:t>
      </w:r>
      <w:r>
        <w:rPr>
          <w:rFonts w:ascii="Times" w:hAnsi="Times" w:eastAsia="Times"/>
          <w:b w:val="0"/>
          <w:i w:val="0"/>
          <w:color w:val="231F20"/>
          <w:sz w:val="16"/>
        </w:rPr>
        <w:t>158</w:t>
      </w:r>
      <w:r>
        <w:rPr>
          <w:rFonts w:ascii="DFKaiShu" w:hAnsi="DFKaiShu" w:eastAsia="DFKaiShu"/>
          <w:b w:val="0"/>
          <w:i w:val="0"/>
          <w:color w:val="231F20"/>
          <w:sz w:val="16"/>
        </w:rPr>
        <w:t>號</w:t>
      </w:r>
      <w:r>
        <w:rPr>
          <w:rFonts w:ascii="Times" w:hAnsi="Times" w:eastAsia="Times"/>
          <w:b w:val="0"/>
          <w:i w:val="0"/>
          <w:color w:val="231F20"/>
          <w:sz w:val="16"/>
        </w:rPr>
        <w:t>6</w:t>
      </w:r>
      <w:r>
        <w:rPr>
          <w:rFonts w:ascii="DFKaiShu" w:hAnsi="DFKaiShu" w:eastAsia="DFKaiShu"/>
          <w:b w:val="0"/>
          <w:i w:val="0"/>
          <w:color w:val="231F20"/>
          <w:sz w:val="16"/>
        </w:rPr>
        <w:t>樓</w:t>
      </w:r>
      <w:r>
        <w:tab/>
      </w:r>
      <w:r>
        <w:rPr>
          <w:rFonts w:ascii="Times" w:hAnsi="Times" w:eastAsia="Times"/>
          <w:b w:val="0"/>
          <w:i w:val="0"/>
          <w:color w:val="231F20"/>
          <w:sz w:val="16"/>
        </w:rPr>
        <w:t xml:space="preserve">+886-2-5556-1313 </w:t>
      </w:r>
      <w:r>
        <w:tab/>
      </w:r>
      <w:r>
        <w:rPr>
          <w:rFonts w:ascii="Times" w:hAnsi="Times" w:eastAsia="Times"/>
          <w:b w:val="0"/>
          <w:i w:val="0"/>
          <w:color w:val="231F20"/>
          <w:sz w:val="16"/>
        </w:rPr>
        <w:t>https://www.esunsec.com.tw</w:t>
      </w:r>
    </w:p>
    <w:p>
      <w:pPr>
        <w:autoSpaceDN w:val="0"/>
        <w:tabs>
          <w:tab w:pos="2250" w:val="left"/>
          <w:tab w:pos="5790" w:val="left"/>
          <w:tab w:pos="7214" w:val="left"/>
        </w:tabs>
        <w:autoSpaceDE w:val="0"/>
        <w:widowControl/>
        <w:spacing w:line="168" w:lineRule="exact" w:before="0" w:after="0"/>
        <w:ind w:left="310" w:right="0" w:firstLine="0"/>
        <w:jc w:val="left"/>
      </w:pPr>
      <w:r>
        <w:rPr>
          <w:rFonts w:ascii="DFKaiShu" w:hAnsi="DFKaiShu" w:eastAsia="DFKaiShu"/>
          <w:b w:val="0"/>
          <w:i w:val="0"/>
          <w:color w:val="231F20"/>
          <w:sz w:val="16"/>
        </w:rPr>
        <w:t>玉山創業投資（股）公司</w:t>
      </w:r>
      <w:r>
        <w:tab/>
      </w:r>
      <w:r>
        <w:rPr>
          <w:rFonts w:ascii="DFKaiShu" w:hAnsi="DFKaiShu" w:eastAsia="DFKaiShu"/>
          <w:b w:val="0"/>
          <w:i w:val="0"/>
          <w:color w:val="231F20"/>
          <w:sz w:val="16"/>
        </w:rPr>
        <w:t>臺北市松山區民生東路</w:t>
      </w:r>
      <w:r>
        <w:rPr>
          <w:rFonts w:ascii="Times" w:hAnsi="Times" w:eastAsia="Times"/>
          <w:b w:val="0"/>
          <w:i w:val="0"/>
          <w:color w:val="231F20"/>
          <w:sz w:val="16"/>
        </w:rPr>
        <w:t>3</w:t>
      </w:r>
      <w:r>
        <w:rPr>
          <w:rFonts w:ascii="DFKaiShu" w:hAnsi="DFKaiShu" w:eastAsia="DFKaiShu"/>
          <w:b w:val="0"/>
          <w:i w:val="0"/>
          <w:color w:val="231F20"/>
          <w:sz w:val="16"/>
        </w:rPr>
        <w:t>段</w:t>
      </w:r>
      <w:r>
        <w:rPr>
          <w:rFonts w:ascii="Times" w:hAnsi="Times" w:eastAsia="Times"/>
          <w:b w:val="0"/>
          <w:i w:val="0"/>
          <w:color w:val="231F20"/>
          <w:sz w:val="16"/>
        </w:rPr>
        <w:t>115</w:t>
      </w:r>
      <w:r>
        <w:rPr>
          <w:rFonts w:ascii="DFKaiShu" w:hAnsi="DFKaiShu" w:eastAsia="DFKaiShu"/>
          <w:b w:val="0"/>
          <w:i w:val="0"/>
          <w:color w:val="231F20"/>
          <w:sz w:val="16"/>
        </w:rPr>
        <w:t>號</w:t>
      </w:r>
      <w:r>
        <w:rPr>
          <w:rFonts w:ascii="Times" w:hAnsi="Times" w:eastAsia="Times"/>
          <w:b w:val="0"/>
          <w:i w:val="0"/>
          <w:color w:val="231F20"/>
          <w:sz w:val="16"/>
        </w:rPr>
        <w:t>6</w:t>
      </w:r>
      <w:r>
        <w:rPr>
          <w:rFonts w:ascii="DFKaiShu" w:hAnsi="DFKaiShu" w:eastAsia="DFKaiShu"/>
          <w:b w:val="0"/>
          <w:i w:val="0"/>
          <w:color w:val="231F20"/>
          <w:sz w:val="16"/>
        </w:rPr>
        <w:t>樓</w:t>
      </w:r>
      <w:r>
        <w:tab/>
      </w:r>
      <w:r>
        <w:rPr>
          <w:rFonts w:ascii="Times" w:hAnsi="Times" w:eastAsia="Times"/>
          <w:b w:val="0"/>
          <w:i w:val="0"/>
          <w:color w:val="231F20"/>
          <w:sz w:val="16"/>
        </w:rPr>
        <w:t>+886-2-2175-1313</w:t>
      </w:r>
      <w:r>
        <w:tab/>
      </w:r>
      <w:r>
        <w:rPr>
          <w:rFonts w:ascii="DFKaiShu" w:hAnsi="DFKaiShu" w:eastAsia="DFKaiShu"/>
          <w:b w:val="0"/>
          <w:i w:val="0"/>
          <w:color w:val="231F20"/>
          <w:sz w:val="16"/>
        </w:rPr>
        <w:t>-</w:t>
      </w:r>
    </w:p>
    <w:p>
      <w:pPr>
        <w:autoSpaceDN w:val="0"/>
        <w:tabs>
          <w:tab w:pos="5208" w:val="left"/>
        </w:tabs>
        <w:autoSpaceDE w:val="0"/>
        <w:widowControl/>
        <w:spacing w:line="210" w:lineRule="exact" w:before="418" w:after="0"/>
        <w:ind w:left="308" w:right="0" w:firstLine="0"/>
        <w:jc w:val="left"/>
      </w:pPr>
      <w:r>
        <w:rPr>
          <w:rFonts w:ascii="DFKaiShu" w:hAnsi="DFKaiShu" w:eastAsia="DFKaiShu"/>
          <w:b w:val="0"/>
          <w:i w:val="0"/>
          <w:color w:val="00A99D"/>
          <w:sz w:val="20"/>
        </w:rPr>
        <w:t>發言人</w:t>
      </w:r>
      <w:r>
        <w:rPr>
          <w:rFonts w:ascii="DFKaiShu" w:hAnsi="DFKaiShu" w:eastAsia="DFKaiShu"/>
          <w:b w:val="0"/>
          <w:i w:val="0"/>
          <w:color w:val="00A99D"/>
          <w:sz w:val="18"/>
        </w:rPr>
        <w:t>代理發言人</w:t>
      </w:r>
    </w:p>
    <w:p>
      <w:pPr>
        <w:autoSpaceDN w:val="0"/>
        <w:tabs>
          <w:tab w:pos="796" w:val="left"/>
          <w:tab w:pos="976" w:val="left"/>
          <w:tab w:pos="5224" w:val="left"/>
          <w:tab w:pos="5706" w:val="left"/>
          <w:tab w:pos="5896" w:val="left"/>
        </w:tabs>
        <w:autoSpaceDE w:val="0"/>
        <w:widowControl/>
        <w:spacing w:line="168" w:lineRule="exact" w:before="58" w:after="0"/>
        <w:ind w:left="314" w:right="0" w:firstLine="0"/>
        <w:jc w:val="left"/>
      </w:pPr>
      <w:r>
        <w:rPr>
          <w:rFonts w:ascii="DFKaiShu" w:hAnsi="DFKaiShu" w:eastAsia="DFKaiShu"/>
          <w:b w:val="0"/>
          <w:i w:val="0"/>
          <w:color w:val="231F20"/>
          <w:sz w:val="16"/>
        </w:rPr>
        <w:t>姓</w:t>
      </w:r>
      <w:r>
        <w:rPr>
          <w:rFonts w:ascii="DFKaiShu" w:hAnsi="DFKaiShu" w:eastAsia="DFKaiShu"/>
          <w:b w:val="0"/>
          <w:i w:val="0"/>
          <w:color w:val="231F20"/>
          <w:sz w:val="16"/>
        </w:rPr>
        <w:t>名</w:t>
      </w:r>
      <w:r>
        <w:rPr>
          <w:rFonts w:ascii="DFKaiShu" w:hAnsi="DFKaiShu" w:eastAsia="DFKaiShu"/>
          <w:b w:val="0"/>
          <w:i w:val="0"/>
          <w:color w:val="231F20"/>
          <w:sz w:val="16"/>
        </w:rPr>
        <w:t>：林俊佑</w:t>
      </w:r>
      <w:r>
        <w:tab/>
      </w:r>
      <w:r>
        <w:rPr>
          <w:rFonts w:ascii="DFKaiShu" w:hAnsi="DFKaiShu" w:eastAsia="DFKaiShu"/>
          <w:b w:val="0"/>
          <w:i w:val="0"/>
          <w:color w:val="231F20"/>
          <w:sz w:val="16"/>
        </w:rPr>
        <w:t>姓</w:t>
      </w:r>
      <w:r>
        <w:tab/>
      </w:r>
      <w:r>
        <w:rPr>
          <w:rFonts w:ascii="DFKaiShu" w:hAnsi="DFKaiShu" w:eastAsia="DFKaiShu"/>
          <w:b w:val="0"/>
          <w:i w:val="0"/>
          <w:color w:val="231F20"/>
          <w:sz w:val="16"/>
        </w:rPr>
        <w:t>名</w:t>
      </w:r>
      <w:r>
        <w:rPr>
          <w:rFonts w:ascii="DFKaiShu" w:hAnsi="DFKaiShu" w:eastAsia="DFKaiShu"/>
          <w:b w:val="0"/>
          <w:i w:val="0"/>
          <w:color w:val="231F20"/>
          <w:sz w:val="16"/>
        </w:rPr>
        <w:t>：鄭恩融</w:t>
      </w:r>
    </w:p>
    <w:p>
      <w:pPr>
        <w:autoSpaceDN w:val="0"/>
        <w:tabs>
          <w:tab w:pos="796" w:val="left"/>
          <w:tab w:pos="976" w:val="left"/>
          <w:tab w:pos="5224" w:val="left"/>
          <w:tab w:pos="5706" w:val="left"/>
          <w:tab w:pos="5896" w:val="left"/>
        </w:tabs>
        <w:autoSpaceDE w:val="0"/>
        <w:widowControl/>
        <w:spacing w:line="168" w:lineRule="exact" w:before="96" w:after="0"/>
        <w:ind w:left="314" w:right="0" w:firstLine="0"/>
        <w:jc w:val="left"/>
      </w:pPr>
      <w:r>
        <w:rPr>
          <w:rFonts w:ascii="DFKaiShu" w:hAnsi="DFKaiShu" w:eastAsia="DFKaiShu"/>
          <w:b w:val="0"/>
          <w:i w:val="0"/>
          <w:color w:val="231F20"/>
          <w:sz w:val="16"/>
        </w:rPr>
        <w:t>職</w:t>
      </w:r>
      <w:r>
        <w:rPr>
          <w:rFonts w:ascii="DFKaiShu" w:hAnsi="DFKaiShu" w:eastAsia="DFKaiShu"/>
          <w:b w:val="0"/>
          <w:i w:val="0"/>
          <w:color w:val="231F20"/>
          <w:sz w:val="16"/>
        </w:rPr>
        <w:t>稱</w:t>
      </w:r>
      <w:r>
        <w:rPr>
          <w:rFonts w:ascii="DFKaiShu" w:hAnsi="DFKaiShu" w:eastAsia="DFKaiShu"/>
          <w:b w:val="0"/>
          <w:i w:val="0"/>
          <w:color w:val="231F20"/>
          <w:sz w:val="16"/>
        </w:rPr>
        <w:t>：行銷長</w:t>
      </w:r>
      <w:r>
        <w:tab/>
      </w:r>
      <w:r>
        <w:rPr>
          <w:rFonts w:ascii="DFKaiShu" w:hAnsi="DFKaiShu" w:eastAsia="DFKaiShu"/>
          <w:b w:val="0"/>
          <w:i w:val="0"/>
          <w:color w:val="231F20"/>
          <w:sz w:val="16"/>
        </w:rPr>
        <w:t>職</w:t>
      </w:r>
      <w:r>
        <w:tab/>
      </w:r>
      <w:r>
        <w:rPr>
          <w:rFonts w:ascii="DFKaiShu" w:hAnsi="DFKaiShu" w:eastAsia="DFKaiShu"/>
          <w:b w:val="0"/>
          <w:i w:val="0"/>
          <w:color w:val="231F20"/>
          <w:sz w:val="16"/>
        </w:rPr>
        <w:t>稱</w:t>
      </w:r>
      <w:r>
        <w:rPr>
          <w:rFonts w:ascii="DFKaiShu" w:hAnsi="DFKaiShu" w:eastAsia="DFKaiShu"/>
          <w:b w:val="0"/>
          <w:i w:val="0"/>
          <w:color w:val="231F20"/>
          <w:sz w:val="16"/>
        </w:rPr>
        <w:t>：協理</w:t>
      </w:r>
    </w:p>
    <w:p>
      <w:pPr>
        <w:autoSpaceDN w:val="0"/>
        <w:tabs>
          <w:tab w:pos="976" w:val="left"/>
          <w:tab w:pos="5224" w:val="left"/>
          <w:tab w:pos="5896" w:val="left"/>
        </w:tabs>
        <w:autoSpaceDE w:val="0"/>
        <w:widowControl/>
        <w:spacing w:line="206" w:lineRule="exact" w:before="0" w:after="0"/>
        <w:ind w:left="314" w:right="0" w:firstLine="0"/>
        <w:jc w:val="left"/>
      </w:pPr>
      <w:r>
        <w:rPr>
          <w:rFonts w:ascii="DFKaiShu" w:hAnsi="DFKaiShu" w:eastAsia="DFKaiShu"/>
          <w:b w:val="0"/>
          <w:i w:val="0"/>
          <w:color w:val="231F20"/>
          <w:sz w:val="16"/>
        </w:rPr>
        <w:t>聯絡電話</w:t>
      </w:r>
      <w:r>
        <w:rPr>
          <w:rFonts w:ascii="DFKaiShu" w:hAnsi="DFKaiShu" w:eastAsia="DFKaiShu"/>
          <w:b w:val="0"/>
          <w:i w:val="0"/>
          <w:color w:val="231F20"/>
          <w:sz w:val="16"/>
        </w:rPr>
        <w:t>：</w:t>
      </w:r>
      <w:r>
        <w:rPr>
          <w:rFonts w:ascii="Times" w:hAnsi="Times" w:eastAsia="Times"/>
          <w:b w:val="0"/>
          <w:i w:val="0"/>
          <w:color w:val="231F20"/>
          <w:sz w:val="16"/>
        </w:rPr>
        <w:t>+886-2-2175-1313</w:t>
      </w:r>
      <w:r>
        <w:tab/>
      </w:r>
      <w:r>
        <w:rPr>
          <w:rFonts w:ascii="DFKaiShu" w:hAnsi="DFKaiShu" w:eastAsia="DFKaiShu"/>
          <w:b w:val="0"/>
          <w:i w:val="0"/>
          <w:color w:val="231F20"/>
          <w:sz w:val="16"/>
        </w:rPr>
        <w:t>聯絡電話</w:t>
      </w:r>
      <w:r>
        <w:rPr>
          <w:rFonts w:ascii="DFKaiShu" w:hAnsi="DFKaiShu" w:eastAsia="DFKaiShu"/>
          <w:b w:val="0"/>
          <w:i w:val="0"/>
          <w:color w:val="231F20"/>
          <w:sz w:val="16"/>
        </w:rPr>
        <w:t>：</w:t>
      </w:r>
      <w:r>
        <w:rPr>
          <w:rFonts w:ascii="Times" w:hAnsi="Times" w:eastAsia="Times"/>
          <w:b w:val="0"/>
          <w:i w:val="0"/>
          <w:color w:val="231F20"/>
          <w:sz w:val="16"/>
        </w:rPr>
        <w:t>+886-2-2175-1313</w:t>
      </w:r>
    </w:p>
    <w:p>
      <w:pPr>
        <w:autoSpaceDN w:val="0"/>
        <w:tabs>
          <w:tab w:pos="976" w:val="left"/>
          <w:tab w:pos="5224" w:val="left"/>
          <w:tab w:pos="5896" w:val="left"/>
        </w:tabs>
        <w:autoSpaceDE w:val="0"/>
        <w:widowControl/>
        <w:spacing w:line="240" w:lineRule="auto" w:before="0" w:after="0"/>
        <w:ind w:left="314" w:right="0" w:firstLine="0"/>
        <w:jc w:val="left"/>
      </w:pPr>
      <w:r>
        <w:rPr>
          <w:rFonts w:ascii="Times" w:hAnsi="Times" w:eastAsia="Times"/>
          <w:b w:val="0"/>
          <w:i w:val="0"/>
          <w:color w:val="231F20"/>
          <w:sz w:val="16"/>
        </w:rPr>
        <w:t>e m a i l</w:t>
      </w:r>
      <w:r>
        <w:rPr>
          <w:rFonts w:ascii="Times" w:hAnsi="Times" w:eastAsia="Times"/>
          <w:b w:val="0"/>
          <w:i w:val="0"/>
          <w:color w:val="231F20"/>
          <w:sz w:val="16"/>
        </w:rPr>
        <w:t xml:space="preserve"> : spokesperson@esunfhc.com </w:t>
      </w:r>
      <w:r>
        <w:tab/>
      </w:r>
      <w:r>
        <w:rPr>
          <w:rFonts w:ascii="Times" w:hAnsi="Times" w:eastAsia="Times"/>
          <w:b w:val="0"/>
          <w:i w:val="0"/>
          <w:color w:val="231F20"/>
          <w:sz w:val="16"/>
        </w:rPr>
        <w:t>e m a i l</w:t>
      </w:r>
      <w:r>
        <w:rPr>
          <w:rFonts w:ascii="Times" w:hAnsi="Times" w:eastAsia="Times"/>
          <w:b w:val="0"/>
          <w:i w:val="0"/>
          <w:color w:val="231F20"/>
          <w:sz w:val="16"/>
        </w:rPr>
        <w:t xml:space="preserve"> : spokesperson@esunfhc.com</w:t>
      </w:r>
    </w:p>
    <w:p>
      <w:pPr>
        <w:autoSpaceDN w:val="0"/>
        <w:autoSpaceDE w:val="0"/>
        <w:widowControl/>
        <w:spacing w:line="210" w:lineRule="exact" w:before="486" w:after="0"/>
        <w:ind w:left="314" w:right="0" w:firstLine="0"/>
        <w:jc w:val="left"/>
      </w:pPr>
      <w:r>
        <w:rPr>
          <w:rFonts w:ascii="DFKaiShu" w:hAnsi="DFKaiShu" w:eastAsia="DFKaiShu"/>
          <w:b w:val="0"/>
          <w:i w:val="0"/>
          <w:color w:val="00A99D"/>
          <w:sz w:val="20"/>
        </w:rPr>
        <w:t>辦理股票過戶機構</w:t>
      </w:r>
    </w:p>
    <w:p>
      <w:pPr>
        <w:autoSpaceDN w:val="0"/>
        <w:autoSpaceDE w:val="0"/>
        <w:widowControl/>
        <w:spacing w:line="168" w:lineRule="exact" w:before="98" w:after="0"/>
        <w:ind w:left="314" w:right="0" w:firstLine="0"/>
        <w:jc w:val="left"/>
      </w:pPr>
      <w:r>
        <w:rPr>
          <w:rFonts w:ascii="DFKaiShu" w:hAnsi="DFKaiShu" w:eastAsia="DFKaiShu"/>
          <w:b w:val="0"/>
          <w:i w:val="0"/>
          <w:color w:val="231F20"/>
          <w:sz w:val="16"/>
        </w:rPr>
        <w:t>名稱：本公司行政管理部（股務）</w:t>
      </w:r>
    </w:p>
    <w:p>
      <w:pPr>
        <w:autoSpaceDN w:val="0"/>
        <w:autoSpaceDE w:val="0"/>
        <w:widowControl/>
        <w:spacing w:line="272" w:lineRule="exact" w:before="44" w:after="0"/>
        <w:ind w:left="314" w:right="0" w:firstLine="0"/>
        <w:jc w:val="left"/>
      </w:pPr>
      <w:r>
        <w:rPr>
          <w:rFonts w:ascii="DFKaiShu" w:hAnsi="DFKaiShu" w:eastAsia="DFKaiShu"/>
          <w:b w:val="0"/>
          <w:i w:val="0"/>
          <w:color w:val="231F20"/>
          <w:sz w:val="16"/>
        </w:rPr>
        <w:t>地址：臺北市松山區民生東路</w:t>
      </w:r>
      <w:r>
        <w:rPr>
          <w:rFonts w:ascii="Times" w:hAnsi="Times" w:eastAsia="Times"/>
          <w:b w:val="0"/>
          <w:i w:val="0"/>
          <w:color w:val="231F20"/>
          <w:sz w:val="16"/>
        </w:rPr>
        <w:t>3</w:t>
      </w:r>
      <w:r>
        <w:rPr>
          <w:rFonts w:ascii="DFKaiShu" w:hAnsi="DFKaiShu" w:eastAsia="DFKaiShu"/>
          <w:b w:val="0"/>
          <w:i w:val="0"/>
          <w:color w:val="231F20"/>
          <w:sz w:val="16"/>
        </w:rPr>
        <w:t>段</w:t>
      </w:r>
      <w:r>
        <w:rPr>
          <w:rFonts w:ascii="Times" w:hAnsi="Times" w:eastAsia="Times"/>
          <w:b w:val="0"/>
          <w:i w:val="0"/>
          <w:color w:val="231F20"/>
          <w:sz w:val="16"/>
        </w:rPr>
        <w:t>115</w:t>
      </w:r>
      <w:r>
        <w:rPr>
          <w:rFonts w:ascii="DFKaiShu" w:hAnsi="DFKaiShu" w:eastAsia="DFKaiShu"/>
          <w:b w:val="0"/>
          <w:i w:val="0"/>
          <w:color w:val="231F20"/>
          <w:sz w:val="16"/>
        </w:rPr>
        <w:t>號</w:t>
      </w:r>
      <w:r>
        <w:rPr>
          <w:rFonts w:ascii="Times" w:hAnsi="Times" w:eastAsia="Times"/>
          <w:b w:val="0"/>
          <w:i w:val="0"/>
          <w:color w:val="231F20"/>
          <w:sz w:val="16"/>
        </w:rPr>
        <w:t>1</w:t>
      </w:r>
      <w:r>
        <w:rPr>
          <w:rFonts w:ascii="DFKaiShu" w:hAnsi="DFKaiShu" w:eastAsia="DFKaiShu"/>
          <w:b w:val="0"/>
          <w:i w:val="0"/>
          <w:color w:val="231F20"/>
          <w:sz w:val="16"/>
        </w:rPr>
        <w:t>樓</w:t>
      </w:r>
    </w:p>
    <w:p>
      <w:pPr>
        <w:autoSpaceDN w:val="0"/>
        <w:autoSpaceDE w:val="0"/>
        <w:widowControl/>
        <w:spacing w:line="272" w:lineRule="exact" w:before="0" w:after="0"/>
        <w:ind w:left="314" w:right="0" w:firstLine="0"/>
        <w:jc w:val="left"/>
      </w:pPr>
      <w:r>
        <w:rPr>
          <w:rFonts w:ascii="DFKaiShu" w:hAnsi="DFKaiShu" w:eastAsia="DFKaiShu"/>
          <w:b w:val="0"/>
          <w:i w:val="0"/>
          <w:color w:val="231F20"/>
          <w:sz w:val="16"/>
        </w:rPr>
        <w:t>網址：</w:t>
      </w:r>
      <w:r>
        <w:rPr>
          <w:rFonts w:ascii="Times" w:hAnsi="Times" w:eastAsia="Times"/>
          <w:b w:val="0"/>
          <w:i w:val="0"/>
          <w:color w:val="231F20"/>
          <w:sz w:val="16"/>
        </w:rPr>
        <w:t>https://www.esunfhc.com</w:t>
      </w:r>
    </w:p>
    <w:p>
      <w:pPr>
        <w:autoSpaceDN w:val="0"/>
        <w:autoSpaceDE w:val="0"/>
        <w:widowControl/>
        <w:spacing w:line="272" w:lineRule="exact" w:before="0" w:after="356"/>
        <w:ind w:left="314" w:right="0" w:firstLine="0"/>
        <w:jc w:val="left"/>
      </w:pPr>
      <w:r>
        <w:rPr>
          <w:rFonts w:ascii="DFKaiShu" w:hAnsi="DFKaiShu" w:eastAsia="DFKaiShu"/>
          <w:b w:val="0"/>
          <w:i w:val="0"/>
          <w:color w:val="231F20"/>
          <w:sz w:val="16"/>
        </w:rPr>
        <w:t>電話：</w:t>
      </w:r>
      <w:r>
        <w:rPr>
          <w:rFonts w:ascii="Times" w:hAnsi="Times" w:eastAsia="Times"/>
          <w:b w:val="0"/>
          <w:i w:val="0"/>
          <w:color w:val="231F20"/>
          <w:sz w:val="16"/>
        </w:rPr>
        <w:t>+886-2-2719-1313</w:t>
      </w:r>
    </w:p>
    <w:p>
      <w:pPr>
        <w:sectPr>
          <w:pgSz w:w="12189" w:h="15874"/>
          <w:pgMar w:top="1440" w:right="1440" w:bottom="278" w:left="1440" w:header="720" w:footer="720" w:gutter="0"/>
          <w:cols/>
          <w:docGrid w:linePitch="360"/>
        </w:sectPr>
      </w:pPr>
    </w:p>
    <w:p>
      <w:pPr>
        <w:autoSpaceDN w:val="0"/>
        <w:autoSpaceDE w:val="0"/>
        <w:widowControl/>
        <w:spacing w:line="210" w:lineRule="exact" w:before="0" w:after="0"/>
        <w:ind w:left="330" w:right="0" w:firstLine="0"/>
        <w:jc w:val="left"/>
      </w:pPr>
      <w:r>
        <w:rPr>
          <w:rFonts w:ascii="DFKaiShu" w:hAnsi="DFKaiShu" w:eastAsia="DFKaiShu"/>
          <w:b w:val="0"/>
          <w:i w:val="0"/>
          <w:color w:val="00A99D"/>
          <w:sz w:val="20"/>
        </w:rPr>
        <w:t>信用評等機構</w:t>
      </w:r>
    </w:p>
    <w:p>
      <w:pPr>
        <w:autoSpaceDN w:val="0"/>
        <w:autoSpaceDE w:val="0"/>
        <w:widowControl/>
        <w:spacing w:line="270" w:lineRule="exact" w:before="40" w:after="0"/>
        <w:ind w:left="330" w:right="0" w:firstLine="0"/>
        <w:jc w:val="left"/>
      </w:pPr>
      <w:r>
        <w:rPr>
          <w:rFonts w:ascii="DFKaiShu" w:hAnsi="DFKaiShu" w:eastAsia="DFKaiShu"/>
          <w:b w:val="0"/>
          <w:i w:val="0"/>
          <w:color w:val="231F20"/>
          <w:sz w:val="16"/>
        </w:rPr>
        <w:t>名稱：</w:t>
      </w:r>
      <w:r>
        <w:rPr>
          <w:rFonts w:ascii="Times" w:hAnsi="Times" w:eastAsia="Times"/>
          <w:b w:val="0"/>
          <w:i w:val="0"/>
          <w:color w:val="231F20"/>
          <w:sz w:val="16"/>
        </w:rPr>
        <w:t>Moody's Investors Service Inc.</w:t>
      </w:r>
    </w:p>
    <w:p>
      <w:pPr>
        <w:autoSpaceDN w:val="0"/>
        <w:tabs>
          <w:tab w:pos="770" w:val="left"/>
        </w:tabs>
        <w:autoSpaceDE w:val="0"/>
        <w:widowControl/>
        <w:spacing w:line="272" w:lineRule="exact" w:before="0" w:after="0"/>
        <w:ind w:left="330" w:right="576" w:firstLine="0"/>
        <w:jc w:val="left"/>
      </w:pPr>
      <w:r>
        <w:rPr>
          <w:rFonts w:ascii="DFKaiShu" w:hAnsi="DFKaiShu" w:eastAsia="DFKaiShu"/>
          <w:b w:val="0"/>
          <w:i w:val="0"/>
          <w:color w:val="231F20"/>
          <w:sz w:val="16"/>
        </w:rPr>
        <w:t>地址：</w:t>
      </w:r>
      <w:r>
        <w:rPr>
          <w:rFonts w:ascii="Times" w:hAnsi="Times" w:eastAsia="Times"/>
          <w:b w:val="0"/>
          <w:i w:val="0"/>
          <w:color w:val="231F20"/>
          <w:sz w:val="16"/>
        </w:rPr>
        <w:t xml:space="preserve">7 World Trade Center, 250 Greenwich Street, </w:t>
      </w:r>
      <w:r>
        <w:tab/>
      </w:r>
      <w:r>
        <w:rPr>
          <w:rFonts w:ascii="Times" w:hAnsi="Times" w:eastAsia="Times"/>
          <w:b w:val="0"/>
          <w:i w:val="0"/>
          <w:color w:val="231F20"/>
          <w:sz w:val="16"/>
        </w:rPr>
        <w:t xml:space="preserve"> New York, NY 10007, U.S.A.</w:t>
      </w:r>
    </w:p>
    <w:p>
      <w:pPr>
        <w:autoSpaceDN w:val="0"/>
        <w:autoSpaceDE w:val="0"/>
        <w:widowControl/>
        <w:spacing w:line="270" w:lineRule="exact" w:before="2" w:after="0"/>
        <w:ind w:left="330" w:right="0" w:firstLine="0"/>
        <w:jc w:val="left"/>
      </w:pPr>
      <w:r>
        <w:rPr>
          <w:rFonts w:ascii="DFKaiShu" w:hAnsi="DFKaiShu" w:eastAsia="DFKaiShu"/>
          <w:b w:val="0"/>
          <w:i w:val="0"/>
          <w:color w:val="231F20"/>
          <w:sz w:val="16"/>
        </w:rPr>
        <w:t>電話：</w:t>
      </w:r>
      <w:r>
        <w:rPr>
          <w:rFonts w:ascii="Times" w:hAnsi="Times" w:eastAsia="Times"/>
          <w:b w:val="0"/>
          <w:i w:val="0"/>
          <w:color w:val="231F20"/>
          <w:sz w:val="16"/>
        </w:rPr>
        <w:t>+1-212-553-0300</w:t>
      </w:r>
    </w:p>
    <w:p>
      <w:pPr>
        <w:autoSpaceDN w:val="0"/>
        <w:autoSpaceDE w:val="0"/>
        <w:widowControl/>
        <w:spacing w:line="168" w:lineRule="exact" w:before="236" w:after="0"/>
        <w:ind w:left="330" w:right="0" w:firstLine="0"/>
        <w:jc w:val="left"/>
      </w:pPr>
      <w:r>
        <w:rPr>
          <w:rFonts w:ascii="DFKaiShu" w:hAnsi="DFKaiShu" w:eastAsia="DFKaiShu"/>
          <w:b w:val="0"/>
          <w:i w:val="0"/>
          <w:color w:val="231F20"/>
          <w:sz w:val="16"/>
        </w:rPr>
        <w:t>名稱：中華信用評等股份有限公司</w:t>
      </w:r>
    </w:p>
    <w:p>
      <w:pPr>
        <w:autoSpaceDN w:val="0"/>
        <w:autoSpaceDE w:val="0"/>
        <w:widowControl/>
        <w:spacing w:line="168" w:lineRule="exact" w:before="104" w:after="0"/>
        <w:ind w:left="330" w:right="0" w:firstLine="0"/>
        <w:jc w:val="left"/>
      </w:pPr>
      <w:r>
        <w:rPr>
          <w:rFonts w:ascii="DFKaiShu" w:hAnsi="DFKaiShu" w:eastAsia="DFKaiShu"/>
          <w:b w:val="0"/>
          <w:i w:val="0"/>
          <w:color w:val="231F20"/>
          <w:sz w:val="16"/>
        </w:rPr>
        <w:t>地址：臺北市松山區敦化北路167號2樓</w:t>
      </w:r>
    </w:p>
    <w:p>
      <w:pPr>
        <w:autoSpaceDN w:val="0"/>
        <w:autoSpaceDE w:val="0"/>
        <w:widowControl/>
        <w:spacing w:line="272" w:lineRule="exact" w:before="44" w:after="0"/>
        <w:ind w:left="330" w:right="0" w:firstLine="0"/>
        <w:jc w:val="left"/>
      </w:pPr>
      <w:r>
        <w:rPr>
          <w:rFonts w:ascii="DFKaiShu" w:hAnsi="DFKaiShu" w:eastAsia="DFKaiShu"/>
          <w:b w:val="0"/>
          <w:i w:val="0"/>
          <w:color w:val="231F20"/>
          <w:sz w:val="16"/>
        </w:rPr>
        <w:t>電話：</w:t>
      </w:r>
      <w:r>
        <w:rPr>
          <w:rFonts w:ascii="Times" w:hAnsi="Times" w:eastAsia="Times"/>
          <w:b w:val="0"/>
          <w:i w:val="0"/>
          <w:color w:val="231F20"/>
          <w:sz w:val="16"/>
        </w:rPr>
        <w:t>+886-2-2175-6800</w:t>
      </w:r>
    </w:p>
    <w:p>
      <w:pPr>
        <w:autoSpaceDN w:val="0"/>
        <w:autoSpaceDE w:val="0"/>
        <w:widowControl/>
        <w:spacing w:line="210" w:lineRule="exact" w:before="520" w:after="0"/>
        <w:ind w:left="318" w:right="0" w:firstLine="0"/>
        <w:jc w:val="left"/>
      </w:pPr>
      <w:r>
        <w:rPr>
          <w:rFonts w:ascii="DFKaiShu" w:hAnsi="DFKaiShu" w:eastAsia="DFKaiShu"/>
          <w:b w:val="0"/>
          <w:i w:val="0"/>
          <w:color w:val="00A99D"/>
          <w:sz w:val="20"/>
        </w:rPr>
        <w:t>最近年度簽證會計師</w:t>
      </w:r>
    </w:p>
    <w:p>
      <w:pPr>
        <w:sectPr>
          <w:type w:val="continuous"/>
          <w:pgSz w:w="12189" w:h="15874"/>
          <w:pgMar w:top="1440" w:right="1440" w:bottom="278" w:left="1440" w:header="720" w:footer="720" w:gutter="0"/>
          <w:cols w:num="2" w:equalWidth="0">
            <w:col w:w="4476" w:space="0"/>
            <w:col w:w="4831" w:space="0"/>
          </w:cols>
          <w:docGrid w:linePitch="360"/>
        </w:sectPr>
      </w:pPr>
    </w:p>
    <w:p>
      <w:pPr>
        <w:autoSpaceDN w:val="0"/>
        <w:tabs>
          <w:tab w:pos="1188" w:val="left"/>
        </w:tabs>
        <w:autoSpaceDE w:val="0"/>
        <w:widowControl/>
        <w:spacing w:line="272" w:lineRule="exact" w:before="0" w:after="0"/>
        <w:ind w:left="748" w:right="1728" w:firstLine="0"/>
        <w:jc w:val="left"/>
      </w:pPr>
      <w:r>
        <w:rPr>
          <w:rFonts w:ascii="DFKaiShu" w:hAnsi="DFKaiShu" w:eastAsia="DFKaiShu"/>
          <w:b w:val="0"/>
          <w:i w:val="0"/>
          <w:color w:val="231F20"/>
          <w:sz w:val="16"/>
        </w:rPr>
        <w:t>名稱：</w:t>
      </w:r>
      <w:r>
        <w:rPr>
          <w:rFonts w:ascii="Times" w:hAnsi="Times" w:eastAsia="Times"/>
          <w:b w:val="0"/>
          <w:i w:val="0"/>
          <w:color w:val="231F20"/>
          <w:sz w:val="16"/>
        </w:rPr>
        <w:t>S&amp;P Global Ratings</w:t>
      </w:r>
      <w:r>
        <w:br/>
      </w:r>
      <w:r>
        <w:rPr>
          <w:rFonts w:ascii="DFKaiShu" w:hAnsi="DFKaiShu" w:eastAsia="DFKaiShu"/>
          <w:b w:val="0"/>
          <w:i w:val="0"/>
          <w:color w:val="231F20"/>
          <w:sz w:val="16"/>
        </w:rPr>
        <w:t>地址：</w:t>
      </w:r>
      <w:r>
        <w:rPr>
          <w:rFonts w:ascii="Times" w:hAnsi="Times" w:eastAsia="Times"/>
          <w:b w:val="0"/>
          <w:i w:val="0"/>
          <w:color w:val="231F20"/>
          <w:sz w:val="16"/>
        </w:rPr>
        <w:t xml:space="preserve">55 Water Street, New York, </w:t>
      </w:r>
      <w:r>
        <w:br/>
      </w:r>
      <w:r>
        <w:tab/>
      </w:r>
      <w:r>
        <w:rPr>
          <w:rFonts w:ascii="Times" w:hAnsi="Times" w:eastAsia="Times"/>
          <w:b w:val="0"/>
          <w:i w:val="0"/>
          <w:color w:val="231F20"/>
          <w:sz w:val="16"/>
        </w:rPr>
        <w:t xml:space="preserve"> NY 10041, USA</w:t>
      </w:r>
      <w:r>
        <w:br/>
      </w:r>
      <w:r>
        <w:rPr>
          <w:rFonts w:ascii="DFKaiShu" w:hAnsi="DFKaiShu" w:eastAsia="DFKaiShu"/>
          <w:b w:val="0"/>
          <w:i w:val="0"/>
          <w:color w:val="231F20"/>
          <w:sz w:val="16"/>
        </w:rPr>
        <w:t>電話：</w:t>
      </w:r>
      <w:r>
        <w:rPr>
          <w:rFonts w:ascii="Times" w:hAnsi="Times" w:eastAsia="Times"/>
          <w:b w:val="0"/>
          <w:i w:val="0"/>
          <w:color w:val="231F20"/>
          <w:sz w:val="16"/>
        </w:rPr>
        <w:t>+1-212-438-1000</w:t>
      </w:r>
    </w:p>
    <w:p>
      <w:pPr>
        <w:autoSpaceDN w:val="0"/>
        <w:autoSpaceDE w:val="0"/>
        <w:widowControl/>
        <w:spacing w:line="210" w:lineRule="exact" w:before="1536" w:after="98"/>
        <w:ind w:left="702" w:right="0" w:firstLine="0"/>
        <w:jc w:val="left"/>
      </w:pPr>
      <w:r>
        <w:rPr>
          <w:rFonts w:ascii="DFKaiShu" w:hAnsi="DFKaiShu" w:eastAsia="DFKaiShu"/>
          <w:b w:val="0"/>
          <w:i w:val="0"/>
          <w:color w:val="00A99D"/>
          <w:sz w:val="20"/>
        </w:rPr>
        <w:t>海外有價證券掛牌買賣資訊</w:t>
      </w:r>
    </w:p>
    <w:p>
      <w:pPr>
        <w:sectPr>
          <w:type w:val="nextColumn"/>
          <w:pgSz w:w="12189" w:h="15874"/>
          <w:pgMar w:top="1440" w:right="1440" w:bottom="278" w:left="1440" w:header="720" w:footer="720" w:gutter="0"/>
          <w:cols w:num="2" w:equalWidth="0">
            <w:col w:w="4476" w:space="0"/>
            <w:col w:w="4831" w:space="0"/>
          </w:cols>
          <w:docGrid w:linePitch="360"/>
        </w:sectPr>
      </w:pPr>
    </w:p>
    <w:p>
      <w:pPr>
        <w:autoSpaceDN w:val="0"/>
        <w:tabs>
          <w:tab w:pos="5178" w:val="left"/>
        </w:tabs>
        <w:autoSpaceDE w:val="0"/>
        <w:widowControl/>
        <w:spacing w:line="168" w:lineRule="exact" w:before="0" w:after="104"/>
        <w:ind w:left="318" w:right="0" w:firstLine="0"/>
        <w:jc w:val="left"/>
      </w:pPr>
      <w:r>
        <w:rPr>
          <w:rFonts w:ascii="DFKaiShu" w:hAnsi="DFKaiShu" w:eastAsia="DFKaiShu"/>
          <w:b w:val="0"/>
          <w:i w:val="0"/>
          <w:color w:val="231F20"/>
          <w:sz w:val="16"/>
        </w:rPr>
        <w:t xml:space="preserve">會計師：楊承修 馬偉峻 </w:t>
      </w:r>
      <w:r>
        <w:rPr>
          <w:rFonts w:ascii="DFKaiShu" w:hAnsi="DFKaiShu" w:eastAsia="DFKaiShu"/>
          <w:b w:val="0"/>
          <w:i w:val="0"/>
          <w:color w:val="231F20"/>
          <w:sz w:val="16"/>
        </w:rPr>
        <w:t>海外存託憑證</w:t>
      </w:r>
    </w:p>
    <w:p>
      <w:pPr>
        <w:sectPr>
          <w:type w:val="continuous"/>
          <w:pgSz w:w="12189" w:h="15874"/>
          <w:pgMar w:top="1440" w:right="1440" w:bottom="278" w:left="1440" w:header="720" w:footer="720" w:gutter="0"/>
          <w:cols/>
          <w:docGrid w:linePitch="360"/>
        </w:sectPr>
      </w:pPr>
    </w:p>
    <w:p>
      <w:pPr>
        <w:autoSpaceDN w:val="0"/>
        <w:autoSpaceDE w:val="0"/>
        <w:widowControl/>
        <w:spacing w:line="250" w:lineRule="exact" w:before="0" w:after="0"/>
        <w:ind w:left="318" w:right="864" w:firstLine="0"/>
        <w:jc w:val="left"/>
      </w:pPr>
      <w:r>
        <w:rPr>
          <w:rFonts w:ascii="DFKaiShu" w:hAnsi="DFKaiShu" w:eastAsia="DFKaiShu"/>
          <w:b w:val="0"/>
          <w:i w:val="0"/>
          <w:color w:val="231F20"/>
          <w:sz w:val="16"/>
        </w:rPr>
        <w:t>會計師事務所：勤業眾信聯合會計師事務所</w:t>
      </w:r>
      <w:r>
        <w:rPr>
          <w:rFonts w:ascii="DFKaiShu" w:hAnsi="DFKaiShu" w:eastAsia="DFKaiShu"/>
          <w:b w:val="0"/>
          <w:i w:val="0"/>
          <w:color w:val="231F20"/>
          <w:sz w:val="16"/>
        </w:rPr>
        <w:t>地址：臺北市信義區松仁路100號20樓</w:t>
      </w:r>
      <w:r>
        <w:br/>
      </w:r>
      <w:r>
        <w:rPr>
          <w:rFonts w:ascii="DFKaiShu" w:hAnsi="DFKaiShu" w:eastAsia="DFKaiShu"/>
          <w:b w:val="0"/>
          <w:i w:val="0"/>
          <w:color w:val="231F20"/>
          <w:sz w:val="16"/>
        </w:rPr>
        <w:t>網址：</w:t>
      </w:r>
      <w:r>
        <w:rPr>
          <w:rFonts w:ascii="Times" w:hAnsi="Times" w:eastAsia="Times"/>
          <w:b w:val="0"/>
          <w:i w:val="0"/>
          <w:color w:val="231F20"/>
          <w:sz w:val="16"/>
        </w:rPr>
        <w:t>https://www.deloitte.com.tw</w:t>
      </w:r>
      <w:r>
        <w:br/>
      </w:r>
      <w:r>
        <w:rPr>
          <w:rFonts w:ascii="DFKaiShu" w:hAnsi="DFKaiShu" w:eastAsia="DFKaiShu"/>
          <w:b w:val="0"/>
          <w:i w:val="0"/>
          <w:color w:val="231F20"/>
          <w:sz w:val="16"/>
        </w:rPr>
        <w:t>電話：</w:t>
      </w:r>
      <w:r>
        <w:rPr>
          <w:rFonts w:ascii="Times" w:hAnsi="Times" w:eastAsia="Times"/>
          <w:b w:val="0"/>
          <w:i w:val="0"/>
          <w:color w:val="231F20"/>
          <w:sz w:val="16"/>
        </w:rPr>
        <w:t>+886-2-2725-9988</w:t>
      </w:r>
    </w:p>
    <w:p>
      <w:pPr>
        <w:autoSpaceDN w:val="0"/>
        <w:autoSpaceDE w:val="0"/>
        <w:widowControl/>
        <w:spacing w:line="240" w:lineRule="auto" w:before="374" w:after="0"/>
        <w:ind w:left="320" w:right="0" w:firstLine="0"/>
        <w:jc w:val="left"/>
      </w:pPr>
      <w:r>
        <w:drawing>
          <wp:inline xmlns:a="http://schemas.openxmlformats.org/drawingml/2006/main" xmlns:pic="http://schemas.openxmlformats.org/drawingml/2006/picture">
            <wp:extent cx="800100" cy="3429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00100" cy="342900"/>
                    </a:xfrm>
                    <a:prstGeom prst="rect"/>
                  </pic:spPr>
                </pic:pic>
              </a:graphicData>
            </a:graphic>
          </wp:inline>
        </w:drawing>
      </w:r>
      <w:r>
        <w:rPr>
          <w:rFonts w:ascii="DFHeiStd" w:hAnsi="DFHeiStd" w:eastAsia="DFHeiStd"/>
          <w:b w:val="0"/>
          <w:i w:val="0"/>
          <w:color w:val="231F20"/>
          <w:sz w:val="12"/>
        </w:rPr>
        <w:t>愛惜資源重視環保</w:t>
      </w:r>
      <w:r>
        <w:rPr>
          <w:rFonts w:ascii="DFHeiStd" w:hAnsi="DFHeiStd" w:eastAsia="DFHeiStd"/>
          <w:b w:val="0"/>
          <w:i w:val="0"/>
          <w:color w:val="231F20"/>
          <w:sz w:val="12"/>
        </w:rPr>
        <w:t>本年報使用環保紙及大豆油墨</w:t>
      </w:r>
    </w:p>
    <w:p>
      <w:pPr>
        <w:sectPr>
          <w:type w:val="continuous"/>
          <w:pgSz w:w="12189" w:h="15874"/>
          <w:pgMar w:top="1440" w:right="1440" w:bottom="278" w:left="1440" w:header="720" w:footer="720" w:gutter="0"/>
          <w:cols w:num="2" w:equalWidth="0">
            <w:col w:w="4268" w:space="0"/>
            <w:col w:w="5040" w:space="0"/>
          </w:cols>
          <w:docGrid w:linePitch="360"/>
        </w:sectPr>
      </w:pPr>
    </w:p>
    <w:p>
      <w:pPr>
        <w:autoSpaceDN w:val="0"/>
        <w:autoSpaceDE w:val="0"/>
        <w:widowControl/>
        <w:spacing w:line="228" w:lineRule="exact" w:before="0" w:after="0"/>
        <w:ind w:left="910" w:right="1584" w:firstLine="0"/>
        <w:jc w:val="left"/>
      </w:pPr>
      <w:r>
        <w:rPr>
          <w:rFonts w:ascii="DFKaiShu" w:hAnsi="DFKaiShu" w:eastAsia="DFKaiShu"/>
          <w:b w:val="0"/>
          <w:i w:val="0"/>
          <w:color w:val="231F20"/>
          <w:sz w:val="16"/>
        </w:rPr>
        <w:t>交易場所名稱：盧森堡證券交易所</w:t>
      </w:r>
      <w:r>
        <w:rPr>
          <w:rFonts w:ascii="DFKaiShu" w:hAnsi="DFKaiShu" w:eastAsia="DFKaiShu"/>
          <w:b w:val="0"/>
          <w:i w:val="0"/>
          <w:color w:val="231F20"/>
          <w:sz w:val="16"/>
        </w:rPr>
        <w:t>查詢資訊方式：</w:t>
      </w:r>
      <w:r>
        <w:rPr>
          <w:rFonts w:ascii="Times" w:hAnsi="Times" w:eastAsia="Times"/>
          <w:b w:val="0"/>
          <w:i w:val="0"/>
          <w:color w:val="231F20"/>
          <w:sz w:val="16"/>
        </w:rPr>
        <w:t>https://www.bourse.lu</w:t>
      </w:r>
    </w:p>
    <w:p>
      <w:pPr>
        <w:sectPr>
          <w:type w:val="nextColumn"/>
          <w:pgSz w:w="12189" w:h="15874"/>
          <w:pgMar w:top="1440" w:right="1440" w:bottom="278" w:left="1440" w:header="720" w:footer="720" w:gutter="0"/>
          <w:cols w:num="2" w:equalWidth="0">
            <w:col w:w="4268" w:space="0"/>
            <w:col w:w="5040" w:space="0"/>
          </w:cols>
          <w:docGrid w:linePitch="360"/>
        </w:sectPr>
      </w:pPr>
    </w:p>
    <w:tbl>
      <w:tblPr>
        <w:tblW w:type="auto" w:w="0"/>
        <w:tblLayout w:type="fixed"/>
        <w:tblLook w:firstColumn="1" w:firstRow="1" w:lastColumn="0" w:lastRow="0" w:noHBand="0" w:noVBand="1" w:val="04A0"/>
        <w:tblInd w:w="0.0" w:type="dxa"/>
      </w:tblPr>
      <w:tblGrid>
        <w:gridCol w:w="9309"/>
      </w:tblGrid>
      <w:tr>
        <w:trPr>
          <w:trHeight w:hRule="exact" w:val="7338"/>
        </w:trPr>
        <w:tc>
          <w:tcPr>
            <w:tcW w:type="dxa" w:w="12188"/>
            <w:tcBorders/>
            <w:shd w:fill="fffcda"/>
            <w:tcMar>
              <w:start w:w="0" w:type="dxa"/>
              <w:end w:w="0" w:type="dxa"/>
            </w:tcMar>
          </w:tcPr>
          <w:p>
            <w:pPr>
              <w:autoSpaceDN w:val="0"/>
              <w:autoSpaceDE w:val="0"/>
              <w:widowControl/>
              <w:spacing w:line="240" w:lineRule="auto" w:before="2478" w:after="0"/>
              <w:ind w:left="2734" w:right="0" w:firstLine="0"/>
              <w:jc w:val="left"/>
            </w:pPr>
            <w:r>
              <w:drawing>
                <wp:inline xmlns:a="http://schemas.openxmlformats.org/drawingml/2006/main" xmlns:pic="http://schemas.openxmlformats.org/drawingml/2006/picture">
                  <wp:extent cx="4207510" cy="304799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207510" cy="3047999"/>
                          </a:xfrm>
                          <a:prstGeom prst="rect"/>
                        </pic:spPr>
                      </pic:pic>
                    </a:graphicData>
                  </a:graphic>
                </wp:inline>
              </w:drawing>
            </w:r>
          </w:p>
        </w:tc>
      </w:tr>
    </w:tbl>
    <w:p>
      <w:pPr>
        <w:autoSpaceDN w:val="0"/>
        <w:autoSpaceDE w:val="0"/>
        <w:widowControl/>
        <w:spacing w:line="494" w:lineRule="exact" w:before="0" w:after="0"/>
        <w:ind w:left="0" w:right="0"/>
      </w:pPr>
    </w:p>
    <w:tbl>
      <w:tblPr>
        <w:tblW w:type="auto" w:w="0"/>
        <w:tblLayout w:type="fixed"/>
        <w:tblLook w:firstColumn="1" w:firstRow="1" w:lastColumn="0" w:lastRow="0" w:noHBand="0" w:noVBand="1" w:val="04A0"/>
        <w:tblInd w:w="2360.0" w:type="dxa"/>
      </w:tblPr>
      <w:tblGrid>
        <w:gridCol w:w="9309"/>
      </w:tblGrid>
      <w:tr>
        <w:trPr>
          <w:trHeight w:hRule="exact" w:val="434"/>
        </w:trPr>
        <w:tc>
          <w:tcPr>
            <w:tcW w:type="dxa" w:w="7400"/>
            <w:tcBorders/>
            <w:shd w:fill="fffcda"/>
            <w:tcMar>
              <w:start w:w="0" w:type="dxa"/>
              <w:end w:w="0" w:type="dxa"/>
            </w:tcMar>
          </w:tcPr>
          <w:p>
            <w:pPr>
              <w:autoSpaceDN w:val="0"/>
              <w:autoSpaceDE w:val="0"/>
              <w:widowControl/>
              <w:spacing w:line="314" w:lineRule="exact" w:before="60" w:after="0"/>
              <w:ind w:left="0" w:right="0" w:firstLine="0"/>
              <w:jc w:val="center"/>
            </w:pPr>
            <w:r>
              <w:rPr>
                <w:rFonts w:ascii="DFHeiStd" w:hAnsi="DFHeiStd" w:eastAsia="DFHeiStd"/>
                <w:b w:val="0"/>
                <w:i w:val="0"/>
                <w:color w:val="009E96"/>
                <w:sz w:val="30"/>
              </w:rPr>
              <w:t>雲繞其巔 生機盎然</w:t>
            </w:r>
          </w:p>
        </w:tc>
      </w:tr>
    </w:tbl>
    <w:p>
      <w:pPr>
        <w:autoSpaceDN w:val="0"/>
        <w:autoSpaceDE w:val="0"/>
        <w:widowControl/>
        <w:spacing w:line="5248" w:lineRule="exact" w:before="0" w:after="0"/>
        <w:ind w:left="0" w:right="0"/>
      </w:pPr>
    </w:p>
    <w:tbl>
      <w:tblPr>
        <w:tblW w:type="auto" w:w="0"/>
        <w:tblLayout w:type="fixed"/>
        <w:tblLook w:firstColumn="1" w:firstRow="1" w:lastColumn="0" w:lastRow="0" w:noHBand="0" w:noVBand="1" w:val="04A0"/>
        <w:tblInd w:w="4690.0" w:type="dxa"/>
      </w:tblPr>
      <w:tblGrid>
        <w:gridCol w:w="9309"/>
      </w:tblGrid>
      <w:tr>
        <w:trPr>
          <w:trHeight w:hRule="exact" w:val="312"/>
        </w:trPr>
        <w:tc>
          <w:tcPr>
            <w:tcW w:type="dxa" w:w="2734"/>
            <w:tcBorders/>
            <w:shd w:fill="fffcda"/>
            <w:tcMar>
              <w:start w:w="0" w:type="dxa"/>
              <w:end w:w="0" w:type="dxa"/>
            </w:tcMar>
          </w:tcPr>
          <w:tbl>
            <w:tblPr>
              <w:tblW w:type="auto" w:w="0"/>
              <w:tblLayout w:type="fixed"/>
              <w:tblLook w:firstColumn="1" w:firstRow="1" w:lastColumn="0" w:lastRow="0" w:noHBand="0" w:noVBand="1" w:val="04A0"/>
              <w:tblInd w:w="0.0" w:type="dxa"/>
            </w:tblPr>
            <w:tblGrid>
              <w:gridCol w:w="2734"/>
            </w:tblGrid>
            <w:tr>
              <w:trPr>
                <w:trHeight w:hRule="exact" w:val="292"/>
              </w:trPr>
              <w:tc>
                <w:tcPr>
                  <w:tcW w:type="dxa" w:w="2734"/>
                  <w:tcBorders/>
                  <w:shd w:fill="009d96"/>
                  <w:tcMar>
                    <w:start w:w="0" w:type="dxa"/>
                    <w:end w:w="0" w:type="dxa"/>
                  </w:tcMar>
                </w:tcPr>
                <w:p>
                  <w:pPr>
                    <w:autoSpaceDN w:val="0"/>
                    <w:autoSpaceDE w:val="0"/>
                    <w:widowControl/>
                    <w:spacing w:line="250" w:lineRule="exact" w:before="12" w:after="0"/>
                    <w:ind w:left="0" w:right="0" w:firstLine="0"/>
                    <w:jc w:val="center"/>
                  </w:pPr>
                  <w:r>
                    <w:rPr>
                      <w:rFonts w:ascii="DFHeiStd" w:hAnsi="DFHeiStd" w:eastAsia="DFHeiStd"/>
                      <w:b w:val="0"/>
                      <w:i w:val="0"/>
                      <w:color w:val="FFF100"/>
                      <w:sz w:val="22"/>
                    </w:rPr>
                    <w:t>玉山金控二十三年 23</w:t>
                  </w:r>
                  <w:r>
                    <w:rPr>
                      <w:rFonts w:ascii="DFHeiStd" w:hAnsi="DFHeiStd" w:eastAsia="DFHeiStd"/>
                      <w:b w:val="0"/>
                      <w:i w:val="0"/>
                      <w:color w:val="FFF100"/>
                      <w:sz w:val="18"/>
                    </w:rPr>
                    <w:t>th</w:t>
                  </w:r>
                </w:p>
              </w:tc>
            </w:tr>
          </w:tbl>
          <w:p>
            <w:pPr>
              <w:autoSpaceDN w:val="0"/>
              <w:autoSpaceDE w:val="0"/>
              <w:widowControl/>
              <w:spacing w:line="14" w:lineRule="exact" w:before="0" w:after="0"/>
              <w:ind w:left="0" w:right="0"/>
            </w:p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680.0" w:type="dxa"/>
      </w:tblPr>
      <w:tblGrid>
        <w:gridCol w:w="9309"/>
      </w:tblGrid>
      <w:tr>
        <w:trPr>
          <w:trHeight w:hRule="exact" w:val="922"/>
        </w:trPr>
        <w:tc>
          <w:tcPr>
            <w:tcW w:type="dxa" w:w="6744"/>
            <w:tcBorders/>
            <w:shd w:fill="fffcda"/>
            <w:tcMar>
              <w:start w:w="0" w:type="dxa"/>
              <w:end w:w="0" w:type="dxa"/>
            </w:tcMar>
          </w:tcPr>
          <w:p>
            <w:pPr>
              <w:autoSpaceDN w:val="0"/>
              <w:autoSpaceDE w:val="0"/>
              <w:widowControl/>
              <w:spacing w:line="168" w:lineRule="exact" w:before="714" w:after="0"/>
              <w:ind w:left="700" w:right="0" w:firstLine="0"/>
              <w:jc w:val="left"/>
            </w:pPr>
            <w:r>
              <w:rPr>
                <w:rFonts w:ascii="DFHeiStd" w:hAnsi="DFHeiStd" w:eastAsia="DFHeiStd"/>
                <w:b w:val="0"/>
                <w:i w:val="0"/>
                <w:color w:val="C9A000"/>
                <w:sz w:val="16"/>
              </w:rPr>
              <w:t>玉山主峰 / 楊三郎</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189" w:h="15874"/>
          <w:pgMar w:top="0" w:right="0" w:bottom="0" w:left="0" w:header="720" w:footer="720" w:gutter="0"/>
          <w:cols/>
          <w:docGrid w:linePitch="360"/>
        </w:sectPr>
      </w:pPr>
    </w:p>
    <w:p>
      <w:pPr>
        <w:autoSpaceDN w:val="0"/>
        <w:autoSpaceDE w:val="0"/>
        <w:widowControl/>
        <w:spacing w:line="240" w:lineRule="auto" w:before="4440" w:after="0"/>
        <w:ind w:left="0" w:right="2828" w:firstLine="0"/>
        <w:jc w:val="right"/>
      </w:pPr>
      <w:r>
        <w:drawing>
          <wp:inline xmlns:a="http://schemas.openxmlformats.org/drawingml/2006/main" xmlns:pic="http://schemas.openxmlformats.org/drawingml/2006/picture">
            <wp:extent cx="2383790" cy="205232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383790" cy="2052320"/>
                    </a:xfrm>
                    <a:prstGeom prst="rect"/>
                  </pic:spPr>
                </pic:pic>
              </a:graphicData>
            </a:graphic>
          </wp:inline>
        </w:drawing>
      </w:r>
    </w:p>
    <w:p>
      <w:pPr>
        <w:autoSpaceDN w:val="0"/>
        <w:autoSpaceDE w:val="0"/>
        <w:widowControl/>
        <w:spacing w:line="320" w:lineRule="exact" w:before="218" w:after="0"/>
        <w:ind w:left="4176" w:right="2736" w:firstLine="0"/>
        <w:jc w:val="center"/>
      </w:pPr>
      <w:r>
        <w:rPr>
          <w:rFonts w:ascii="DFHeiStd" w:hAnsi="DFHeiStd" w:eastAsia="DFHeiStd"/>
          <w:b w:val="0"/>
          <w:i w:val="0"/>
          <w:color w:val="C9A000"/>
          <w:sz w:val="20"/>
        </w:rPr>
        <w:t>冰淇淋代表著故鄉的幸福與甜蜜，</w:t>
      </w:r>
      <w:r>
        <w:br/>
      </w:r>
      <w:r>
        <w:rPr>
          <w:rFonts w:ascii="DFHeiStd" w:hAnsi="DFHeiStd" w:eastAsia="DFHeiStd"/>
          <w:b w:val="0"/>
          <w:i w:val="0"/>
          <w:color w:val="C9A000"/>
          <w:sz w:val="20"/>
        </w:rPr>
        <w:t>互動溫馨的北極熊家族，</w:t>
      </w:r>
      <w:r>
        <w:br/>
      </w:r>
      <w:r>
        <w:rPr>
          <w:rFonts w:ascii="DFHeiStd" w:hAnsi="DFHeiStd" w:eastAsia="DFHeiStd"/>
          <w:b w:val="0"/>
          <w:i w:val="0"/>
          <w:color w:val="C9A000"/>
          <w:sz w:val="20"/>
        </w:rPr>
        <w:t>喚起人們對氣候變遷與自然環境的關心。</w:t>
      </w:r>
    </w:p>
    <w:p>
      <w:pPr>
        <w:autoSpaceDN w:val="0"/>
        <w:autoSpaceDE w:val="0"/>
        <w:widowControl/>
        <w:spacing w:line="240" w:lineRule="exact" w:before="4632" w:after="0"/>
        <w:ind w:left="1408" w:right="7920" w:firstLine="0"/>
        <w:jc w:val="left"/>
      </w:pPr>
      <w:r>
        <w:rPr>
          <w:rFonts w:ascii="DFHeiStd" w:hAnsi="DFHeiStd" w:eastAsia="DFHeiStd"/>
          <w:b w:val="0"/>
          <w:i w:val="0"/>
          <w:color w:val="C9A000"/>
          <w:sz w:val="16"/>
        </w:rPr>
        <w:t>回家路上  / 卞大龍</w:t>
      </w:r>
      <w:r>
        <w:br/>
      </w:r>
      <w:r>
        <w:rPr>
          <w:rFonts w:ascii="DFHeiStd" w:hAnsi="DFHeiStd" w:eastAsia="DFHeiStd"/>
          <w:b w:val="0"/>
          <w:i w:val="0"/>
          <w:color w:val="C9A000"/>
          <w:sz w:val="16"/>
        </w:rPr>
        <w:t>玉山銀行珍藏</w:t>
      </w:r>
    </w:p>
    <w:p>
      <w:pPr>
        <w:sectPr>
          <w:pgSz w:w="12189" w:h="15874"/>
          <w:pgMar w:top="0" w:right="1440" w:bottom="0" w:left="0" w:header="720" w:footer="720" w:gutter="0"/>
          <w:cols/>
          <w:docGrid w:linePitch="360"/>
        </w:sectPr>
      </w:pPr>
    </w:p>
    <w:p>
      <w:pPr>
        <w:autoSpaceDN w:val="0"/>
        <w:autoSpaceDE w:val="0"/>
        <w:widowControl/>
        <w:spacing w:line="1020" w:lineRule="exact" w:before="0"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722630</wp:posOffset>
            </wp:positionH>
            <wp:positionV relativeFrom="page">
              <wp:posOffset>6239510</wp:posOffset>
            </wp:positionV>
            <wp:extent cx="6121400" cy="3124655"/>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121400" cy="3124655"/>
                    </a:xfrm>
                    <a:prstGeom prst="rect"/>
                  </pic:spPr>
                </pic:pic>
              </a:graphicData>
            </a:graphic>
          </wp:anchor>
        </w:drawing>
      </w:r>
    </w:p>
    <w:tbl>
      <w:tblPr>
        <w:tblW w:type="auto" w:w="0"/>
        <w:tblLayout w:type="fixed"/>
        <w:tblLook w:firstColumn="1" w:firstRow="1" w:lastColumn="0" w:lastRow="0" w:noHBand="0" w:noVBand="1" w:val="04A0"/>
        <w:tblInd w:w="10.0" w:type="dxa"/>
      </w:tblPr>
      <w:tblGrid>
        <w:gridCol w:w="9621"/>
      </w:tblGrid>
      <w:tr>
        <w:trPr>
          <w:trHeight w:hRule="exact" w:val="13666"/>
        </w:trPr>
        <w:tc>
          <w:tcPr>
            <w:tcW w:type="dxa" w:w="9638"/>
            <w:tcBorders>
              <w:start w:sz="8.0" w:val="single" w:color="#C99F00"/>
              <w:top w:sz="8.0" w:val="single" w:color="#C99F00"/>
              <w:end w:sz="8.0" w:val="single" w:color="#C99F00"/>
              <w:bottom w:sz="8.0" w:val="single" w:color="#C99F00"/>
            </w:tcBorders>
            <w:tcMar>
              <w:start w:w="0" w:type="dxa"/>
              <w:end w:w="0" w:type="dxa"/>
            </w:tcMar>
          </w:tcPr>
          <w:p>
            <w:pPr>
              <w:autoSpaceDN w:val="0"/>
              <w:autoSpaceDE w:val="0"/>
              <w:widowControl/>
              <w:spacing w:line="504" w:lineRule="exact" w:before="730" w:after="282"/>
              <w:ind w:left="0" w:right="3936" w:firstLine="0"/>
              <w:jc w:val="right"/>
            </w:pPr>
            <w:r>
              <w:rPr>
                <w:rFonts w:ascii="DFHeiStd" w:hAnsi="DFHeiStd" w:eastAsia="DFHeiStd"/>
                <w:b w:val="0"/>
                <w:i w:val="0"/>
                <w:color w:val="C9A000"/>
                <w:sz w:val="48"/>
              </w:rPr>
              <w:t>目   錄</w:t>
            </w:r>
          </w:p>
          <w:tbl>
            <w:tblPr>
              <w:tblW w:type="auto" w:w="0"/>
              <w:tblLayout w:type="fixed"/>
              <w:tblLook w:firstColumn="1" w:firstRow="1" w:lastColumn="0" w:lastRow="0" w:noHBand="0" w:noVBand="1" w:val="04A0"/>
              <w:tblInd w:w="1118.0" w:type="dxa"/>
            </w:tblPr>
            <w:tblGrid>
              <w:gridCol w:w="4819"/>
              <w:gridCol w:w="4819"/>
            </w:tblGrid>
            <w:tr>
              <w:trPr>
                <w:trHeight w:hRule="exact" w:val="1822"/>
              </w:trPr>
              <w:tc>
                <w:tcPr>
                  <w:tcW w:type="dxa" w:w="6914"/>
                  <w:tcBorders>
                    <w:top w:sz="2.0" w:val="single" w:color="#009D96"/>
                  </w:tcBorders>
                  <w:tcMar>
                    <w:start w:w="0" w:type="dxa"/>
                    <w:end w:w="0" w:type="dxa"/>
                  </w:tcMar>
                </w:tcPr>
                <w:p>
                  <w:pPr>
                    <w:autoSpaceDN w:val="0"/>
                    <w:autoSpaceDE w:val="0"/>
                    <w:widowControl/>
                    <w:spacing w:line="256" w:lineRule="exact" w:before="84" w:after="0"/>
                    <w:ind w:left="26" w:right="0" w:firstLine="0"/>
                    <w:jc w:val="left"/>
                  </w:pPr>
                  <w:r>
                    <w:rPr>
                      <w:rFonts w:ascii="Helvetica" w:hAnsi="Helvetica" w:eastAsia="Helvetica"/>
                      <w:b w:val="0"/>
                      <w:i w:val="0"/>
                      <w:color w:val="009E96"/>
                      <w:sz w:val="16"/>
                    </w:rPr>
                    <w:t xml:space="preserve">1. </w:t>
                  </w:r>
                  <w:r>
                    <w:rPr>
                      <w:rFonts w:ascii="DFHeiStd" w:hAnsi="DFHeiStd" w:eastAsia="DFHeiStd"/>
                      <w:b w:val="0"/>
                      <w:i w:val="0"/>
                      <w:color w:val="009E96"/>
                      <w:sz w:val="16"/>
                    </w:rPr>
                    <w:t>致股東報告書</w:t>
                  </w:r>
                </w:p>
                <w:p>
                  <w:pPr>
                    <w:autoSpaceDN w:val="0"/>
                    <w:autoSpaceDE w:val="0"/>
                    <w:widowControl/>
                    <w:spacing w:line="196" w:lineRule="exact" w:before="88" w:after="0"/>
                    <w:ind w:left="366" w:right="144" w:hanging="340"/>
                    <w:jc w:val="left"/>
                  </w:pPr>
                  <w:r>
                    <w:rPr>
                      <w:rFonts w:ascii="Helvetica" w:hAnsi="Helvetica" w:eastAsia="Helvetica"/>
                      <w:b w:val="0"/>
                      <w:i w:val="0"/>
                      <w:color w:val="009E96"/>
                      <w:sz w:val="16"/>
                    </w:rPr>
                    <w:t xml:space="preserve">2. </w:t>
                  </w:r>
                  <w:r>
                    <w:rPr>
                      <w:rFonts w:ascii="DFHeiStd" w:hAnsi="DFHeiStd" w:eastAsia="DFHeiStd"/>
                      <w:b w:val="0"/>
                      <w:i w:val="0"/>
                      <w:color w:val="009E96"/>
                      <w:sz w:val="16"/>
                    </w:rPr>
                    <w:t>公司治理報告</w:t>
                  </w:r>
                  <w:r>
                    <w:br/>
                  </w:r>
                  <w:r>
                    <w:rPr>
                      <w:rFonts w:ascii="Helvetica" w:hAnsi="Helvetica" w:eastAsia="Helvetica"/>
                      <w:b w:val="0"/>
                      <w:i w:val="0"/>
                      <w:color w:val="000000"/>
                      <w:sz w:val="14"/>
                    </w:rPr>
                    <w:t xml:space="preserve">2.1 </w:t>
                  </w:r>
                  <w:r>
                    <w:rPr>
                      <w:rFonts w:ascii="DFMingStd" w:hAnsi="DFMingStd" w:eastAsia="DFMingStd"/>
                      <w:b w:val="0"/>
                      <w:i w:val="0"/>
                      <w:color w:val="000000"/>
                      <w:sz w:val="15"/>
                    </w:rPr>
                    <w:t>董事/獨立董事及主要經理人</w:t>
                  </w:r>
                  <w:r>
                    <w:br/>
                  </w:r>
                  <w:r>
                    <w:rPr>
                      <w:rFonts w:ascii="Helvetica" w:hAnsi="Helvetica" w:eastAsia="Helvetica"/>
                      <w:b w:val="0"/>
                      <w:i w:val="0"/>
                      <w:color w:val="000000"/>
                      <w:sz w:val="14"/>
                    </w:rPr>
                    <w:t xml:space="preserve">2.2 </w:t>
                  </w:r>
                  <w:r>
                    <w:rPr>
                      <w:rFonts w:ascii="DFMingStd" w:hAnsi="DFMingStd" w:eastAsia="DFMingStd"/>
                      <w:b w:val="0"/>
                      <w:i w:val="0"/>
                      <w:color w:val="000000"/>
                      <w:sz w:val="15"/>
                    </w:rPr>
                    <w:t>公司治理運作情形</w:t>
                  </w:r>
                  <w:r>
                    <w:br/>
                  </w:r>
                  <w:r>
                    <w:rPr>
                      <w:rFonts w:ascii="Helvetica" w:hAnsi="Helvetica" w:eastAsia="Helvetica"/>
                      <w:b w:val="0"/>
                      <w:i w:val="0"/>
                      <w:color w:val="000000"/>
                      <w:sz w:val="14"/>
                    </w:rPr>
                    <w:t xml:space="preserve">2.3 </w:t>
                  </w:r>
                  <w:r>
                    <w:rPr>
                      <w:rFonts w:ascii="DFMingStd" w:hAnsi="DFMingStd" w:eastAsia="DFMingStd"/>
                      <w:b w:val="0"/>
                      <w:i w:val="0"/>
                      <w:color w:val="000000"/>
                      <w:sz w:val="15"/>
                    </w:rPr>
                    <w:t>會計師公費資訊</w:t>
                  </w:r>
                  <w:r>
                    <w:br/>
                  </w:r>
                  <w:r>
                    <w:rPr>
                      <w:rFonts w:ascii="Helvetica" w:hAnsi="Helvetica" w:eastAsia="Helvetica"/>
                      <w:b w:val="0"/>
                      <w:i w:val="0"/>
                      <w:color w:val="000000"/>
                      <w:sz w:val="14"/>
                    </w:rPr>
                    <w:t xml:space="preserve">2.4 </w:t>
                  </w:r>
                  <w:r>
                    <w:rPr>
                      <w:rFonts w:ascii="AdobeMingStd" w:hAnsi="AdobeMingStd" w:eastAsia="AdobeMingStd"/>
                      <w:b w:val="0"/>
                      <w:i w:val="0"/>
                      <w:color w:val="000000"/>
                      <w:sz w:val="14"/>
                    </w:rPr>
                    <w:t>更換會計師資訊</w:t>
                  </w:r>
                  <w:r>
                    <w:br/>
                  </w:r>
                  <w:r>
                    <w:rPr>
                      <w:rFonts w:ascii="Helvetica" w:hAnsi="Helvetica" w:eastAsia="Helvetica"/>
                      <w:b w:val="0"/>
                      <w:i w:val="0"/>
                      <w:color w:val="000000"/>
                      <w:sz w:val="14"/>
                    </w:rPr>
                    <w:t xml:space="preserve">2.5 </w:t>
                  </w:r>
                  <w:r>
                    <w:rPr>
                      <w:rFonts w:ascii="DFMingStd" w:hAnsi="DFMingStd" w:eastAsia="DFMingStd"/>
                      <w:b w:val="0"/>
                      <w:i w:val="0"/>
                      <w:color w:val="000000"/>
                      <w:sz w:val="12"/>
                    </w:rPr>
                    <w:t>公司之董事長、總經理、負責財務或會計事務之經理人，最近一年內曾任職於簽證會計師所屬事務所或其關係企業者</w:t>
                  </w:r>
                  <w:r>
                    <w:rPr>
                      <w:rFonts w:ascii="Helvetica" w:hAnsi="Helvetica" w:eastAsia="Helvetica"/>
                      <w:b w:val="0"/>
                      <w:i w:val="0"/>
                      <w:color w:val="000000"/>
                      <w:sz w:val="14"/>
                    </w:rPr>
                    <w:t xml:space="preserve">2.6 </w:t>
                  </w:r>
                  <w:r>
                    <w:rPr>
                      <w:rFonts w:ascii="DFMingStd" w:hAnsi="DFMingStd" w:eastAsia="DFMingStd"/>
                      <w:b w:val="0"/>
                      <w:i w:val="0"/>
                      <w:color w:val="000000"/>
                      <w:sz w:val="12"/>
                    </w:rPr>
                    <w:t>董事、經理人與依同一人或同一關係人持有同一金融控股公司已發行有表決權股份總數達一定比率管理辦法第十一條</w:t>
                  </w:r>
                </w:p>
              </w:tc>
              <w:tc>
                <w:tcPr>
                  <w:tcW w:type="dxa" w:w="446"/>
                  <w:tcBorders>
                    <w:top w:sz="2.0" w:val="single" w:color="#009D96"/>
                  </w:tcBorders>
                  <w:tcMar>
                    <w:start w:w="0" w:type="dxa"/>
                    <w:end w:w="0" w:type="dxa"/>
                  </w:tcMar>
                </w:tcPr>
                <w:p>
                  <w:pPr>
                    <w:autoSpaceDN w:val="0"/>
                    <w:autoSpaceDE w:val="0"/>
                    <w:widowControl/>
                    <w:spacing w:line="334" w:lineRule="auto" w:before="78" w:after="0"/>
                    <w:ind w:left="0" w:right="72" w:firstLine="0"/>
                    <w:jc w:val="right"/>
                  </w:pPr>
                  <w:r>
                    <w:rPr>
                      <w:rFonts w:ascii="Helvetica" w:hAnsi="Helvetica" w:eastAsia="Helvetica"/>
                      <w:b/>
                      <w:i w:val="0"/>
                      <w:color w:val="009E96"/>
                      <w:sz w:val="16"/>
                    </w:rPr>
                    <w:t>1</w:t>
                  </w:r>
                </w:p>
                <w:p>
                  <w:pPr>
                    <w:autoSpaceDN w:val="0"/>
                    <w:autoSpaceDE w:val="0"/>
                    <w:widowControl/>
                    <w:spacing w:line="281" w:lineRule="auto" w:before="22" w:after="0"/>
                    <w:ind w:left="144" w:right="72" w:firstLine="0"/>
                    <w:jc w:val="right"/>
                  </w:pPr>
                  <w:r>
                    <w:rPr>
                      <w:rFonts w:ascii="Helvetica" w:hAnsi="Helvetica" w:eastAsia="Helvetica"/>
                      <w:b/>
                      <w:i w:val="0"/>
                      <w:color w:val="009E96"/>
                      <w:sz w:val="16"/>
                    </w:rPr>
                    <w:t xml:space="preserve">5 </w:t>
                  </w:r>
                  <w:r>
                    <w:br/>
                  </w:r>
                  <w:r>
                    <w:rPr>
                      <w:rFonts w:ascii="Helvetica" w:hAnsi="Helvetica" w:eastAsia="Helvetica"/>
                      <w:b w:val="0"/>
                      <w:i w:val="0"/>
                      <w:color w:val="000000"/>
                      <w:sz w:val="15"/>
                    </w:rPr>
                    <w:t xml:space="preserve">6 </w:t>
                  </w:r>
                  <w:r>
                    <w:br/>
                  </w:r>
                  <w:r>
                    <w:rPr>
                      <w:rFonts w:ascii="Helvetica" w:hAnsi="Helvetica" w:eastAsia="Helvetica"/>
                      <w:b w:val="0"/>
                      <w:i w:val="0"/>
                      <w:color w:val="000000"/>
                      <w:sz w:val="15"/>
                    </w:rPr>
                    <w:t xml:space="preserve">16 </w:t>
                  </w:r>
                  <w:r>
                    <w:br/>
                  </w:r>
                  <w:r>
                    <w:rPr>
                      <w:rFonts w:ascii="Helvetica" w:hAnsi="Helvetica" w:eastAsia="Helvetica"/>
                      <w:b w:val="0"/>
                      <w:i w:val="0"/>
                      <w:color w:val="000000"/>
                      <w:sz w:val="15"/>
                    </w:rPr>
                    <w:t xml:space="preserve">49 </w:t>
                  </w:r>
                  <w:r>
                    <w:br/>
                  </w:r>
                  <w:r>
                    <w:rPr>
                      <w:rFonts w:ascii="Helvetica" w:hAnsi="Helvetica" w:eastAsia="Helvetica"/>
                      <w:b w:val="0"/>
                      <w:i w:val="0"/>
                      <w:color w:val="000000"/>
                      <w:sz w:val="15"/>
                    </w:rPr>
                    <w:t xml:space="preserve">49 </w:t>
                  </w:r>
                  <w:r>
                    <w:br/>
                  </w:r>
                  <w:r>
                    <w:rPr>
                      <w:rFonts w:ascii="Helvetica" w:hAnsi="Helvetica" w:eastAsia="Helvetica"/>
                      <w:b w:val="0"/>
                      <w:i w:val="0"/>
                      <w:color w:val="000000"/>
                      <w:sz w:val="15"/>
                    </w:rPr>
                    <w:t xml:space="preserve">49 </w:t>
                  </w:r>
                  <w:r>
                    <w:br/>
                  </w:r>
                  <w:r>
                    <w:rPr>
                      <w:rFonts w:ascii="Helvetica" w:hAnsi="Helvetica" w:eastAsia="Helvetica"/>
                      <w:b w:val="0"/>
                      <w:i w:val="0"/>
                      <w:color w:val="000000"/>
                      <w:sz w:val="15"/>
                    </w:rPr>
                    <w:t>50</w:t>
                  </w:r>
                </w:p>
              </w:tc>
            </w:tr>
          </w:tbl>
          <w:p>
            <w:pPr>
              <w:autoSpaceDN w:val="0"/>
              <w:autoSpaceDE w:val="0"/>
              <w:widowControl/>
              <w:spacing w:line="126" w:lineRule="exact" w:before="4" w:after="14"/>
              <w:ind w:left="1712" w:right="0" w:firstLine="0"/>
              <w:jc w:val="left"/>
            </w:pPr>
            <w:r>
              <w:rPr>
                <w:rFonts w:ascii="DFMingStd" w:hAnsi="DFMingStd" w:eastAsia="DFMingStd"/>
                <w:b w:val="0"/>
                <w:i w:val="0"/>
                <w:color w:val="000000"/>
                <w:sz w:val="12"/>
              </w:rPr>
              <w:t>規定應申報股權者之股權變動情形</w:t>
            </w:r>
          </w:p>
          <w:tbl>
            <w:tblPr>
              <w:tblW w:type="auto" w:w="0"/>
              <w:tblLayout w:type="fixed"/>
              <w:tblLook w:firstColumn="1" w:firstRow="1" w:lastColumn="0" w:lastRow="0" w:noHBand="0" w:noVBand="1" w:val="04A0"/>
              <w:tblInd w:w="552.0" w:type="dxa"/>
            </w:tblPr>
            <w:tblGrid>
              <w:gridCol w:w="4819"/>
              <w:gridCol w:w="4819"/>
            </w:tblGrid>
            <w:tr>
              <w:trPr>
                <w:trHeight w:hRule="exact" w:val="7952"/>
              </w:trPr>
              <w:tc>
                <w:tcPr>
                  <w:tcW w:type="dxa" w:w="7460"/>
                  <w:tcBorders/>
                  <w:tcMar>
                    <w:start w:w="0" w:type="dxa"/>
                    <w:end w:w="0" w:type="dxa"/>
                  </w:tcMar>
                </w:tcPr>
                <w:p>
                  <w:pPr>
                    <w:autoSpaceDN w:val="0"/>
                    <w:autoSpaceDE w:val="0"/>
                    <w:widowControl/>
                    <w:spacing w:line="200" w:lineRule="exact" w:before="40" w:after="0"/>
                    <w:ind w:left="932" w:right="144" w:firstLine="0"/>
                    <w:jc w:val="left"/>
                  </w:pPr>
                  <w:r>
                    <w:rPr>
                      <w:rFonts w:ascii="Helvetica" w:hAnsi="Helvetica" w:eastAsia="Helvetica"/>
                      <w:b w:val="0"/>
                      <w:i w:val="0"/>
                      <w:color w:val="000000"/>
                      <w:sz w:val="14"/>
                    </w:rPr>
                    <w:t xml:space="preserve">2.7 </w:t>
                  </w:r>
                  <w:r>
                    <w:rPr>
                      <w:rFonts w:ascii="DFMingStd" w:hAnsi="DFMingStd" w:eastAsia="DFMingStd"/>
                      <w:b w:val="0"/>
                      <w:i w:val="0"/>
                      <w:color w:val="000000"/>
                      <w:sz w:val="15"/>
                    </w:rPr>
                    <w:t>持股比例占前十名之股東，其相互間之關係資料</w:t>
                  </w:r>
                  <w:r>
                    <w:br/>
                  </w:r>
                  <w:r>
                    <w:rPr>
                      <w:rFonts w:ascii="Helvetica" w:hAnsi="Helvetica" w:eastAsia="Helvetica"/>
                      <w:b w:val="0"/>
                      <w:i w:val="0"/>
                      <w:color w:val="000000"/>
                      <w:sz w:val="14"/>
                    </w:rPr>
                    <w:t xml:space="preserve">2.8 </w:t>
                  </w:r>
                  <w:r>
                    <w:rPr>
                      <w:w w:val="101.19288762410481"/>
                      <w:rFonts w:ascii="DFMingStd" w:hAnsi="DFMingStd" w:eastAsia="DFMingStd"/>
                      <w:b w:val="0"/>
                      <w:i w:val="0"/>
                      <w:color w:val="000000"/>
                      <w:sz w:val="12"/>
                    </w:rPr>
                    <w:t>公司及子公司、公司之董事、經理人及公司直接或間接控制之事業對同一轉投資事業之持股數，並合併計算綜合持股比例</w:t>
                  </w:r>
                </w:p>
                <w:p>
                  <w:pPr>
                    <w:autoSpaceDN w:val="0"/>
                    <w:autoSpaceDE w:val="0"/>
                    <w:widowControl/>
                    <w:spacing w:line="198" w:lineRule="exact" w:before="104" w:after="0"/>
                    <w:ind w:left="932" w:right="2592" w:hanging="340"/>
                    <w:jc w:val="left"/>
                  </w:pPr>
                  <w:r>
                    <w:rPr>
                      <w:rFonts w:ascii="Helvetica" w:hAnsi="Helvetica" w:eastAsia="Helvetica"/>
                      <w:b w:val="0"/>
                      <w:i w:val="0"/>
                      <w:color w:val="009E96"/>
                      <w:sz w:val="16"/>
                    </w:rPr>
                    <w:t xml:space="preserve">3. </w:t>
                  </w:r>
                  <w:r>
                    <w:rPr>
                      <w:rFonts w:ascii="DFHeiStd" w:hAnsi="DFHeiStd" w:eastAsia="DFHeiStd"/>
                      <w:b w:val="0"/>
                      <w:i w:val="0"/>
                      <w:color w:val="009E96"/>
                      <w:sz w:val="16"/>
                    </w:rPr>
                    <w:t>募資情形</w:t>
                  </w:r>
                  <w:r>
                    <w:br/>
                  </w:r>
                  <w:r>
                    <w:rPr>
                      <w:rFonts w:ascii="Helvetica" w:hAnsi="Helvetica" w:eastAsia="Helvetica"/>
                      <w:b w:val="0"/>
                      <w:i w:val="0"/>
                      <w:color w:val="000000"/>
                      <w:sz w:val="14"/>
                    </w:rPr>
                    <w:t xml:space="preserve">3.1 </w:t>
                  </w:r>
                  <w:r>
                    <w:rPr>
                      <w:rFonts w:ascii="DFMingStd" w:hAnsi="DFMingStd" w:eastAsia="DFMingStd"/>
                      <w:b w:val="0"/>
                      <w:i w:val="0"/>
                      <w:color w:val="000000"/>
                      <w:sz w:val="15"/>
                    </w:rPr>
                    <w:t>資本及股份</w:t>
                  </w:r>
                  <w:r>
                    <w:br/>
                  </w:r>
                  <w:r>
                    <w:rPr>
                      <w:rFonts w:ascii="Helvetica" w:hAnsi="Helvetica" w:eastAsia="Helvetica"/>
                      <w:b w:val="0"/>
                      <w:i w:val="0"/>
                      <w:color w:val="000000"/>
                      <w:sz w:val="14"/>
                    </w:rPr>
                    <w:t xml:space="preserve">3.2 </w:t>
                  </w:r>
                  <w:r>
                    <w:rPr>
                      <w:rFonts w:ascii="DFMingStd" w:hAnsi="DFMingStd" w:eastAsia="DFMingStd"/>
                      <w:b w:val="0"/>
                      <w:i w:val="0"/>
                      <w:color w:val="000000"/>
                      <w:sz w:val="15"/>
                    </w:rPr>
                    <w:t>公司債辦理情形</w:t>
                  </w:r>
                  <w:r>
                    <w:br/>
                  </w:r>
                  <w:r>
                    <w:rPr>
                      <w:rFonts w:ascii="Helvetica" w:hAnsi="Helvetica" w:eastAsia="Helvetica"/>
                      <w:b w:val="0"/>
                      <w:i w:val="0"/>
                      <w:color w:val="000000"/>
                      <w:sz w:val="14"/>
                    </w:rPr>
                    <w:t xml:space="preserve">3.3 </w:t>
                  </w:r>
                  <w:r>
                    <w:rPr>
                      <w:rFonts w:ascii="DFMingStd" w:hAnsi="DFMingStd" w:eastAsia="DFMingStd"/>
                      <w:b w:val="0"/>
                      <w:i w:val="0"/>
                      <w:color w:val="000000"/>
                      <w:sz w:val="15"/>
                    </w:rPr>
                    <w:t>特別股發行情形</w:t>
                  </w:r>
                  <w:r>
                    <w:br/>
                  </w:r>
                  <w:r>
                    <w:rPr>
                      <w:rFonts w:ascii="Helvetica" w:hAnsi="Helvetica" w:eastAsia="Helvetica"/>
                      <w:b w:val="0"/>
                      <w:i w:val="0"/>
                      <w:color w:val="000000"/>
                      <w:sz w:val="14"/>
                    </w:rPr>
                    <w:t xml:space="preserve">3.4 </w:t>
                  </w:r>
                  <w:r>
                    <w:rPr>
                      <w:rFonts w:ascii="DFMingStd" w:hAnsi="DFMingStd" w:eastAsia="DFMingStd"/>
                      <w:b w:val="0"/>
                      <w:i w:val="0"/>
                      <w:color w:val="000000"/>
                      <w:sz w:val="15"/>
                    </w:rPr>
                    <w:t>海外存託憑證發行情形</w:t>
                  </w:r>
                  <w:r>
                    <w:br/>
                  </w:r>
                  <w:r>
                    <w:rPr>
                      <w:rFonts w:ascii="Helvetica" w:hAnsi="Helvetica" w:eastAsia="Helvetica"/>
                      <w:b w:val="0"/>
                      <w:i w:val="0"/>
                      <w:color w:val="000000"/>
                      <w:sz w:val="14"/>
                    </w:rPr>
                    <w:t xml:space="preserve">3.5 </w:t>
                  </w:r>
                  <w:r>
                    <w:rPr>
                      <w:rFonts w:ascii="DFMingStd" w:hAnsi="DFMingStd" w:eastAsia="DFMingStd"/>
                      <w:b w:val="0"/>
                      <w:i w:val="0"/>
                      <w:color w:val="000000"/>
                      <w:sz w:val="15"/>
                    </w:rPr>
                    <w:t>員工認股權憑證辦理情形及限制員工權利新股辦理情形</w:t>
                  </w:r>
                  <w:r>
                    <w:rPr>
                      <w:rFonts w:ascii="Helvetica" w:hAnsi="Helvetica" w:eastAsia="Helvetica"/>
                      <w:b w:val="0"/>
                      <w:i w:val="0"/>
                      <w:color w:val="000000"/>
                      <w:sz w:val="14"/>
                    </w:rPr>
                    <w:t xml:space="preserve">3.6 </w:t>
                  </w:r>
                  <w:r>
                    <w:rPr>
                      <w:rFonts w:ascii="DFMingStd" w:hAnsi="DFMingStd" w:eastAsia="DFMingStd"/>
                      <w:b w:val="0"/>
                      <w:i w:val="0"/>
                      <w:color w:val="000000"/>
                      <w:sz w:val="15"/>
                    </w:rPr>
                    <w:t>併購或受讓其他金融機構</w:t>
                  </w:r>
                  <w:r>
                    <w:br/>
                  </w:r>
                  <w:r>
                    <w:rPr>
                      <w:rFonts w:ascii="Helvetica" w:hAnsi="Helvetica" w:eastAsia="Helvetica"/>
                      <w:b w:val="0"/>
                      <w:i w:val="0"/>
                      <w:color w:val="000000"/>
                      <w:sz w:val="14"/>
                    </w:rPr>
                    <w:t xml:space="preserve">3.7 </w:t>
                  </w:r>
                  <w:r>
                    <w:rPr>
                      <w:rFonts w:ascii="DFMingStd" w:hAnsi="DFMingStd" w:eastAsia="DFMingStd"/>
                      <w:b w:val="0"/>
                      <w:i w:val="0"/>
                      <w:color w:val="000000"/>
                      <w:sz w:val="15"/>
                    </w:rPr>
                    <w:t>資金運用計畫執行情形</w:t>
                  </w:r>
                </w:p>
                <w:p>
                  <w:pPr>
                    <w:autoSpaceDN w:val="0"/>
                    <w:autoSpaceDE w:val="0"/>
                    <w:widowControl/>
                    <w:spacing w:line="198" w:lineRule="exact" w:before="104" w:after="0"/>
                    <w:ind w:left="932" w:right="4896" w:hanging="340"/>
                    <w:jc w:val="left"/>
                  </w:pPr>
                  <w:r>
                    <w:rPr>
                      <w:rFonts w:ascii="Helvetica" w:hAnsi="Helvetica" w:eastAsia="Helvetica"/>
                      <w:b w:val="0"/>
                      <w:i w:val="0"/>
                      <w:color w:val="009E96"/>
                      <w:sz w:val="16"/>
                    </w:rPr>
                    <w:t xml:space="preserve">4. </w:t>
                  </w:r>
                  <w:r>
                    <w:rPr>
                      <w:rFonts w:ascii="DFHeiStd" w:hAnsi="DFHeiStd" w:eastAsia="DFHeiStd"/>
                      <w:b w:val="0"/>
                      <w:i w:val="0"/>
                      <w:color w:val="009E96"/>
                      <w:sz w:val="16"/>
                    </w:rPr>
                    <w:t>營運概況</w:t>
                  </w:r>
                  <w:r>
                    <w:br/>
                  </w:r>
                  <w:r>
                    <w:rPr>
                      <w:rFonts w:ascii="Helvetica" w:hAnsi="Helvetica" w:eastAsia="Helvetica"/>
                      <w:b w:val="0"/>
                      <w:i w:val="0"/>
                      <w:color w:val="000000"/>
                      <w:sz w:val="14"/>
                    </w:rPr>
                    <w:t xml:space="preserve">4.1 </w:t>
                  </w:r>
                  <w:r>
                    <w:rPr>
                      <w:rFonts w:ascii="DFMingStd" w:hAnsi="DFMingStd" w:eastAsia="DFMingStd"/>
                      <w:b w:val="0"/>
                      <w:i w:val="0"/>
                      <w:color w:val="000000"/>
                      <w:sz w:val="15"/>
                    </w:rPr>
                    <w:t>業務內容</w:t>
                  </w:r>
                  <w:r>
                    <w:br/>
                  </w:r>
                  <w:r>
                    <w:rPr>
                      <w:rFonts w:ascii="Helvetica" w:hAnsi="Helvetica" w:eastAsia="Helvetica"/>
                      <w:b w:val="0"/>
                      <w:i w:val="0"/>
                      <w:color w:val="000000"/>
                      <w:sz w:val="14"/>
                    </w:rPr>
                    <w:t xml:space="preserve">4.2 </w:t>
                  </w:r>
                  <w:r>
                    <w:rPr>
                      <w:rFonts w:ascii="DFMingStd" w:hAnsi="DFMingStd" w:eastAsia="DFMingStd"/>
                      <w:b w:val="0"/>
                      <w:i w:val="0"/>
                      <w:color w:val="000000"/>
                      <w:sz w:val="15"/>
                    </w:rPr>
                    <w:t>跨業及共同行銷效益</w:t>
                  </w:r>
                  <w:r>
                    <w:br/>
                  </w:r>
                  <w:r>
                    <w:rPr>
                      <w:rFonts w:ascii="Helvetica" w:hAnsi="Helvetica" w:eastAsia="Helvetica"/>
                      <w:b w:val="0"/>
                      <w:i w:val="0"/>
                      <w:color w:val="000000"/>
                      <w:sz w:val="14"/>
                    </w:rPr>
                    <w:t xml:space="preserve">4.3 </w:t>
                  </w:r>
                  <w:r>
                    <w:rPr>
                      <w:rFonts w:ascii="DFMingStd" w:hAnsi="DFMingStd" w:eastAsia="DFMingStd"/>
                      <w:b w:val="0"/>
                      <w:i w:val="0"/>
                      <w:color w:val="000000"/>
                      <w:sz w:val="15"/>
                    </w:rPr>
                    <w:t>市場及業務概況</w:t>
                  </w:r>
                  <w:r>
                    <w:br/>
                  </w:r>
                  <w:r>
                    <w:rPr>
                      <w:rFonts w:ascii="Helvetica" w:hAnsi="Helvetica" w:eastAsia="Helvetica"/>
                      <w:b w:val="0"/>
                      <w:i w:val="0"/>
                      <w:color w:val="000000"/>
                      <w:sz w:val="14"/>
                    </w:rPr>
                    <w:t xml:space="preserve">4.4 </w:t>
                  </w:r>
                  <w:r>
                    <w:rPr>
                      <w:rFonts w:ascii="DFMingStd" w:hAnsi="DFMingStd" w:eastAsia="DFMingStd"/>
                      <w:b w:val="0"/>
                      <w:i w:val="0"/>
                      <w:color w:val="000000"/>
                      <w:sz w:val="15"/>
                    </w:rPr>
                    <w:t>人力資源</w:t>
                  </w:r>
                  <w:r>
                    <w:br/>
                  </w:r>
                  <w:r>
                    <w:rPr>
                      <w:rFonts w:ascii="Helvetica" w:hAnsi="Helvetica" w:eastAsia="Helvetica"/>
                      <w:b w:val="0"/>
                      <w:i w:val="0"/>
                      <w:color w:val="000000"/>
                      <w:sz w:val="14"/>
                    </w:rPr>
                    <w:t xml:space="preserve">4.5 </w:t>
                  </w:r>
                  <w:r>
                    <w:rPr>
                      <w:rFonts w:ascii="DFMingStd" w:hAnsi="DFMingStd" w:eastAsia="DFMingStd"/>
                      <w:b w:val="0"/>
                      <w:i w:val="0"/>
                      <w:color w:val="000000"/>
                      <w:sz w:val="15"/>
                    </w:rPr>
                    <w:t>企業責任及道德行為</w:t>
                  </w:r>
                  <w:r>
                    <w:br/>
                  </w:r>
                  <w:r>
                    <w:rPr>
                      <w:rFonts w:ascii="Helvetica" w:hAnsi="Helvetica" w:eastAsia="Helvetica"/>
                      <w:b w:val="0"/>
                      <w:i w:val="0"/>
                      <w:color w:val="000000"/>
                      <w:sz w:val="14"/>
                    </w:rPr>
                    <w:t xml:space="preserve">4.6 </w:t>
                  </w:r>
                  <w:r>
                    <w:rPr>
                      <w:rFonts w:ascii="DFMingStd" w:hAnsi="DFMingStd" w:eastAsia="DFMingStd"/>
                      <w:b w:val="0"/>
                      <w:i w:val="0"/>
                      <w:color w:val="000000"/>
                      <w:sz w:val="15"/>
                    </w:rPr>
                    <w:t>環保支出資訊</w:t>
                  </w:r>
                  <w:r>
                    <w:br/>
                  </w:r>
                  <w:r>
                    <w:rPr>
                      <w:rFonts w:ascii="Helvetica" w:hAnsi="Helvetica" w:eastAsia="Helvetica"/>
                      <w:b w:val="0"/>
                      <w:i w:val="0"/>
                      <w:color w:val="000000"/>
                      <w:sz w:val="14"/>
                    </w:rPr>
                    <w:t xml:space="preserve">4.7 </w:t>
                  </w:r>
                  <w:r>
                    <w:rPr>
                      <w:rFonts w:ascii="DFMingStd" w:hAnsi="DFMingStd" w:eastAsia="DFMingStd"/>
                      <w:b w:val="0"/>
                      <w:i w:val="0"/>
                      <w:color w:val="000000"/>
                      <w:sz w:val="15"/>
                    </w:rPr>
                    <w:t>資訊設備</w:t>
                  </w:r>
                  <w:r>
                    <w:br/>
                  </w:r>
                  <w:r>
                    <w:rPr>
                      <w:rFonts w:ascii="Helvetica" w:hAnsi="Helvetica" w:eastAsia="Helvetica"/>
                      <w:b w:val="0"/>
                      <w:i w:val="0"/>
                      <w:color w:val="000000"/>
                      <w:sz w:val="14"/>
                    </w:rPr>
                    <w:t xml:space="preserve">4.8 </w:t>
                  </w:r>
                  <w:r>
                    <w:rPr>
                      <w:rFonts w:ascii="AdobeMingStd" w:hAnsi="AdobeMingStd" w:eastAsia="AdobeMingStd"/>
                      <w:b w:val="0"/>
                      <w:i w:val="0"/>
                      <w:color w:val="000000"/>
                      <w:sz w:val="15"/>
                    </w:rPr>
                    <w:t>資通安</w:t>
                  </w:r>
                  <w:r>
                    <w:rPr>
                      <w:rFonts w:ascii="DFMingStd" w:hAnsi="DFMingStd" w:eastAsia="DFMingStd"/>
                      <w:b w:val="0"/>
                      <w:i w:val="0"/>
                      <w:color w:val="000000"/>
                      <w:sz w:val="15"/>
                    </w:rPr>
                    <w:t>全管理</w:t>
                  </w:r>
                  <w:r>
                    <w:br/>
                  </w:r>
                  <w:r>
                    <w:rPr>
                      <w:rFonts w:ascii="Helvetica" w:hAnsi="Helvetica" w:eastAsia="Helvetica"/>
                      <w:b w:val="0"/>
                      <w:i w:val="0"/>
                      <w:color w:val="000000"/>
                      <w:sz w:val="14"/>
                    </w:rPr>
                    <w:t xml:space="preserve">4.9 </w:t>
                  </w:r>
                  <w:r>
                    <w:rPr>
                      <w:rFonts w:ascii="DFMingStd" w:hAnsi="DFMingStd" w:eastAsia="DFMingStd"/>
                      <w:b w:val="0"/>
                      <w:i w:val="0"/>
                      <w:color w:val="000000"/>
                      <w:sz w:val="15"/>
                    </w:rPr>
                    <w:t>勞資關係</w:t>
                  </w:r>
                  <w:r>
                    <w:br/>
                  </w:r>
                  <w:r>
                    <w:rPr>
                      <w:rFonts w:ascii="Helvetica" w:hAnsi="Helvetica" w:eastAsia="Helvetica"/>
                      <w:b w:val="0"/>
                      <w:i w:val="0"/>
                      <w:color w:val="000000"/>
                      <w:sz w:val="14"/>
                    </w:rPr>
                    <w:t xml:space="preserve">4.10 </w:t>
                  </w:r>
                  <w:r>
                    <w:rPr>
                      <w:rFonts w:ascii="DFMingStd" w:hAnsi="DFMingStd" w:eastAsia="DFMingStd"/>
                      <w:b w:val="0"/>
                      <w:i w:val="0"/>
                      <w:color w:val="000000"/>
                      <w:sz w:val="15"/>
                    </w:rPr>
                    <w:t>重要契約</w:t>
                  </w:r>
                </w:p>
                <w:p>
                  <w:pPr>
                    <w:autoSpaceDN w:val="0"/>
                    <w:autoSpaceDE w:val="0"/>
                    <w:widowControl/>
                    <w:spacing w:line="198" w:lineRule="exact" w:before="102" w:after="0"/>
                    <w:ind w:left="932" w:right="1008" w:hanging="340"/>
                    <w:jc w:val="left"/>
                  </w:pPr>
                  <w:r>
                    <w:rPr>
                      <w:rFonts w:ascii="Helvetica" w:hAnsi="Helvetica" w:eastAsia="Helvetica"/>
                      <w:b w:val="0"/>
                      <w:i w:val="0"/>
                      <w:color w:val="009E96"/>
                      <w:sz w:val="16"/>
                    </w:rPr>
                    <w:t xml:space="preserve">5. </w:t>
                  </w:r>
                  <w:r>
                    <w:rPr>
                      <w:rFonts w:ascii="DFHeiStd" w:hAnsi="DFHeiStd" w:eastAsia="DFHeiStd"/>
                      <w:b w:val="0"/>
                      <w:i w:val="0"/>
                      <w:color w:val="009E96"/>
                      <w:sz w:val="16"/>
                    </w:rPr>
                    <w:t>財務狀況及財務績效之檢討分析與風險管理事項</w:t>
                  </w:r>
                  <w:r>
                    <w:br/>
                  </w:r>
                  <w:r>
                    <w:rPr>
                      <w:rFonts w:ascii="Helvetica" w:hAnsi="Helvetica" w:eastAsia="Helvetica"/>
                      <w:b w:val="0"/>
                      <w:i w:val="0"/>
                      <w:color w:val="000000"/>
                      <w:sz w:val="14"/>
                    </w:rPr>
                    <w:t xml:space="preserve">5.1 </w:t>
                  </w:r>
                  <w:r>
                    <w:rPr>
                      <w:rFonts w:ascii="DFMingStd" w:hAnsi="DFMingStd" w:eastAsia="DFMingStd"/>
                      <w:b w:val="0"/>
                      <w:i w:val="0"/>
                      <w:color w:val="000000"/>
                      <w:sz w:val="15"/>
                    </w:rPr>
                    <w:t>財務狀況</w:t>
                  </w:r>
                  <w:r>
                    <w:br/>
                  </w:r>
                  <w:r>
                    <w:rPr>
                      <w:rFonts w:ascii="Helvetica" w:hAnsi="Helvetica" w:eastAsia="Helvetica"/>
                      <w:b w:val="0"/>
                      <w:i w:val="0"/>
                      <w:color w:val="000000"/>
                      <w:sz w:val="14"/>
                    </w:rPr>
                    <w:t xml:space="preserve">5.2 </w:t>
                  </w:r>
                  <w:r>
                    <w:rPr>
                      <w:rFonts w:ascii="DFMingStd" w:hAnsi="DFMingStd" w:eastAsia="DFMingStd"/>
                      <w:b w:val="0"/>
                      <w:i w:val="0"/>
                      <w:color w:val="000000"/>
                      <w:sz w:val="15"/>
                    </w:rPr>
                    <w:t>財務績效</w:t>
                  </w:r>
                  <w:r>
                    <w:br/>
                  </w:r>
                  <w:r>
                    <w:rPr>
                      <w:rFonts w:ascii="Helvetica" w:hAnsi="Helvetica" w:eastAsia="Helvetica"/>
                      <w:b w:val="0"/>
                      <w:i w:val="0"/>
                      <w:color w:val="000000"/>
                      <w:sz w:val="14"/>
                    </w:rPr>
                    <w:t xml:space="preserve">5.3 </w:t>
                  </w:r>
                  <w:r>
                    <w:rPr>
                      <w:rFonts w:ascii="DFMingStd" w:hAnsi="DFMingStd" w:eastAsia="DFMingStd"/>
                      <w:b w:val="0"/>
                      <w:i w:val="0"/>
                      <w:color w:val="000000"/>
                      <w:sz w:val="15"/>
                    </w:rPr>
                    <w:t>現金流量</w:t>
                  </w:r>
                  <w:r>
                    <w:br/>
                  </w:r>
                  <w:r>
                    <w:rPr>
                      <w:rFonts w:ascii="Helvetica" w:hAnsi="Helvetica" w:eastAsia="Helvetica"/>
                      <w:b w:val="0"/>
                      <w:i w:val="0"/>
                      <w:color w:val="000000"/>
                      <w:sz w:val="14"/>
                    </w:rPr>
                    <w:t xml:space="preserve">5.4 </w:t>
                  </w:r>
                  <w:r>
                    <w:rPr>
                      <w:rFonts w:ascii="DFMingStd" w:hAnsi="DFMingStd" w:eastAsia="DFMingStd"/>
                      <w:b w:val="0"/>
                      <w:i w:val="0"/>
                      <w:color w:val="000000"/>
                      <w:sz w:val="15"/>
                    </w:rPr>
                    <w:t>最近年度重大資本支出對財務業務之影響</w:t>
                  </w:r>
                  <w:r>
                    <w:br/>
                  </w:r>
                  <w:r>
                    <w:rPr>
                      <w:rFonts w:ascii="Helvetica" w:hAnsi="Helvetica" w:eastAsia="Helvetica"/>
                      <w:b w:val="0"/>
                      <w:i w:val="0"/>
                      <w:color w:val="000000"/>
                      <w:sz w:val="14"/>
                    </w:rPr>
                    <w:t xml:space="preserve">5.5 </w:t>
                  </w:r>
                  <w:r>
                    <w:rPr>
                      <w:rFonts w:ascii="DFMingStd" w:hAnsi="DFMingStd" w:eastAsia="DFMingStd"/>
                      <w:b w:val="0"/>
                      <w:i w:val="0"/>
                      <w:color w:val="000000"/>
                      <w:sz w:val="15"/>
                    </w:rPr>
                    <w:t>最近年度轉投資政策、其獲利或虧損之主要原因，改善計畫及未來一年投資計畫</w:t>
                  </w:r>
                  <w:r>
                    <w:rPr>
                      <w:rFonts w:ascii="Helvetica" w:hAnsi="Helvetica" w:eastAsia="Helvetica"/>
                      <w:b w:val="0"/>
                      <w:i w:val="0"/>
                      <w:color w:val="000000"/>
                      <w:sz w:val="14"/>
                    </w:rPr>
                    <w:t xml:space="preserve">5.6 </w:t>
                  </w:r>
                  <w:r>
                    <w:rPr>
                      <w:rFonts w:ascii="DFMingStd" w:hAnsi="DFMingStd" w:eastAsia="DFMingStd"/>
                      <w:b w:val="0"/>
                      <w:i w:val="0"/>
                      <w:color w:val="000000"/>
                      <w:sz w:val="15"/>
                    </w:rPr>
                    <w:t>風險管理</w:t>
                  </w:r>
                  <w:r>
                    <w:br/>
                  </w:r>
                  <w:r>
                    <w:rPr>
                      <w:rFonts w:ascii="Helvetica" w:hAnsi="Helvetica" w:eastAsia="Helvetica"/>
                      <w:b w:val="0"/>
                      <w:i w:val="0"/>
                      <w:color w:val="000000"/>
                      <w:sz w:val="14"/>
                    </w:rPr>
                    <w:t xml:space="preserve">5.7 </w:t>
                  </w:r>
                  <w:r>
                    <w:rPr>
                      <w:rFonts w:ascii="DFMingStd" w:hAnsi="DFMingStd" w:eastAsia="DFMingStd"/>
                      <w:b w:val="0"/>
                      <w:i w:val="0"/>
                      <w:color w:val="000000"/>
                      <w:sz w:val="15"/>
                    </w:rPr>
                    <w:t>危機處理應變機制</w:t>
                  </w:r>
                  <w:r>
                    <w:br/>
                  </w:r>
                  <w:r>
                    <w:rPr>
                      <w:rFonts w:ascii="Helvetica" w:hAnsi="Helvetica" w:eastAsia="Helvetica"/>
                      <w:b w:val="0"/>
                      <w:i w:val="0"/>
                      <w:color w:val="000000"/>
                      <w:sz w:val="14"/>
                    </w:rPr>
                    <w:t xml:space="preserve">5.8 </w:t>
                  </w:r>
                  <w:r>
                    <w:rPr>
                      <w:rFonts w:ascii="DFMingStd" w:hAnsi="DFMingStd" w:eastAsia="DFMingStd"/>
                      <w:b w:val="0"/>
                      <w:i w:val="0"/>
                      <w:color w:val="000000"/>
                      <w:sz w:val="15"/>
                    </w:rPr>
                    <w:t>金融商品評價資訊揭露</w:t>
                  </w:r>
                  <w:r>
                    <w:br/>
                  </w:r>
                  <w:r>
                    <w:rPr>
                      <w:rFonts w:ascii="Helvetica" w:hAnsi="Helvetica" w:eastAsia="Helvetica"/>
                      <w:b w:val="0"/>
                      <w:i w:val="0"/>
                      <w:color w:val="000000"/>
                      <w:sz w:val="14"/>
                    </w:rPr>
                    <w:t xml:space="preserve">5.9 </w:t>
                  </w:r>
                  <w:r>
                    <w:rPr>
                      <w:rFonts w:ascii="DFMingStd" w:hAnsi="DFMingStd" w:eastAsia="DFMingStd"/>
                      <w:b w:val="0"/>
                      <w:i w:val="0"/>
                      <w:color w:val="000000"/>
                      <w:sz w:val="15"/>
                    </w:rPr>
                    <w:t>其他重要事項</w:t>
                  </w:r>
                </w:p>
                <w:p>
                  <w:pPr>
                    <w:autoSpaceDN w:val="0"/>
                    <w:autoSpaceDE w:val="0"/>
                    <w:widowControl/>
                    <w:spacing w:line="194" w:lineRule="exact" w:before="108" w:after="0"/>
                    <w:ind w:left="932" w:right="144" w:hanging="340"/>
                    <w:jc w:val="left"/>
                  </w:pPr>
                  <w:r>
                    <w:rPr>
                      <w:rFonts w:ascii="Helvetica" w:hAnsi="Helvetica" w:eastAsia="Helvetica"/>
                      <w:b w:val="0"/>
                      <w:i w:val="0"/>
                      <w:color w:val="009E96"/>
                      <w:sz w:val="16"/>
                    </w:rPr>
                    <w:t xml:space="preserve">6. </w:t>
                  </w:r>
                  <w:r>
                    <w:rPr>
                      <w:rFonts w:ascii="DFHeiStd" w:hAnsi="DFHeiStd" w:eastAsia="DFHeiStd"/>
                      <w:b w:val="0"/>
                      <w:i w:val="0"/>
                      <w:color w:val="009E96"/>
                      <w:sz w:val="16"/>
                    </w:rPr>
                    <w:t>特別記載事項</w:t>
                  </w:r>
                  <w:r>
                    <w:br/>
                  </w:r>
                  <w:r>
                    <w:rPr>
                      <w:rFonts w:ascii="Helvetica" w:hAnsi="Helvetica" w:eastAsia="Helvetica"/>
                      <w:b w:val="0"/>
                      <w:i w:val="0"/>
                      <w:color w:val="000000"/>
                      <w:sz w:val="14"/>
                    </w:rPr>
                    <w:t xml:space="preserve">6.1 </w:t>
                  </w:r>
                  <w:r>
                    <w:rPr>
                      <w:rFonts w:ascii="DFMingStd" w:hAnsi="DFMingStd" w:eastAsia="DFMingStd"/>
                      <w:b w:val="0"/>
                      <w:i w:val="0"/>
                      <w:color w:val="000000"/>
                      <w:sz w:val="15"/>
                    </w:rPr>
                    <w:t>關係企業相關資料</w:t>
                  </w:r>
                  <w:r>
                    <w:br/>
                  </w:r>
                  <w:r>
                    <w:rPr>
                      <w:rFonts w:ascii="Helvetica" w:hAnsi="Helvetica" w:eastAsia="Helvetica"/>
                      <w:b w:val="0"/>
                      <w:i w:val="0"/>
                      <w:color w:val="000000"/>
                      <w:sz w:val="14"/>
                    </w:rPr>
                    <w:t xml:space="preserve">6.2 </w:t>
                  </w:r>
                  <w:r>
                    <w:rPr>
                      <w:rFonts w:ascii="DFMingStd" w:hAnsi="DFMingStd" w:eastAsia="DFMingStd"/>
                      <w:b w:val="0"/>
                      <w:i w:val="0"/>
                      <w:color w:val="000000"/>
                      <w:sz w:val="15"/>
                    </w:rPr>
                    <w:t>最近年度及截至年報刊印日止，私募有價證券辦理情形</w:t>
                  </w:r>
                  <w:r>
                    <w:br/>
                  </w:r>
                  <w:r>
                    <w:rPr>
                      <w:rFonts w:ascii="Helvetica" w:hAnsi="Helvetica" w:eastAsia="Helvetica"/>
                      <w:b w:val="0"/>
                      <w:i w:val="0"/>
                      <w:color w:val="000000"/>
                      <w:sz w:val="14"/>
                    </w:rPr>
                    <w:t xml:space="preserve">6.3 </w:t>
                  </w:r>
                  <w:r>
                    <w:rPr>
                      <w:rFonts w:ascii="DFMingStd" w:hAnsi="DFMingStd" w:eastAsia="DFMingStd"/>
                      <w:b w:val="0"/>
                      <w:i w:val="0"/>
                      <w:color w:val="000000"/>
                      <w:sz w:val="15"/>
                    </w:rPr>
                    <w:t>其他必要補充說明事項</w:t>
                  </w:r>
                  <w:r>
                    <w:br/>
                  </w:r>
                  <w:r>
                    <w:rPr>
                      <w:rFonts w:ascii="Helvetica" w:hAnsi="Helvetica" w:eastAsia="Helvetica"/>
                      <w:b w:val="0"/>
                      <w:i w:val="0"/>
                      <w:color w:val="000000"/>
                      <w:sz w:val="14"/>
                    </w:rPr>
                    <w:t xml:space="preserve">6.4 </w:t>
                  </w:r>
                  <w:r>
                    <w:rPr>
                      <w:rFonts w:ascii="DFMingStd" w:hAnsi="DFMingStd" w:eastAsia="DFMingStd"/>
                      <w:b w:val="0"/>
                      <w:i w:val="0"/>
                      <w:color w:val="000000"/>
                      <w:sz w:val="11"/>
                    </w:rPr>
                    <w:t>前一年度及截至年報刊印日止，如發生證券交易法第36條第三項第二款所定對股東權益或證券價格有重大影響之事項，亦應逐項載明</w:t>
                  </w:r>
                </w:p>
                <w:p>
                  <w:pPr>
                    <w:autoSpaceDN w:val="0"/>
                    <w:autoSpaceDE w:val="0"/>
                    <w:widowControl/>
                    <w:spacing w:line="168" w:lineRule="exact" w:before="84" w:after="0"/>
                    <w:ind w:left="592" w:right="0" w:firstLine="0"/>
                    <w:jc w:val="left"/>
                  </w:pPr>
                  <w:r>
                    <w:rPr>
                      <w:rFonts w:ascii="DFHeiStd" w:hAnsi="DFHeiStd" w:eastAsia="DFHeiStd"/>
                      <w:b w:val="0"/>
                      <w:i w:val="0"/>
                      <w:color w:val="009E96"/>
                      <w:sz w:val="16"/>
                    </w:rPr>
                    <w:t>附錄、合併財務報告暨會計師查核報告</w:t>
                  </w:r>
                </w:p>
              </w:tc>
              <w:tc>
                <w:tcPr>
                  <w:tcW w:type="dxa" w:w="1000"/>
                  <w:tcBorders/>
                  <w:tcMar>
                    <w:start w:w="0" w:type="dxa"/>
                    <w:end w:w="0" w:type="dxa"/>
                  </w:tcMar>
                </w:tcPr>
                <w:p>
                  <w:pPr>
                    <w:autoSpaceDN w:val="0"/>
                    <w:autoSpaceDE w:val="0"/>
                    <w:widowControl/>
                    <w:spacing w:line="295" w:lineRule="auto" w:before="14" w:after="0"/>
                    <w:ind w:left="226" w:right="576" w:firstLine="0"/>
                    <w:jc w:val="left"/>
                  </w:pPr>
                  <w:r>
                    <w:rPr>
                      <w:rFonts w:ascii="Helvetica" w:hAnsi="Helvetica" w:eastAsia="Helvetica"/>
                      <w:b w:val="0"/>
                      <w:i w:val="0"/>
                      <w:color w:val="000000"/>
                      <w:sz w:val="15"/>
                    </w:rPr>
                    <w:t xml:space="preserve">51 </w:t>
                  </w:r>
                  <w:r>
                    <w:br/>
                  </w:r>
                  <w:r>
                    <w:rPr>
                      <w:rFonts w:ascii="Helvetica" w:hAnsi="Helvetica" w:eastAsia="Helvetica"/>
                      <w:b w:val="0"/>
                      <w:i w:val="0"/>
                      <w:color w:val="000000"/>
                      <w:sz w:val="15"/>
                    </w:rPr>
                    <w:t>52</w:t>
                  </w:r>
                </w:p>
                <w:p>
                  <w:pPr>
                    <w:autoSpaceDN w:val="0"/>
                    <w:autoSpaceDE w:val="0"/>
                    <w:widowControl/>
                    <w:spacing w:line="278" w:lineRule="auto" w:before="32" w:after="0"/>
                    <w:ind w:left="226" w:right="606" w:hanging="10"/>
                    <w:jc w:val="both"/>
                  </w:pPr>
                  <w:r>
                    <w:rPr>
                      <w:rFonts w:ascii="Helvetica" w:hAnsi="Helvetica" w:eastAsia="Helvetica"/>
                      <w:b/>
                      <w:i w:val="0"/>
                      <w:color w:val="009E96"/>
                      <w:sz w:val="16"/>
                    </w:rPr>
                    <w:t xml:space="preserve">53 </w:t>
                  </w:r>
                  <w:r>
                    <w:br/>
                  </w:r>
                  <w:r>
                    <w:rPr>
                      <w:rFonts w:ascii="Helvetica" w:hAnsi="Helvetica" w:eastAsia="Helvetica"/>
                      <w:b w:val="0"/>
                      <w:i w:val="0"/>
                      <w:color w:val="000000"/>
                      <w:sz w:val="15"/>
                    </w:rPr>
                    <w:t xml:space="preserve">54 </w:t>
                  </w:r>
                  <w:r>
                    <w:br/>
                  </w:r>
                  <w:r>
                    <w:rPr>
                      <w:rFonts w:ascii="Helvetica" w:hAnsi="Helvetica" w:eastAsia="Helvetica"/>
                      <w:b w:val="0"/>
                      <w:i w:val="0"/>
                      <w:color w:val="000000"/>
                      <w:sz w:val="15"/>
                    </w:rPr>
                    <w:t xml:space="preserve">57 </w:t>
                  </w:r>
                  <w:r>
                    <w:br/>
                  </w:r>
                  <w:r>
                    <w:rPr>
                      <w:rFonts w:ascii="Helvetica" w:hAnsi="Helvetica" w:eastAsia="Helvetica"/>
                      <w:b w:val="0"/>
                      <w:i w:val="0"/>
                      <w:color w:val="000000"/>
                      <w:sz w:val="15"/>
                    </w:rPr>
                    <w:t xml:space="preserve">58 </w:t>
                  </w:r>
                  <w:r>
                    <w:br/>
                  </w:r>
                  <w:r>
                    <w:rPr>
                      <w:rFonts w:ascii="Helvetica" w:hAnsi="Helvetica" w:eastAsia="Helvetica"/>
                      <w:b w:val="0"/>
                      <w:i w:val="0"/>
                      <w:color w:val="000000"/>
                      <w:sz w:val="15"/>
                    </w:rPr>
                    <w:t xml:space="preserve">59 </w:t>
                  </w:r>
                  <w:r>
                    <w:br/>
                  </w:r>
                  <w:r>
                    <w:rPr>
                      <w:rFonts w:ascii="Helvetica" w:hAnsi="Helvetica" w:eastAsia="Helvetica"/>
                      <w:b w:val="0"/>
                      <w:i w:val="0"/>
                      <w:color w:val="000000"/>
                      <w:sz w:val="15"/>
                    </w:rPr>
                    <w:t xml:space="preserve">60 </w:t>
                  </w:r>
                  <w:r>
                    <w:br/>
                  </w:r>
                  <w:r>
                    <w:rPr>
                      <w:rFonts w:ascii="Helvetica" w:hAnsi="Helvetica" w:eastAsia="Helvetica"/>
                      <w:b w:val="0"/>
                      <w:i w:val="0"/>
                      <w:color w:val="000000"/>
                      <w:sz w:val="15"/>
                    </w:rPr>
                    <w:t xml:space="preserve">60 </w:t>
                  </w:r>
                  <w:r>
                    <w:br/>
                  </w:r>
                  <w:r>
                    <w:rPr>
                      <w:rFonts w:ascii="Helvetica" w:hAnsi="Helvetica" w:eastAsia="Helvetica"/>
                      <w:b w:val="0"/>
                      <w:i w:val="0"/>
                      <w:color w:val="000000"/>
                      <w:sz w:val="15"/>
                    </w:rPr>
                    <w:t>60</w:t>
                  </w:r>
                </w:p>
                <w:p>
                  <w:pPr>
                    <w:autoSpaceDN w:val="0"/>
                    <w:autoSpaceDE w:val="0"/>
                    <w:widowControl/>
                    <w:spacing w:line="276" w:lineRule="auto" w:before="32" w:after="0"/>
                    <w:ind w:left="226" w:right="606" w:hanging="10"/>
                    <w:jc w:val="both"/>
                  </w:pPr>
                  <w:r>
                    <w:rPr>
                      <w:rFonts w:ascii="Helvetica" w:hAnsi="Helvetica" w:eastAsia="Helvetica"/>
                      <w:b/>
                      <w:i w:val="0"/>
                      <w:color w:val="009E96"/>
                      <w:sz w:val="16"/>
                    </w:rPr>
                    <w:t xml:space="preserve">61 </w:t>
                  </w:r>
                  <w:r>
                    <w:br/>
                  </w:r>
                  <w:r>
                    <w:rPr>
                      <w:rFonts w:ascii="Helvetica" w:hAnsi="Helvetica" w:eastAsia="Helvetica"/>
                      <w:b w:val="0"/>
                      <w:i w:val="0"/>
                      <w:color w:val="000000"/>
                      <w:sz w:val="15"/>
                    </w:rPr>
                    <w:t xml:space="preserve">62 </w:t>
                  </w:r>
                  <w:r>
                    <w:br/>
                  </w:r>
                  <w:r>
                    <w:rPr>
                      <w:rFonts w:ascii="Helvetica" w:hAnsi="Helvetica" w:eastAsia="Helvetica"/>
                      <w:b w:val="0"/>
                      <w:i w:val="0"/>
                      <w:color w:val="000000"/>
                      <w:sz w:val="15"/>
                    </w:rPr>
                    <w:t xml:space="preserve">66 </w:t>
                  </w:r>
                  <w:r>
                    <w:br/>
                  </w:r>
                  <w:r>
                    <w:rPr>
                      <w:rFonts w:ascii="Helvetica" w:hAnsi="Helvetica" w:eastAsia="Helvetica"/>
                      <w:b w:val="0"/>
                      <w:i w:val="0"/>
                      <w:color w:val="000000"/>
                      <w:sz w:val="15"/>
                    </w:rPr>
                    <w:t xml:space="preserve">66 </w:t>
                  </w:r>
                  <w:r>
                    <w:br/>
                  </w:r>
                  <w:r>
                    <w:rPr>
                      <w:rFonts w:ascii="Helvetica" w:hAnsi="Helvetica" w:eastAsia="Helvetica"/>
                      <w:b w:val="0"/>
                      <w:i w:val="0"/>
                      <w:color w:val="000000"/>
                      <w:sz w:val="15"/>
                    </w:rPr>
                    <w:t xml:space="preserve">69 </w:t>
                  </w:r>
                  <w:r>
                    <w:br/>
                  </w:r>
                  <w:r>
                    <w:rPr>
                      <w:rFonts w:ascii="Helvetica" w:hAnsi="Helvetica" w:eastAsia="Helvetica"/>
                      <w:b w:val="0"/>
                      <w:i w:val="0"/>
                      <w:color w:val="000000"/>
                      <w:sz w:val="15"/>
                    </w:rPr>
                    <w:t xml:space="preserve">71 </w:t>
                  </w:r>
                  <w:r>
                    <w:br/>
                  </w:r>
                  <w:r>
                    <w:rPr>
                      <w:rFonts w:ascii="Helvetica" w:hAnsi="Helvetica" w:eastAsia="Helvetica"/>
                      <w:b w:val="0"/>
                      <w:i w:val="0"/>
                      <w:color w:val="000000"/>
                      <w:sz w:val="15"/>
                    </w:rPr>
                    <w:t xml:space="preserve">72 </w:t>
                  </w:r>
                  <w:r>
                    <w:br/>
                  </w:r>
                  <w:r>
                    <w:rPr>
                      <w:rFonts w:ascii="Helvetica" w:hAnsi="Helvetica" w:eastAsia="Helvetica"/>
                      <w:b w:val="0"/>
                      <w:i w:val="0"/>
                      <w:color w:val="000000"/>
                      <w:sz w:val="15"/>
                    </w:rPr>
                    <w:t xml:space="preserve">72 </w:t>
                  </w:r>
                  <w:r>
                    <w:br/>
                  </w:r>
                  <w:r>
                    <w:rPr>
                      <w:rFonts w:ascii="Helvetica" w:hAnsi="Helvetica" w:eastAsia="Helvetica"/>
                      <w:b w:val="0"/>
                      <w:i w:val="0"/>
                      <w:color w:val="000000"/>
                      <w:sz w:val="15"/>
                    </w:rPr>
                    <w:t xml:space="preserve">73 </w:t>
                  </w:r>
                  <w:r>
                    <w:br/>
                  </w:r>
                  <w:r>
                    <w:rPr>
                      <w:rFonts w:ascii="Helvetica" w:hAnsi="Helvetica" w:eastAsia="Helvetica"/>
                      <w:b w:val="0"/>
                      <w:i w:val="0"/>
                      <w:color w:val="000000"/>
                      <w:sz w:val="15"/>
                    </w:rPr>
                    <w:t xml:space="preserve">75 </w:t>
                  </w:r>
                  <w:r>
                    <w:br/>
                  </w:r>
                  <w:r>
                    <w:rPr>
                      <w:rFonts w:ascii="Helvetica" w:hAnsi="Helvetica" w:eastAsia="Helvetica"/>
                      <w:b w:val="0"/>
                      <w:i w:val="0"/>
                      <w:color w:val="000000"/>
                      <w:sz w:val="15"/>
                    </w:rPr>
                    <w:t xml:space="preserve">76 </w:t>
                  </w:r>
                  <w:r>
                    <w:br/>
                  </w:r>
                  <w:r>
                    <w:rPr>
                      <w:rFonts w:ascii="Helvetica" w:hAnsi="Helvetica" w:eastAsia="Helvetica"/>
                      <w:b/>
                      <w:i w:val="0"/>
                      <w:color w:val="009E96"/>
                      <w:sz w:val="16"/>
                    </w:rPr>
                    <w:t xml:space="preserve">77 </w:t>
                  </w:r>
                  <w:r>
                    <w:br/>
                  </w:r>
                  <w:r>
                    <w:rPr>
                      <w:rFonts w:ascii="Helvetica" w:hAnsi="Helvetica" w:eastAsia="Helvetica"/>
                      <w:b w:val="0"/>
                      <w:i w:val="0"/>
                      <w:color w:val="000000"/>
                      <w:sz w:val="15"/>
                    </w:rPr>
                    <w:t xml:space="preserve">78 </w:t>
                  </w:r>
                  <w:r>
                    <w:br/>
                  </w:r>
                  <w:r>
                    <w:rPr>
                      <w:rFonts w:ascii="Helvetica" w:hAnsi="Helvetica" w:eastAsia="Helvetica"/>
                      <w:b w:val="0"/>
                      <w:i w:val="0"/>
                      <w:color w:val="000000"/>
                      <w:sz w:val="15"/>
                    </w:rPr>
                    <w:t xml:space="preserve">79 </w:t>
                  </w:r>
                  <w:r>
                    <w:br/>
                  </w:r>
                  <w:r>
                    <w:rPr>
                      <w:rFonts w:ascii="Helvetica" w:hAnsi="Helvetica" w:eastAsia="Helvetica"/>
                      <w:b w:val="0"/>
                      <w:i w:val="0"/>
                      <w:color w:val="000000"/>
                      <w:sz w:val="15"/>
                    </w:rPr>
                    <w:t xml:space="preserve">79 </w:t>
                  </w:r>
                  <w:r>
                    <w:br/>
                  </w:r>
                  <w:r>
                    <w:rPr>
                      <w:rFonts w:ascii="Helvetica" w:hAnsi="Helvetica" w:eastAsia="Helvetica"/>
                      <w:b w:val="0"/>
                      <w:i w:val="0"/>
                      <w:color w:val="000000"/>
                      <w:sz w:val="15"/>
                    </w:rPr>
                    <w:t xml:space="preserve">80 </w:t>
                  </w:r>
                  <w:r>
                    <w:br/>
                  </w:r>
                  <w:r>
                    <w:rPr>
                      <w:rFonts w:ascii="Helvetica" w:hAnsi="Helvetica" w:eastAsia="Helvetica"/>
                      <w:b w:val="0"/>
                      <w:i w:val="0"/>
                      <w:color w:val="000000"/>
                      <w:sz w:val="15"/>
                    </w:rPr>
                    <w:t xml:space="preserve">80 </w:t>
                  </w:r>
                  <w:r>
                    <w:br/>
                  </w:r>
                  <w:r>
                    <w:rPr>
                      <w:rFonts w:ascii="Helvetica" w:hAnsi="Helvetica" w:eastAsia="Helvetica"/>
                      <w:b w:val="0"/>
                      <w:i w:val="0"/>
                      <w:color w:val="000000"/>
                      <w:sz w:val="15"/>
                    </w:rPr>
                    <w:t xml:space="preserve">81 </w:t>
                  </w:r>
                  <w:r>
                    <w:br/>
                  </w:r>
                  <w:r>
                    <w:rPr>
                      <w:rFonts w:ascii="Helvetica" w:hAnsi="Helvetica" w:eastAsia="Helvetica"/>
                      <w:b w:val="0"/>
                      <w:i w:val="0"/>
                      <w:color w:val="000000"/>
                      <w:sz w:val="15"/>
                    </w:rPr>
                    <w:t xml:space="preserve">88 </w:t>
                  </w:r>
                  <w:r>
                    <w:br/>
                  </w:r>
                  <w:r>
                    <w:rPr>
                      <w:rFonts w:ascii="Helvetica" w:hAnsi="Helvetica" w:eastAsia="Helvetica"/>
                      <w:b w:val="0"/>
                      <w:i w:val="0"/>
                      <w:color w:val="000000"/>
                      <w:sz w:val="15"/>
                    </w:rPr>
                    <w:t xml:space="preserve">88 </w:t>
                  </w:r>
                  <w:r>
                    <w:br/>
                  </w:r>
                  <w:r>
                    <w:rPr>
                      <w:rFonts w:ascii="Helvetica" w:hAnsi="Helvetica" w:eastAsia="Helvetica"/>
                      <w:b w:val="0"/>
                      <w:i w:val="0"/>
                      <w:color w:val="000000"/>
                      <w:sz w:val="15"/>
                    </w:rPr>
                    <w:t>88</w:t>
                  </w:r>
                </w:p>
                <w:p>
                  <w:pPr>
                    <w:autoSpaceDN w:val="0"/>
                    <w:autoSpaceDE w:val="0"/>
                    <w:widowControl/>
                    <w:spacing w:line="286" w:lineRule="auto" w:before="30" w:after="0"/>
                    <w:ind w:left="226" w:right="606" w:hanging="10"/>
                    <w:jc w:val="both"/>
                  </w:pPr>
                  <w:r>
                    <w:rPr>
                      <w:rFonts w:ascii="Helvetica" w:hAnsi="Helvetica" w:eastAsia="Helvetica"/>
                      <w:b/>
                      <w:i w:val="0"/>
                      <w:color w:val="009E96"/>
                      <w:sz w:val="16"/>
                    </w:rPr>
                    <w:t xml:space="preserve">89 </w:t>
                  </w:r>
                  <w:r>
                    <w:br/>
                  </w:r>
                  <w:r>
                    <w:rPr>
                      <w:rFonts w:ascii="Helvetica" w:hAnsi="Helvetica" w:eastAsia="Helvetica"/>
                      <w:b w:val="0"/>
                      <w:i w:val="0"/>
                      <w:color w:val="000000"/>
                      <w:sz w:val="15"/>
                    </w:rPr>
                    <w:t xml:space="preserve">90 </w:t>
                  </w:r>
                  <w:r>
                    <w:br/>
                  </w:r>
                  <w:r>
                    <w:rPr>
                      <w:rFonts w:ascii="Helvetica" w:hAnsi="Helvetica" w:eastAsia="Helvetica"/>
                      <w:b w:val="0"/>
                      <w:i w:val="0"/>
                      <w:color w:val="000000"/>
                      <w:sz w:val="15"/>
                    </w:rPr>
                    <w:t xml:space="preserve">93 </w:t>
                  </w:r>
                  <w:r>
                    <w:br/>
                  </w:r>
                  <w:r>
                    <w:rPr>
                      <w:rFonts w:ascii="Helvetica" w:hAnsi="Helvetica" w:eastAsia="Helvetica"/>
                      <w:b w:val="0"/>
                      <w:i w:val="0"/>
                      <w:color w:val="000000"/>
                      <w:sz w:val="15"/>
                    </w:rPr>
                    <w:t>93</w:t>
                  </w:r>
                </w:p>
                <w:p>
                  <w:pPr>
                    <w:autoSpaceDN w:val="0"/>
                    <w:autoSpaceDE w:val="0"/>
                    <w:widowControl/>
                    <w:spacing w:line="319" w:lineRule="auto" w:before="34" w:after="0"/>
                    <w:ind w:left="226" w:right="0" w:firstLine="0"/>
                    <w:jc w:val="left"/>
                  </w:pPr>
                  <w:r>
                    <w:rPr>
                      <w:rFonts w:ascii="Helvetica" w:hAnsi="Helvetica" w:eastAsia="Helvetica"/>
                      <w:b w:val="0"/>
                      <w:i w:val="0"/>
                      <w:color w:val="000000"/>
                      <w:sz w:val="15"/>
                    </w:rPr>
                    <w:t>94</w:t>
                  </w:r>
                </w:p>
                <w:p>
                  <w:pPr>
                    <w:autoSpaceDN w:val="0"/>
                    <w:autoSpaceDE w:val="0"/>
                    <w:widowControl/>
                    <w:spacing w:line="334" w:lineRule="auto" w:before="48" w:after="0"/>
                    <w:ind w:left="216" w:right="0" w:firstLine="0"/>
                    <w:jc w:val="left"/>
                  </w:pPr>
                  <w:r>
                    <w:rPr>
                      <w:rFonts w:ascii="Helvetica" w:hAnsi="Helvetica" w:eastAsia="Helvetica"/>
                      <w:b/>
                      <w:i w:val="0"/>
                      <w:color w:val="009E96"/>
                      <w:sz w:val="16"/>
                    </w:rPr>
                    <w:t>95</w:t>
                  </w:r>
                </w:p>
              </w:tc>
            </w:tr>
          </w:tbl>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sectPr w:rsidR="00FC693F" w:rsidRPr="0006063C" w:rsidSect="00034616">
      <w:pgSz w:w="12189" w:h="15874"/>
      <w:pgMar w:top="0" w:right="0" w:bottom="0" w:left="1128"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