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54"/>
        <w:gridCol w:w="5554"/>
      </w:tblGrid>
      <w:tr>
        <w:trPr>
          <w:trHeight w:hRule="exact" w:val="290"/>
        </w:trPr>
        <w:tc>
          <w:tcPr>
            <w:tcW w:type="dxa" w:w="1550"/>
            <w:tcBorders>
              <w:bottom w:sz="20.0" w:val="single" w:color="#00A5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06/05/2025, 17:47</w:t>
            </w:r>
          </w:p>
        </w:tc>
        <w:tc>
          <w:tcPr>
            <w:tcW w:type="dxa" w:w="9360"/>
            <w:tcBorders>
              <w:bottom w:sz="20.0" w:val="single" w:color="#00A5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FAQs – Clearing mandate for U.S. Treasury securities – U.S.A.</w:t>
            </w:r>
          </w:p>
        </w:tc>
      </w:tr>
    </w:tbl>
    <w:p>
      <w:pPr>
        <w:autoSpaceDN w:val="0"/>
        <w:autoSpaceDE w:val="0"/>
        <w:widowControl/>
        <w:spacing w:line="240" w:lineRule="auto" w:before="264" w:after="308"/>
        <w:ind w:left="175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35150" cy="323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2222"/>
        <w:gridCol w:w="2222"/>
        <w:gridCol w:w="2222"/>
        <w:gridCol w:w="2222"/>
        <w:gridCol w:w="2222"/>
      </w:tblGrid>
      <w:tr>
        <w:trPr>
          <w:trHeight w:hRule="exact" w:val="42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auto" w:before="148" w:after="0"/>
              <w:ind w:left="0" w:right="0" w:firstLine="0"/>
              <w:jc w:val="right"/>
            </w:pPr>
            <w:r>
              <w:rPr>
                <w:rFonts w:ascii="Dslxzhcyaqntakpxtvoiphqoxfk" w:hAnsi="Dslxzhcyaqntakpxtvoiphqoxfk" w:eastAsia="Dslxzhcyaqntakpxtvoiphqoxfk"/>
                <w:b w:val="0"/>
                <w:i w:val="0"/>
                <w:color w:val="00A5C0"/>
                <w:sz w:val="15"/>
              </w:rPr>
              <w:hyperlink r:id="rId10" w:history="1">
                <w:r>
                  <w:rPr>
                    <w:rStyle w:val="Hyperlink"/>
                  </w:rPr>
                  <w:t>Clearstream</w:t>
                </w:r>
              </w:hyperlink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comoon" w:hAnsi="icomoon" w:eastAsia="icomoon"/>
                <w:b w:val="0"/>
                <w:i w:val="0"/>
                <w:color w:val="00A5C0"/>
                <w:sz w:val="30"/>
              </w:rPr>
              <w:hyperlink r:id="rId11" w:history="1">
                <w:r>
                  <w:rPr>
                    <w:rStyle w:val="Hyperlink"/>
                  </w:rPr>
                  <w:t></w:t>
                </w:r>
              </w:hyperlink>
            </w:r>
            <w:r>
              <w:rPr>
                <w:rFonts w:ascii="Dslxzhcyaqntakpxtvoiphqoxfk" w:hAnsi="Dslxzhcyaqntakpxtvoiphqoxfk" w:eastAsia="Dslxzhcyaqntakpxtvoiphqoxfk"/>
                <w:b w:val="0"/>
                <w:i w:val="0"/>
                <w:color w:val="00A5C0"/>
                <w:sz w:val="15"/>
              </w:rPr>
              <w:hyperlink r:id="rId11" w:history="1">
                <w:r>
                  <w:rPr>
                    <w:rStyle w:val="Hyperlink"/>
                  </w:rPr>
                  <w:t>S</w:t>
                </w:r>
              </w:hyperlink>
            </w:r>
            <w:r>
              <w:rPr>
                <w:rFonts w:ascii="Dslxzhcyaqntakpxtvoiphqoxfk" w:hAnsi="Dslxzhcyaqntakpxtvoiphqoxfk" w:eastAsia="Dslxzhcyaqntakpxtvoiphqoxfk"/>
                <w:b w:val="0"/>
                <w:i w:val="0"/>
                <w:color w:val="00A5C0"/>
                <w:sz w:val="15"/>
              </w:rPr>
              <w:hyperlink r:id="rId11" w:history="1">
                <w:r>
                  <w:rPr>
                    <w:rStyle w:val="Hyperlink"/>
                  </w:rPr>
                  <w:t>ecurities Services</w:t>
                </w:r>
              </w:hyperlink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comoon" w:hAnsi="icomoon" w:eastAsia="icomoon"/>
                <w:b w:val="0"/>
                <w:i w:val="0"/>
                <w:color w:val="00A5C0"/>
                <w:sz w:val="30"/>
              </w:rPr>
              <w:hyperlink r:id="rId12" w:history="1">
                <w:r>
                  <w:rPr>
                    <w:rStyle w:val="Hyperlink"/>
                  </w:rPr>
                  <w:t></w:t>
                </w:r>
              </w:hyperlink>
            </w:r>
            <w:r>
              <w:rPr>
                <w:rFonts w:ascii="Dslxzhcyaqntakpxtvoiphqoxfk" w:hAnsi="Dslxzhcyaqntakpxtvoiphqoxfk" w:eastAsia="Dslxzhcyaqntakpxtvoiphqoxfk"/>
                <w:b w:val="0"/>
                <w:i w:val="0"/>
                <w:color w:val="00A5C0"/>
                <w:sz w:val="15"/>
              </w:rPr>
              <w:hyperlink r:id="rId12" w:history="1">
                <w:r>
                  <w:rPr>
                    <w:rStyle w:val="Hyperlink"/>
                  </w:rPr>
                  <w:t>Market coverage</w:t>
                </w:r>
              </w:hyperlink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icomoon" w:hAnsi="icomoon" w:eastAsia="icomoon"/>
                <w:b w:val="0"/>
                <w:i w:val="0"/>
                <w:color w:val="00A5C0"/>
                <w:sz w:val="30"/>
              </w:rPr>
              <w:hyperlink r:id="rId13" w:history="1">
                <w:r>
                  <w:rPr>
                    <w:rStyle w:val="Hyperlink"/>
                  </w:rPr>
                  <w:t></w:t>
                </w:r>
              </w:hyperlink>
            </w:r>
            <w:r>
              <w:rPr>
                <w:rFonts w:ascii="Dslxzhcyaqntakpxtvoiphqoxfk" w:hAnsi="Dslxzhcyaqntakpxtvoiphqoxfk" w:eastAsia="Dslxzhcyaqntakpxtvoiphqoxfk"/>
                <w:b w:val="0"/>
                <w:i w:val="0"/>
                <w:color w:val="00A5C0"/>
                <w:sz w:val="15"/>
              </w:rPr>
              <w:hyperlink r:id="rId13" w:history="1">
                <w:r>
                  <w:rPr>
                    <w:rStyle w:val="Hyperlink"/>
                  </w:rPr>
                  <w:t>Americas</w:t>
                </w:r>
              </w:hyperlink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2" w:right="0" w:firstLine="0"/>
              <w:jc w:val="left"/>
            </w:pPr>
            <w:r>
              <w:rPr>
                <w:rFonts w:ascii="icomoon" w:hAnsi="icomoon" w:eastAsia="icomoon"/>
                <w:b w:val="0"/>
                <w:i w:val="0"/>
                <w:color w:val="00A5C0"/>
                <w:sz w:val="30"/>
              </w:rPr>
              <w:hyperlink r:id="rId14" w:history="1">
                <w:r>
                  <w:rPr>
                    <w:rStyle w:val="Hyperlink"/>
                  </w:rPr>
                  <w:t></w:t>
                </w:r>
              </w:hyperlink>
            </w:r>
            <w:r>
              <w:rPr>
                <w:rFonts w:ascii="Dslxzhcyaqntakpxtvoiphqoxfk" w:hAnsi="Dslxzhcyaqntakpxtvoiphqoxfk" w:eastAsia="Dslxzhcyaqntakpxtvoiphqoxfk"/>
                <w:b w:val="0"/>
                <w:i w:val="0"/>
                <w:color w:val="00A5C0"/>
                <w:sz w:val="15"/>
              </w:rPr>
              <w:hyperlink r:id="rId14" w:history="1">
                <w:r>
                  <w:rPr>
                    <w:rStyle w:val="Hyperlink"/>
                  </w:rPr>
                  <w:t>United States of America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5" w:lineRule="auto" w:before="488" w:after="0"/>
        <w:ind w:left="1550" w:right="417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CC0099"/>
          <w:sz w:val="28"/>
        </w:rPr>
        <w:t xml:space="preserve">FAQs – Clearing mandate for U.S. Treasury </w:t>
      </w:r>
      <w:r>
        <w:br/>
      </w:r>
      <w:r>
        <w:rPr>
          <w:rFonts w:ascii="Dslxzhcyaqntakpxtvoiphqoxfk" w:hAnsi="Dslxzhcyaqntakpxtvoiphqoxfk" w:eastAsia="Dslxzhcyaqntakpxtvoiphqoxfk"/>
          <w:b w:val="0"/>
          <w:i w:val="0"/>
          <w:color w:val="CC0099"/>
          <w:sz w:val="28"/>
        </w:rPr>
        <w:t>securities – U.S.A.</w:t>
      </w:r>
    </w:p>
    <w:p>
      <w:pPr>
        <w:autoSpaceDN w:val="0"/>
        <w:autoSpaceDE w:val="0"/>
        <w:widowControl/>
        <w:spacing w:line="154" w:lineRule="auto" w:before="304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20.03.2025</w:t>
      </w:r>
    </w:p>
    <w:p>
      <w:pPr>
        <w:autoSpaceDN w:val="0"/>
        <w:autoSpaceDE w:val="0"/>
        <w:widowControl/>
        <w:spacing w:line="245" w:lineRule="auto" w:before="190" w:after="0"/>
        <w:ind w:left="1550" w:right="360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On 13 December 2023, the U.S. Securities and Exchange Commission (“SEC”)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adopted a final rule (the “Treasury Clearing Rule”) providing for the mandatory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central clearing of certain secondary market transactions involving U.S.</w:t>
      </w:r>
    </w:p>
    <w:p>
      <w:pPr>
        <w:autoSpaceDN w:val="0"/>
        <w:autoSpaceDE w:val="0"/>
        <w:widowControl/>
        <w:spacing w:line="245" w:lineRule="auto" w:before="112" w:after="0"/>
        <w:ind w:left="1550" w:right="3744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Treasury (“UST”) securities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1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. The FAQs that follow are intended to provide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background information on the Treasury Clearing Rule for clients and do not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constitute legal advice. They will be updated as new information becomes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available.</w:t>
      </w:r>
    </w:p>
    <w:p>
      <w:pPr>
        <w:autoSpaceDN w:val="0"/>
        <w:autoSpaceDE w:val="0"/>
        <w:widowControl/>
        <w:spacing w:line="154" w:lineRule="auto" w:before="288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Summary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74" w:after="0"/>
        <w:ind w:left="1600" w:right="3456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Following the adoption of the new clearing rules by the SEC, the Fixed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Income Clearing Corporation (“FICC”), a subsidiary of the Depository Trust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and Clearing Corporation (“DTCC”), published proposed changes to its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rulebook. The changes will require market participants who are a member of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FICC (or that trade with a counterparty who is a FICC member) to submit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their eligible secondary market transactions (“ESMT”) in U.S. Treasuries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(UST) (including Repos) for clearing at the FICC.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The most significant proposed rulebook changes by FICC have been approved</w:t>
      </w:r>
    </w:p>
    <w:p>
      <w:pPr>
        <w:autoSpaceDN w:val="0"/>
        <w:autoSpaceDE w:val="0"/>
        <w:widowControl/>
        <w:spacing w:line="168" w:lineRule="auto" w:before="112" w:after="0"/>
        <w:ind w:left="17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by the SEC and are final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2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84" w:after="0"/>
        <w:ind w:left="1600" w:right="36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Certain aspects of the SEC mandate still require further clarification,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particularly regarding the Industry’s request for clarification on the inclusion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of mixed CUSIP Triparty baskets in the scope of the rule.</w:t>
      </w:r>
    </w:p>
    <w:p>
      <w:pPr>
        <w:autoSpaceDN w:val="0"/>
        <w:autoSpaceDE w:val="0"/>
        <w:widowControl/>
        <w:spacing w:line="154" w:lineRule="auto" w:before="288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FAQs</w:t>
      </w:r>
    </w:p>
    <w:p>
      <w:pPr>
        <w:autoSpaceDN w:val="0"/>
        <w:autoSpaceDE w:val="0"/>
        <w:widowControl/>
        <w:spacing w:line="245" w:lineRule="auto" w:before="154" w:after="0"/>
        <w:ind w:left="1550" w:right="360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In this section, you will find answers to the following questions. The questions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highlighted in grey have been added or updated. 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1. What is the Treasury Clearing Rule?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2. What is the implementation timeline? 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3. What is the purpose of the Treasury Clearing Rule?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4. Which transactions are required to be centrally cleared?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5. Are triparty repos required to be centrally cleared?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6. What entities are subject to the clearing mandate?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7. How are inter-affiliate repos treated?</w:t>
      </w:r>
    </w:p>
    <w:p>
      <w:pPr>
        <w:autoSpaceDN w:val="0"/>
        <w:autoSpaceDE w:val="0"/>
        <w:widowControl/>
        <w:spacing w:line="154" w:lineRule="auto" w:before="190" w:after="0"/>
        <w:ind w:left="1572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8. Are securities lending transactions required to be centrally cleared? </w:t>
      </w:r>
    </w:p>
    <w:p>
      <w:pPr>
        <w:autoSpaceDN w:val="0"/>
        <w:tabs>
          <w:tab w:pos="1750" w:val="left"/>
        </w:tabs>
        <w:autoSpaceDE w:val="0"/>
        <w:widowControl/>
        <w:spacing w:line="245" w:lineRule="auto" w:before="190" w:after="0"/>
        <w:ind w:left="1572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9. Does a transaction arising from the final settlement of physically-settled UST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futures qualify as an ESMT?</w:t>
      </w:r>
    </w:p>
    <w:p>
      <w:pPr>
        <w:autoSpaceDN w:val="0"/>
        <w:autoSpaceDE w:val="0"/>
        <w:widowControl/>
        <w:spacing w:line="154" w:lineRule="auto" w:before="190" w:after="0"/>
        <w:ind w:left="1484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10. Are any transactions specifically excluded from the definition of ESMT?</w:t>
      </w:r>
    </w:p>
    <w:p>
      <w:pPr>
        <w:autoSpaceDN w:val="0"/>
        <w:autoSpaceDE w:val="0"/>
        <w:widowControl/>
        <w:spacing w:line="154" w:lineRule="auto" w:before="190" w:after="0"/>
        <w:ind w:left="1484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11. What is Clearstream doing in response to the Treasury Clearing Rule?</w:t>
      </w:r>
    </w:p>
    <w:p>
      <w:pPr>
        <w:autoSpaceDN w:val="0"/>
        <w:autoSpaceDE w:val="0"/>
        <w:widowControl/>
        <w:spacing w:line="154" w:lineRule="auto" w:before="288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1. What is the Treasury Clearing Rule?</w:t>
      </w:r>
    </w:p>
    <w:p>
      <w:pPr>
        <w:autoSpaceDN w:val="0"/>
        <w:autoSpaceDE w:val="0"/>
        <w:widowControl/>
        <w:spacing w:line="245" w:lineRule="auto" w:before="154" w:after="0"/>
        <w:ind w:left="1550" w:right="360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 SEC’s Treasury Clearing Rule requires clearing agencies that provide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central counterparty services for USTs (“covered clearing agencies” or “CCAs”)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to adopt rules requiring all direct participants of the CCA to submit for clearing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all “eligible secondary market transactions” (“ESMTs”).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29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https://www.clearstream.com/clearstream-en/securities-services/market-coverage/americas/united-states-of-america/faqs-clearing-mandate-for-u-…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1/5</w:t>
      </w:r>
    </w:p>
    <w:p>
      <w:pPr>
        <w:sectPr>
          <w:pgSz w:w="11899" w:h="16838"/>
          <w:pgMar w:top="154" w:right="310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4190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06/05/2025, 17:47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FAQs – Clearing mandate for U.S. Treasury securities – U.S.A.</w:t>
      </w:r>
    </w:p>
    <w:p>
      <w:pPr>
        <w:autoSpaceDN w:val="0"/>
        <w:autoSpaceDE w:val="0"/>
        <w:widowControl/>
        <w:spacing w:line="154" w:lineRule="auto" w:before="116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Currently, FICC is the only CCA for purposes of the Treasury Clearing Rule.</w:t>
      </w:r>
    </w:p>
    <w:p>
      <w:pPr>
        <w:autoSpaceDN w:val="0"/>
        <w:autoSpaceDE w:val="0"/>
        <w:widowControl/>
        <w:spacing w:line="245" w:lineRule="auto" w:before="70" w:after="0"/>
        <w:ind w:left="1550" w:right="331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Following the SEC’s adoption of the Treasury Clearing Rule, both the Chicago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Mercantile Exchange (“CME”) and Intercontinental Exchange (“ICE”) announced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plans to launch government clearing services, but they have not yet received</w:t>
      </w:r>
    </w:p>
    <w:p>
      <w:pPr>
        <w:autoSpaceDN w:val="0"/>
        <w:autoSpaceDE w:val="0"/>
        <w:widowControl/>
        <w:spacing w:line="168" w:lineRule="auto" w:before="112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authorisation from the SEC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3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194" w:after="0"/>
        <w:ind w:left="1550" w:right="331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In March 2024, FICC began submitting to the SEC proposed modifications to its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rulebook, as required by the Treasury Clearing Rule. The majority of these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modifications have now been approved by the SEC and must be implemented by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FICC by 30 September 2025. Additional modifications may still be proposed and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adopted prior to the final implementation date.</w:t>
      </w:r>
    </w:p>
    <w:p>
      <w:pPr>
        <w:autoSpaceDN w:val="0"/>
        <w:autoSpaceDE w:val="0"/>
        <w:widowControl/>
        <w:spacing w:line="154" w:lineRule="auto" w:before="288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2. What is the implementation timeline?</w:t>
      </w:r>
    </w:p>
    <w:p>
      <w:pPr>
        <w:autoSpaceDN w:val="0"/>
        <w:autoSpaceDE w:val="0"/>
        <w:widowControl/>
        <w:spacing w:line="154" w:lineRule="auto" w:before="144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On 25 February 2025, the SEC extended the compliance dates for certain</w:t>
      </w:r>
    </w:p>
    <w:p>
      <w:pPr>
        <w:autoSpaceDN w:val="0"/>
        <w:autoSpaceDE w:val="0"/>
        <w:widowControl/>
        <w:spacing w:line="245" w:lineRule="auto" w:before="112" w:after="0"/>
        <w:ind w:left="1550" w:right="360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elements of the Treasury Clearing Rule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4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. The dates listed below reflect these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changes.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13 December 2023: SEC adopts the Treasury Clearing Rule.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456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30 September 2025: CCAs must implement required rulebook modifications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to comply with the Treasury Clearing Rule.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7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31 December 2026: Direct participants of CCAs must being clearing cash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market ESMTs.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30 June 2027: Direct participants of CCAs must begin clearing repo ESMTs.</w:t>
      </w:r>
    </w:p>
    <w:p>
      <w:pPr>
        <w:autoSpaceDN w:val="0"/>
        <w:autoSpaceDE w:val="0"/>
        <w:widowControl/>
        <w:spacing w:line="154" w:lineRule="auto" w:before="288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3. What is the purpose of the Treasury Clearing Rule?</w:t>
      </w:r>
    </w:p>
    <w:p>
      <w:pPr>
        <w:autoSpaceDN w:val="0"/>
        <w:autoSpaceDE w:val="0"/>
        <w:widowControl/>
        <w:spacing w:line="245" w:lineRule="auto" w:before="154" w:after="0"/>
        <w:ind w:left="1550" w:right="331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 SEC has stated that the requirements of the Treasury Clearing Rule are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designed to “protect investors, reduce risk, and increase operational efficiency”</w:t>
      </w:r>
    </w:p>
    <w:p>
      <w:pPr>
        <w:autoSpaceDN w:val="0"/>
        <w:autoSpaceDE w:val="0"/>
        <w:widowControl/>
        <w:spacing w:line="168" w:lineRule="auto" w:before="112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in UST markets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5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194" w:after="0"/>
        <w:ind w:left="1440" w:right="3456" w:firstLine="0"/>
        <w:jc w:val="center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In adopting the Treasury Clearing Rule, the SEC pointed to several recent UST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market disruptions, the risks of which the SEC hopes to mitigate via the rule: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40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 “flash rally” of October 2014, when yields on UST bonds plunged, </w:t>
      </w:r>
      <w:r>
        <w:br/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following a sharp increase in prices;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456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 dramatic acceleration of repo rates in September 2019 amid a large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withdrawal of reserves from the banking system and the settlement of UST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auctions, which generated a significant need for cash reserves; and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456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 COVID-19 shock of March 2020, when market uncertainty caused a spike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in volume in the market for UST, leading to intervention by the Board of</w:t>
      </w:r>
    </w:p>
    <w:p>
      <w:pPr>
        <w:autoSpaceDN w:val="0"/>
        <w:autoSpaceDE w:val="0"/>
        <w:widowControl/>
        <w:spacing w:line="168" w:lineRule="auto" w:before="112" w:after="0"/>
        <w:ind w:left="17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Governors of the Federal Reserve System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6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154" w:lineRule="auto" w:before="282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4. Which transactions are required to be centrally cleared?</w:t>
      </w:r>
    </w:p>
    <w:p>
      <w:pPr>
        <w:autoSpaceDN w:val="0"/>
        <w:autoSpaceDE w:val="0"/>
        <w:widowControl/>
        <w:spacing w:line="245" w:lineRule="auto" w:before="154" w:after="0"/>
        <w:ind w:left="1550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 Treasury Clearing Rule makes it mandatory for CCAs to require their direct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participants to submit for clearing all eligible secondary market transactions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(“ESMTs”).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The Treasury Clearing Rule generally defines ESMTs to include: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40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Repo transactions: Repurchase or reverse repurchase agreements </w:t>
      </w:r>
      <w:r>
        <w:br/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collateralised by USTs, in which one of the counterparties is a direct </w:t>
      </w:r>
      <w:r>
        <w:br/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participant or member of a CCA.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6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Cash market transactions: Purchases or sales of USTs between a direct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participant or member of a CCA and (a) any counterparty, if the direct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participant facilitates multiple buyers using a trading facility and acts as a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counterparty to both buyer and seller in separate transactions or (b) a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registered broker-dealer, government securities broker, or government</w:t>
      </w:r>
    </w:p>
    <w:p>
      <w:pPr>
        <w:autoSpaceDN w:val="0"/>
        <w:autoSpaceDE w:val="0"/>
        <w:widowControl/>
        <w:spacing w:line="168" w:lineRule="auto" w:before="112" w:after="0"/>
        <w:ind w:left="17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securities dealer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7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194" w:after="0"/>
        <w:ind w:left="1550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Transactions that would otherwise qualify as ESMTs, but which include at least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one counterparty which is a central bank, a sovereign entity, an international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financial institution, or a natural person are specifically excluded from the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definition of ESMT.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53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https://www.clearstream.com/clearstream-en/securities-services/market-coverage/americas/united-states-of-america/faqs-clearing-mandate-for-u-…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2/5</w:t>
      </w:r>
    </w:p>
    <w:p>
      <w:pPr>
        <w:sectPr>
          <w:pgSz w:w="11899" w:h="16838"/>
          <w:pgMar w:top="154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4190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06/05/2025, 17:47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FAQs – Clearing mandate for U.S. Treasury securities – U.S.A.</w:t>
      </w:r>
    </w:p>
    <w:p>
      <w:pPr>
        <w:autoSpaceDN w:val="0"/>
        <w:autoSpaceDE w:val="0"/>
        <w:widowControl/>
        <w:spacing w:line="154" w:lineRule="auto" w:before="94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5. Are triparty repos required to be centrally cleared?</w:t>
      </w:r>
    </w:p>
    <w:p>
      <w:pPr>
        <w:autoSpaceDN w:val="0"/>
        <w:autoSpaceDE w:val="0"/>
        <w:widowControl/>
        <w:spacing w:line="245" w:lineRule="auto" w:before="154" w:after="0"/>
        <w:ind w:left="1550" w:right="331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Triparty repo transactions that are collateralised with USTs and involve a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counterparty who is a member of a CCA, including FICC, could be included in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the scope of the ESMT definition. However, questions remain on the applicable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scope of the definition as it pertains to mixed CUSIP triparty transactions, which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are transactions with baskets composed of both USTs and other types of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securities. The industry, through its trade body SIFMA, has requested an</w:t>
      </w:r>
    </w:p>
    <w:p>
      <w:pPr>
        <w:autoSpaceDN w:val="0"/>
        <w:autoSpaceDE w:val="0"/>
        <w:widowControl/>
        <w:spacing w:line="168" w:lineRule="auto" w:before="112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exemption for such mixed transactions from the mandate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8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184" w:after="0"/>
        <w:ind w:left="1550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Further clarity is ultimately needed regarding the extent to which triparty repos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are in-scope given the lack of viable operating models to clear mixed baskets,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disruptions to offshore financing operations and issues with extra-territorial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enforceability.</w:t>
      </w:r>
    </w:p>
    <w:p>
      <w:pPr>
        <w:autoSpaceDN w:val="0"/>
        <w:autoSpaceDE w:val="0"/>
        <w:widowControl/>
        <w:spacing w:line="245" w:lineRule="auto" w:before="190" w:after="0"/>
        <w:ind w:left="1440" w:right="3456" w:firstLine="0"/>
        <w:jc w:val="center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Clients are responsible for determining whether their transactions in USTs fall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within the scope of the mandate and should seek legal advice in case of doubt.</w:t>
      </w:r>
    </w:p>
    <w:p>
      <w:pPr>
        <w:autoSpaceDN w:val="0"/>
        <w:autoSpaceDE w:val="0"/>
        <w:widowControl/>
        <w:spacing w:line="154" w:lineRule="auto" w:before="288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6. What entities are subject to the clearing mandate?</w:t>
      </w:r>
    </w:p>
    <w:p>
      <w:pPr>
        <w:autoSpaceDN w:val="0"/>
        <w:autoSpaceDE w:val="0"/>
        <w:widowControl/>
        <w:spacing w:line="245" w:lineRule="auto" w:before="154" w:after="0"/>
        <w:ind w:left="1550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Generally, only the direct participants of a CCA will be subject to the clearing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mandate adopted by that CCA. The term “direct participant” refers to an entity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that directly accesses a CCA, as opposed to an “indirect participant,” which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refers to an entity that relies on a direct participant to clear and settle its UST</w:t>
      </w:r>
    </w:p>
    <w:p>
      <w:pPr>
        <w:autoSpaceDN w:val="0"/>
        <w:autoSpaceDE w:val="0"/>
        <w:widowControl/>
        <w:spacing w:line="168" w:lineRule="auto" w:before="112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transactions with a CCA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9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194" w:after="0"/>
        <w:ind w:left="1550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However, where a firm that is not direct participant of a CCA engages in a UST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transaction with a counterparty that is a direct participant of a CCA, that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transaction may be subject to the central clearing requirement if it otherwise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meets the definition of an ESMT. In other words, even firms that are not direct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participants of a CCA may still be indirectly subject to the clearing mandate.</w:t>
      </w:r>
    </w:p>
    <w:p>
      <w:pPr>
        <w:autoSpaceDN w:val="0"/>
        <w:autoSpaceDE w:val="0"/>
        <w:widowControl/>
        <w:spacing w:line="154" w:lineRule="auto" w:before="288" w:after="0"/>
        <w:ind w:left="1550" w:right="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7. How are inter-affiliate repos treated?</w:t>
      </w:r>
    </w:p>
    <w:p>
      <w:pPr>
        <w:autoSpaceDN w:val="0"/>
        <w:autoSpaceDE w:val="0"/>
        <w:widowControl/>
        <w:spacing w:line="245" w:lineRule="auto" w:before="154" w:after="0"/>
        <w:ind w:left="1550" w:right="331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Any repo entered into between a direct participant and an affiliated counterparty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that would otherwise qualify as an ESMT may be excluded from qualification as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an ESMT, provided that the affiliated counterparty: (1) is a bank, broker-dealer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or futures commission merchant (“FCM”), or foreign equivalent, and (2) submits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for central clearing all other repos collateralised by USTs to which the affiliate is</w:t>
      </w:r>
    </w:p>
    <w:p>
      <w:pPr>
        <w:autoSpaceDN w:val="0"/>
        <w:autoSpaceDE w:val="0"/>
        <w:widowControl/>
        <w:spacing w:line="168" w:lineRule="auto" w:before="112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 party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10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282" w:after="0"/>
        <w:ind w:left="1550" w:right="3744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 xml:space="preserve">8. Are securities lending transactions required to be centrally </w:t>
      </w: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cleared?</w:t>
      </w:r>
    </w:p>
    <w:p>
      <w:pPr>
        <w:autoSpaceDN w:val="0"/>
        <w:autoSpaceDE w:val="0"/>
        <w:widowControl/>
        <w:spacing w:line="154" w:lineRule="auto" w:before="154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No, the SEC has said that securities lending transactions do not fall within the</w:t>
      </w:r>
    </w:p>
    <w:p>
      <w:pPr>
        <w:autoSpaceDN w:val="0"/>
        <w:autoSpaceDE w:val="0"/>
        <w:widowControl/>
        <w:spacing w:line="168" w:lineRule="auto" w:before="112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definition of an ESMT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11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292" w:after="0"/>
        <w:ind w:left="1550" w:right="4320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 xml:space="preserve">9. Does a transaction arising from the final settlement of </w:t>
      </w:r>
      <w:r>
        <w:br/>
      </w: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physically-settled UST futures qualify as an ESMT?</w:t>
      </w:r>
    </w:p>
    <w:p>
      <w:pPr>
        <w:autoSpaceDN w:val="0"/>
        <w:autoSpaceDE w:val="0"/>
        <w:widowControl/>
        <w:spacing w:line="154" w:lineRule="auto" w:before="144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No, the SEC has said that the physical settlement of UST futures does not fall</w:t>
      </w:r>
    </w:p>
    <w:p>
      <w:pPr>
        <w:autoSpaceDN w:val="0"/>
        <w:autoSpaceDE w:val="0"/>
        <w:widowControl/>
        <w:spacing w:line="168" w:lineRule="auto" w:before="112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within the definition of an ESMT</w:t>
      </w:r>
      <w:r>
        <w:rPr>
          <w:w w:val="101.99999809265137"/>
          <w:rFonts w:ascii="Dslxzhcyaqntakpxtvoiphqoxfk" w:hAnsi="Dslxzhcyaqntakpxtvoiphqoxfk" w:eastAsia="Dslxzhcyaqntakpxtvoiphqoxfk"/>
          <w:b w:val="0"/>
          <w:i w:val="0"/>
          <w:color w:val="666666"/>
          <w:sz w:val="10"/>
        </w:rPr>
        <w:t>12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245" w:lineRule="auto" w:before="292" w:after="0"/>
        <w:ind w:left="1550" w:right="3456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 xml:space="preserve">10. Are any transactions specifically excluded from the definition </w:t>
      </w: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of ESMT?</w:t>
      </w:r>
    </w:p>
    <w:p>
      <w:pPr>
        <w:autoSpaceDN w:val="0"/>
        <w:autoSpaceDE w:val="0"/>
        <w:widowControl/>
        <w:spacing w:line="245" w:lineRule="auto" w:before="154" w:after="0"/>
        <w:ind w:left="1550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Repo and cash market transactions that would otherwise qualify as ESMTs, but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which include a counterparty which is one of the following are specifically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excluded from the definition of ESMT: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60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 central bank (meaning a reserve bank or monetary authority of a central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government or the Bank for International Settlements);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312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 sovereign entity (meaning a central government, or an agency, department,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or ministry of a central government);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7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an international financial institution, such as a multilateral development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bank; or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 natural person.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54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https://www.clearstream.com/clearstream-en/securities-services/market-coverage/americas/united-states-of-america/faqs-clearing-mandate-for-u-…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3/5</w:t>
      </w:r>
    </w:p>
    <w:p>
      <w:pPr>
        <w:sectPr>
          <w:pgSz w:w="11899" w:h="16838"/>
          <w:pgMar w:top="154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4190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06/05/2025, 17:47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FAQs – Clearing mandate for U.S. Treasury securities – U.S.A.</w:t>
      </w:r>
    </w:p>
    <w:p>
      <w:pPr>
        <w:autoSpaceDN w:val="0"/>
        <w:autoSpaceDE w:val="0"/>
        <w:widowControl/>
        <w:spacing w:line="245" w:lineRule="auto" w:before="116" w:after="0"/>
        <w:ind w:left="1550" w:right="331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Additionally, repo transactions that would otherwise qualify as ESMTs, but which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include a counterparty which is one of the following are specifically excluded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from the definition of ESMT: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456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an SEC-registered clearing agency, a CFTC-registered derivatives clearing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organisation, or non-U.S. central counterparty regulated as such in its home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jurisdiction;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a state or local government (but not a pension plan); or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456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an affiliated counterparty of the direct participant, provided that the affiliated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counterparty submits for central clearing all other repos collateralised by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USTs to which the affiliate is a party.</w:t>
      </w:r>
    </w:p>
    <w:p>
      <w:pPr>
        <w:autoSpaceDN w:val="0"/>
        <w:autoSpaceDE w:val="0"/>
        <w:widowControl/>
        <w:spacing w:line="245" w:lineRule="auto" w:before="288" w:after="0"/>
        <w:ind w:left="1550" w:right="4176" w:firstLine="0"/>
        <w:jc w:val="left"/>
      </w:pP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 xml:space="preserve">11. What is Clearstream doing in response to the Treasury </w:t>
      </w:r>
      <w:r>
        <w:br/>
      </w:r>
      <w:r>
        <w:rPr>
          <w:rFonts w:ascii="Okdsldgndkgmhmjeuekrpnxapxv" w:hAnsi="Okdsldgndkgmhmjeuekrpnxapxv" w:eastAsia="Okdsldgndkgmhmjeuekrpnxapxv"/>
          <w:b w:val="0"/>
          <w:i w:val="0"/>
          <w:color w:val="666666"/>
          <w:sz w:val="20"/>
        </w:rPr>
        <w:t>Clearing Rule?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74" w:after="0"/>
        <w:ind w:left="1600" w:right="38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Clearstream is actively engaged with its partners and through industry </w:t>
      </w:r>
      <w:r>
        <w:br/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groups to ensure it is ready to support its clients according to the </w:t>
      </w:r>
      <w:r>
        <w:br/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implementation timeline.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456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Based on the rule changes, Clearstream has not identified any immediate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roadblocks but is exploring opportunities to expand and enhance offerings to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better service its clients.</w:t>
      </w:r>
    </w:p>
    <w:p>
      <w:pPr>
        <w:autoSpaceDN w:val="0"/>
        <w:tabs>
          <w:tab w:pos="1750" w:val="left"/>
        </w:tabs>
        <w:autoSpaceDE w:val="0"/>
        <w:widowControl/>
        <w:spacing w:line="240" w:lineRule="auto" w:before="190" w:after="0"/>
        <w:ind w:left="1600" w:right="3312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Should any element of friction emerge during the rule adoption process,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Clearstream will take all the necessary steps to ensure its clients will be able </w:t>
      </w:r>
      <w:r>
        <w:tab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to comply.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------------------------------------------</w:t>
      </w:r>
    </w:p>
    <w:p>
      <w:pPr>
        <w:autoSpaceDN w:val="0"/>
        <w:autoSpaceDE w:val="0"/>
        <w:widowControl/>
        <w:spacing w:line="245" w:lineRule="auto" w:before="190" w:after="0"/>
        <w:ind w:left="1550" w:right="403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1. 89 Fed. Reg. 2714 (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7" w:history="1">
          <w:r>
            <w:rPr>
              <w:rStyle w:val="Hyperlink"/>
            </w:rPr>
            <w:t>https://www.govinfo.gov/content/pkg/FR-2024-01-</w:t>
          </w:r>
        </w:hyperlink>
      </w:r>
      <w:r>
        <w:br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7" w:history="1">
          <w:r>
            <w:rPr>
              <w:rStyle w:val="Hyperlink"/>
            </w:rPr>
            <w:t>16/pdf/2023-27860.pdf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).</w:t>
      </w:r>
    </w:p>
    <w:p>
      <w:pPr>
        <w:autoSpaceDN w:val="0"/>
        <w:autoSpaceDE w:val="0"/>
        <w:widowControl/>
        <w:spacing w:line="245" w:lineRule="auto" w:before="190" w:after="0"/>
        <w:ind w:left="1550" w:right="403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2.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8" w:history="1">
          <w:r>
            <w:rPr>
              <w:rStyle w:val="Hyperlink"/>
            </w:rPr>
            <w:t>https://www.sec.gov/rules-regulations/self-regulatory-organization-</w:t>
          </w:r>
        </w:hyperlink>
      </w:r>
      <w:r>
        <w:br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8" w:history="1">
          <w:r>
            <w:rPr>
              <w:rStyle w:val="Hyperlink"/>
            </w:rPr>
            <w:t>rulemaking/ficc?</w:t>
          </w:r>
        </w:hyperlink>
      </w:r>
    </w:p>
    <w:p>
      <w:pPr>
        <w:autoSpaceDN w:val="0"/>
        <w:autoSpaceDE w:val="0"/>
        <w:widowControl/>
        <w:spacing w:line="154" w:lineRule="auto" w:before="7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8" w:history="1">
          <w:r>
            <w:rPr>
              <w:rStyle w:val="Hyperlink"/>
            </w:rPr>
            <w:t>field_display_title_value=Approv&amp;release_number=&amp;file_number=&amp;year=All&amp;month=All</w:t>
          </w:r>
        </w:hyperlink>
      </w:r>
    </w:p>
    <w:p>
      <w:pPr>
        <w:autoSpaceDN w:val="0"/>
        <w:autoSpaceDE w:val="0"/>
        <w:widowControl/>
        <w:spacing w:line="245" w:lineRule="auto" w:before="190" w:after="0"/>
        <w:ind w:left="1550" w:right="3312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3. In June 2024, ICE announced its intention to launch a UST clearing service via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ICE Clear Credit LLC, its existing registered clearing agency </w:t>
      </w:r>
      <w:r>
        <w:br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(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9" w:history="1">
          <w:r>
            <w:rPr>
              <w:rStyle w:val="Hyperlink"/>
            </w:rPr>
            <w:t>https://ir.theice.com/press/news-details/2024/ICE-to-Launch-Treasury-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9" w:history="1">
          <w:r>
            <w:rPr>
              <w:rStyle w:val="Hyperlink"/>
            </w:rPr>
            <w:t>Clearing-Service-to-Increase-Transparency-and-Enhance-Resilience-in-the-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19" w:history="1">
          <w:r>
            <w:rPr>
              <w:rStyle w:val="Hyperlink"/>
            </w:rPr>
            <w:t>U.S.-Treasury-Market/default.aspx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). In December 2024, CME Securities </w:t>
      </w:r>
      <w:r>
        <w:br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Clearing, Inc. filed an application to register with the SEC as a clearing agency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for UST transactions (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20" w:history="1">
          <w:r>
            <w:rPr>
              <w:rStyle w:val="Hyperlink"/>
            </w:rPr>
            <w:t>https://www.sec.gov/files/rules/other/2025/34-</w:t>
          </w:r>
        </w:hyperlink>
      </w:r>
      <w:r>
        <w:br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20" w:history="1">
          <w:r>
            <w:rPr>
              <w:rStyle w:val="Hyperlink"/>
            </w:rPr>
            <w:t>102200.pdf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).</w:t>
      </w:r>
    </w:p>
    <w:p>
      <w:pPr>
        <w:autoSpaceDN w:val="0"/>
        <w:autoSpaceDE w:val="0"/>
        <w:widowControl/>
        <w:spacing w:line="245" w:lineRule="auto" w:before="190" w:after="0"/>
        <w:ind w:left="1550" w:right="4608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4. SEC Release No. 34-102486 </w:t>
      </w:r>
      <w:r>
        <w:br/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(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21" w:history="1">
          <w:r>
            <w:rPr>
              <w:rStyle w:val="Hyperlink"/>
            </w:rPr>
            <w:t>https://www.sec.gov/files/rules/exorders/2025/34-102486.pdf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).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5. 89 Fed. Reg. 2714 at 2714.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6. 89 Fed. Reg. 2714 at 2790.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7. 89 Fed. Reg. 2714 at 2829.</w:t>
      </w:r>
    </w:p>
    <w:p>
      <w:pPr>
        <w:autoSpaceDN w:val="0"/>
        <w:autoSpaceDE w:val="0"/>
        <w:widowControl/>
        <w:spacing w:line="245" w:lineRule="auto" w:before="190" w:after="0"/>
        <w:ind w:left="1550" w:right="3456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 xml:space="preserve">8. </w:t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22" w:history="1">
          <w:r>
            <w:rPr>
              <w:rStyle w:val="Hyperlink"/>
            </w:rPr>
            <w:t xml:space="preserve">Standards for Covered Clearing Agencies for US Treasury Securities and 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22" w:history="1">
          <w:r>
            <w:rPr>
              <w:rStyle w:val="Hyperlink"/>
            </w:rPr>
            <w:t xml:space="preserve">Application of the Broker-Dealer Customer Protection Rule with Respect to US 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hyperlink r:id="rId22" w:history="1">
          <w:r>
            <w:rPr>
              <w:rStyle w:val="Hyperlink"/>
            </w:rPr>
            <w:t>Treasury Securities (Joint Trades)</w:t>
          </w:r>
        </w:hyperlink>
      </w: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9. 89 Fed. Reg. 2714 at 2717.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10. 89 Fed. Reg. 2714 at 2829.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11. 89 Fed. Reg. 2714 at 2740.</w:t>
      </w:r>
    </w:p>
    <w:p>
      <w:pPr>
        <w:autoSpaceDN w:val="0"/>
        <w:autoSpaceDE w:val="0"/>
        <w:widowControl/>
        <w:spacing w:line="154" w:lineRule="auto" w:before="190" w:after="0"/>
        <w:ind w:left="1550" w:right="0" w:firstLine="0"/>
        <w:jc w:val="left"/>
      </w:pPr>
      <w:r>
        <w:rPr>
          <w:rFonts w:ascii="Dslxzhcyaqntakpxtvoiphqoxfk" w:hAnsi="Dslxzhcyaqntakpxtvoiphqoxfk" w:eastAsia="Dslxzhcyaqntakpxtvoiphqoxfk"/>
          <w:b w:val="0"/>
          <w:i w:val="0"/>
          <w:color w:val="666666"/>
          <w:sz w:val="17"/>
        </w:rPr>
        <w:t>12. 89 Fed. Reg. 2714 at 2740.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206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>https://www.clearstream.com/clearstream-en/securities-services/market-coverage/americas/united-states-of-america/faqs-clearing-mandate-for-u-…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4/5</w:t>
      </w:r>
    </w:p>
    <w:p>
      <w:pPr>
        <w:sectPr>
          <w:pgSz w:w="11899" w:h="16838"/>
          <w:pgMar w:top="154" w:right="456" w:bottom="14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703"/>
        <w:gridCol w:w="3703"/>
        <w:gridCol w:w="3703"/>
      </w:tblGrid>
      <w:tr>
        <w:trPr>
          <w:trHeight w:hRule="exact" w:val="811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06/05/2025, 17:47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4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FAQs – Clearing mandate for U.S. Treasury securities – U.S.A.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0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5/5</w:t>
            </w:r>
          </w:p>
        </w:tc>
      </w:tr>
      <w:tr>
        <w:trPr>
          <w:trHeight w:hRule="exact" w:val="8108"/>
        </w:trPr>
        <w:tc>
          <w:tcPr>
            <w:tcW w:type="dxa" w:w="10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95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https://www.clearstream.com/clearstream-en/securities-services/market-coverage/americas/united-states-of-america/faqs-clearing-mandate-for-u-…</w:t>
            </w:r>
          </w:p>
        </w:tc>
        <w:tc>
          <w:tcPr>
            <w:tcW w:type="dxa" w:w="370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154" w:right="310" w:bottom="146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clearstream.com/clearstream-en" TargetMode="External"/><Relationship Id="rId11" Type="http://schemas.openxmlformats.org/officeDocument/2006/relationships/hyperlink" Target="https://www.clearstream.com/clearstream-en/securities-services" TargetMode="External"/><Relationship Id="rId12" Type="http://schemas.openxmlformats.org/officeDocument/2006/relationships/hyperlink" Target="https://www.clearstream.com/clearstream-en/securities-services/market-coverage" TargetMode="External"/><Relationship Id="rId13" Type="http://schemas.openxmlformats.org/officeDocument/2006/relationships/hyperlink" Target="https://www.clearstream.com/clearstream-en/securities-services/market-coverage/americas" TargetMode="External"/><Relationship Id="rId14" Type="http://schemas.openxmlformats.org/officeDocument/2006/relationships/hyperlink" Target="https://www.clearstream.com/clearstream-en/securities-services/market-coverage/americas/united-states-of-america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www.govinfo.gov/content/pkg/FR-2024-01-16/pdf/2023-27860.pdf" TargetMode="External"/><Relationship Id="rId18" Type="http://schemas.openxmlformats.org/officeDocument/2006/relationships/hyperlink" Target="https://www.sec.gov/rules-regulations/self-regulatory-organization-rulemaking/ficc?field_display_title_value=Approv&amp;release_number=&amp;file_number=&amp;year=All&amp;month=All" TargetMode="External"/><Relationship Id="rId19" Type="http://schemas.openxmlformats.org/officeDocument/2006/relationships/hyperlink" Target="https://ir.theice.com/press/news-details/2024/ICE-to-Launch-Treasury-Clearing-Service-to-Increase-Transparency-and-Enhance-Resilience-in-the-U.S.-Treasury-Market/default.aspx" TargetMode="External"/><Relationship Id="rId20" Type="http://schemas.openxmlformats.org/officeDocument/2006/relationships/hyperlink" Target="https://www.sec.gov/files/rules/other/2025/34-102200.pdf" TargetMode="External"/><Relationship Id="rId21" Type="http://schemas.openxmlformats.org/officeDocument/2006/relationships/hyperlink" Target="https://www.sec.gov/files/rules/exorders/2025/34-102486.pdf" TargetMode="External"/><Relationship Id="rId22" Type="http://schemas.openxmlformats.org/officeDocument/2006/relationships/hyperlink" Target="https://www.sifma.org/resources/submissions/letters/standards-for-covered-clearing-agencies-for-us-treasury-securities-and-application-of-the-broker-dealer-customer-protection-rule-with-respect-to-us-treasury-securities-joint-trad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