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PRODUCT OVERVIEW</w:t>
      </w:r>
    </w:p>
    <w:p>
      <w:pPr>
        <w:pStyle w:val="Title"/>
      </w:pPr>
      <w:r>
        <w:t>STOBG Design System Lab</w:t>
      </w:r>
    </w:p>
    <w:p>
      <w:pPr>
        <w:pStyle w:val="Subtitle"/>
      </w:pPr>
      <w:r>
        <w:t>Product overview and strategic rationale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6768"/>
      </w:tblGrid>
      <w:tr>
        <w:tc>
          <w:tcPr>
            <w:tcW w:type="dxa" w:w="4997"/>
            <w:vAlign w:val="center"/>
            <w:shd w:fill="004B76"/>
          </w:tcPr>
          <w:p>
            <w:pPr>
              <w:spacing w:after="0"/>
            </w:pPr>
            <w:r/>
            <w:r>
              <w:rPr>
                <w:rFonts w:ascii="Aptos" w:hAnsi="Aptos"/>
                <w:b/>
                <w:color w:val="FFFFFF"/>
                <w:sz w:val="18"/>
              </w:rPr>
              <w:t>STOBG DIGITAL SYSTEMS</w:t>
            </w:r>
          </w:p>
        </w:tc>
        <w:tc>
          <w:tcPr>
            <w:tcW w:type="dxa" w:w="4997"/>
            <w:vAlign w:val="center"/>
            <w:shd w:fill="F3F7F9"/>
          </w:tcPr>
          <w:p>
            <w:pPr>
              <w:spacing w:after="0"/>
            </w:pPr>
            <w:r/>
            <w:r>
              <w:rPr>
                <w:rFonts w:ascii="Aptos" w:hAnsi="Aptos"/>
                <w:b w:val="0"/>
                <w:color w:val="1E2A32"/>
                <w:sz w:val="18"/>
              </w:rPr>
              <w:t>Design System Lab  |  Internal product planning</w:t>
            </w:r>
          </w:p>
        </w:tc>
      </w:tr>
    </w:tbl>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02"/>
        <w:gridCol w:w="9432"/>
      </w:tblGrid>
      <w:tr>
        <w:tc>
          <w:tcPr>
            <w:tcW w:type="dxa" w:w="4997"/>
            <w:shd w:fill="004B76"/>
          </w:tcPr>
          <w:p/>
        </w:tc>
        <w:tc>
          <w:tcPr>
            <w:tcW w:type="dxa" w:w="4997"/>
            <w:shd w:fill="F3F7F9"/>
            <w:tcMar>
              <w:top w:w="140" w:type="dxa"/>
              <w:start w:w="180" w:type="dxa"/>
              <w:bottom w:w="140" w:type="dxa"/>
              <w:end w:w="180" w:type="dxa"/>
            </w:tcMar>
          </w:tcPr>
          <w:p>
            <w:r/>
            <w:r>
              <w:rPr>
                <w:rFonts w:ascii="Aptos" w:hAnsi="Aptos"/>
                <w:b/>
                <w:color w:val="004B76"/>
                <w:sz w:val="22"/>
              </w:rPr>
              <w:t>Executive summary</w:t>
              <w:br/>
            </w:r>
            <w:r>
              <w:rPr>
                <w:rFonts w:ascii="Aptos" w:hAnsi="Aptos"/>
                <w:color w:val="1E2A32"/>
                <w:sz w:val="20"/>
              </w:rPr>
              <w:t>The STOBG Design System Lab is an internal application for exploring, validating, and governing color token changes before production implementation. It connects design intent, semantic token logic, realistic website previews, accessibility analysis, and implementation-ready exports in one controlled environment.</w:t>
            </w:r>
          </w:p>
        </w:tc>
      </w:tr>
    </w:tbl>
    <w:p>
      <w:pPr>
        <w:spacing w:after="0"/>
      </w:pPr>
    </w:p>
    <w:p>
      <w:pPr>
        <w:pStyle w:val="Heading1"/>
      </w:pPr>
      <w:r>
        <w:t>Why this product matters</w:t>
      </w:r>
    </w:p>
    <w:p>
      <w:r>
        <w:t>STOBG manages multiple website experiences that need to remain visually consistent, accessible, and maintainable. Color decisions become difficult to govern when they exist across design files, CSS, site templates, and business-unit implementations. The Lab creates a shared decision environment where a proposed mapping can be understood before it becomes production code.</w:t>
      </w:r>
    </w:p>
    <w:p>
      <w:pPr>
        <w:pStyle w:val="ListBullet"/>
      </w:pPr>
      <w:r>
        <w:t>Reduces ambiguity between design and development.</w:t>
      </w:r>
    </w:p>
    <w:p>
      <w:pPr>
        <w:pStyle w:val="ListBullet"/>
      </w:pPr>
      <w:r>
        <w:t>Makes token relationships and component dependencies visible.</w:t>
      </w:r>
    </w:p>
    <w:p>
      <w:pPr>
        <w:pStyle w:val="ListBullet"/>
      </w:pPr>
      <w:r>
        <w:t>Allows safe experimentation without editing production CSS.</w:t>
      </w:r>
    </w:p>
    <w:p>
      <w:pPr>
        <w:pStyle w:val="ListBullet"/>
      </w:pPr>
      <w:r>
        <w:t>Surfaces accessibility effects at the moment a change is proposed.</w:t>
      </w:r>
    </w:p>
    <w:p>
      <w:pPr>
        <w:pStyle w:val="ListBullet"/>
      </w:pPr>
      <w:r>
        <w:t>Produces consistent JSON and CSS artifacts for implementation.</w:t>
      </w:r>
    </w:p>
    <w:p>
      <w:pPr>
        <w:pStyle w:val="ListBullet"/>
      </w:pPr>
      <w:r>
        <w:t>Creates a documented path from experimentation to governance.</w:t>
      </w:r>
    </w:p>
    <w:p>
      <w:pPr>
        <w:pStyle w:val="Heading1"/>
      </w:pPr>
      <w:r>
        <w:t>Product position</w:t>
      </w:r>
    </w:p>
    <w:tbl>
      <w:tblPr>
        <w:tblStyle w:val="TableGrid"/>
        <w:tblW w:type="auto" w:w="0"/>
        <w:jc w:val="left"/>
        <w:tblLayout w:type="fixed"/>
        <w:tblLook w:firstColumn="1" w:firstRow="1" w:lastColumn="0" w:lastRow="0" w:noHBand="0" w:noVBand="1" w:val="04A0"/>
      </w:tblPr>
      <w:tblGrid>
        <w:gridCol w:w="2376"/>
        <w:gridCol w:w="7200"/>
      </w:tblGrid>
      <w:tr>
        <w:trPr>
          <w:cantSplit/>
        </w:trPr>
        <w:tc>
          <w:tcPr>
            <w:tcW w:type="dxa" w:w="4997"/>
            <w:vAlign w:val="center"/>
            <w:shd w:fill="004B76"/>
            <w:tcMar>
              <w:top w:w="100" w:type="dxa"/>
              <w:start w:w="110" w:type="dxa"/>
              <w:bottom w:w="100" w:type="dxa"/>
              <w:end w:w="110" w:type="dxa"/>
            </w:tcMar>
          </w:tcPr>
          <w:p>
            <w:pPr>
              <w:spacing w:after="0"/>
            </w:pPr>
            <w:r/>
            <w:r>
              <w:rPr>
                <w:rFonts w:ascii="Aptos" w:hAnsi="Aptos"/>
                <w:b/>
                <w:color w:val="FFFFFF"/>
                <w:sz w:val="18"/>
              </w:rPr>
              <w:t>Layer</w:t>
            </w:r>
          </w:p>
        </w:tc>
        <w:tc>
          <w:tcPr>
            <w:tcW w:type="dxa" w:w="4997"/>
            <w:vAlign w:val="center"/>
            <w:shd w:fill="004B76"/>
            <w:tcMar>
              <w:top w:w="100" w:type="dxa"/>
              <w:start w:w="110" w:type="dxa"/>
              <w:bottom w:w="100" w:type="dxa"/>
              <w:end w:w="110" w:type="dxa"/>
            </w:tcMar>
          </w:tcPr>
          <w:p>
            <w:pPr>
              <w:spacing w:after="0"/>
            </w:pPr>
            <w:r/>
            <w:r>
              <w:rPr>
                <w:rFonts w:ascii="Aptos" w:hAnsi="Aptos"/>
                <w:b/>
                <w:color w:val="FFFFFF"/>
                <w:sz w:val="18"/>
              </w:rPr>
              <w:t>Role in the workflow</w:t>
            </w:r>
          </w:p>
        </w:tc>
      </w:tr>
      <w:tr>
        <w:trPr>
          <w:cantSplit/>
        </w:trPr>
        <w:tc>
          <w:tcPr>
            <w:tcW w:type="dxa" w:w="2376"/>
            <w:vAlign w:val="center"/>
            <w:shd w:fill="FFFFFF"/>
            <w:tcMar>
              <w:top w:w="95" w:type="dxa"/>
              <w:start w:w="110" w:type="dxa"/>
              <w:bottom w:w="95" w:type="dxa"/>
              <w:end w:w="110" w:type="dxa"/>
            </w:tcMar>
          </w:tcPr>
          <w:p>
            <w:pPr>
              <w:spacing w:after="0"/>
            </w:pPr>
            <w:r/>
            <w:r>
              <w:rPr>
                <w:rFonts w:ascii="Aptos" w:hAnsi="Aptos"/>
                <w:b w:val="0"/>
                <w:color w:val="1E2A32"/>
                <w:sz w:val="18"/>
              </w:rPr>
              <w:t>Figma</w:t>
            </w:r>
          </w:p>
        </w:tc>
        <w:tc>
          <w:tcPr>
            <w:tcW w:type="dxa" w:w="7200"/>
            <w:vAlign w:val="center"/>
            <w:shd w:fill="FFFFFF"/>
            <w:tcMar>
              <w:top w:w="95" w:type="dxa"/>
              <w:start w:w="110" w:type="dxa"/>
              <w:bottom w:w="95" w:type="dxa"/>
              <w:end w:w="110" w:type="dxa"/>
            </w:tcMar>
          </w:tcPr>
          <w:p>
            <w:pPr>
              <w:spacing w:after="0"/>
            </w:pPr>
            <w:r/>
            <w:r>
              <w:rPr>
                <w:rFonts w:ascii="Aptos" w:hAnsi="Aptos"/>
                <w:b w:val="0"/>
                <w:color w:val="1E2A32"/>
                <w:sz w:val="18"/>
              </w:rPr>
              <w:t>Defines visual intent, component design, and brand exploration.</w:t>
            </w:r>
          </w:p>
        </w:tc>
      </w:tr>
      <w:tr>
        <w:trPr>
          <w:cantSplit/>
        </w:trPr>
        <w:tc>
          <w:tcPr>
            <w:tcW w:type="dxa" w:w="2376"/>
            <w:vAlign w:val="center"/>
            <w:shd w:fill="F3F7F9"/>
            <w:tcMar>
              <w:top w:w="95" w:type="dxa"/>
              <w:start w:w="110" w:type="dxa"/>
              <w:bottom w:w="95" w:type="dxa"/>
              <w:end w:w="110" w:type="dxa"/>
            </w:tcMar>
          </w:tcPr>
          <w:p>
            <w:pPr>
              <w:spacing w:after="0"/>
            </w:pPr>
            <w:r/>
            <w:r>
              <w:rPr>
                <w:rFonts w:ascii="Aptos" w:hAnsi="Aptos"/>
                <w:b w:val="0"/>
                <w:color w:val="1E2A32"/>
                <w:sz w:val="18"/>
              </w:rPr>
              <w:t>Design System Lab</w:t>
            </w:r>
          </w:p>
        </w:tc>
        <w:tc>
          <w:tcPr>
            <w:tcW w:type="dxa" w:w="7200"/>
            <w:vAlign w:val="center"/>
            <w:shd w:fill="F3F7F9"/>
            <w:tcMar>
              <w:top w:w="95" w:type="dxa"/>
              <w:start w:w="110" w:type="dxa"/>
              <w:bottom w:w="95" w:type="dxa"/>
              <w:end w:w="110" w:type="dxa"/>
            </w:tcMar>
          </w:tcPr>
          <w:p>
            <w:pPr>
              <w:spacing w:after="0"/>
            </w:pPr>
            <w:r/>
            <w:r>
              <w:rPr>
                <w:rFonts w:ascii="Aptos" w:hAnsi="Aptos"/>
                <w:b w:val="0"/>
                <w:color w:val="1E2A32"/>
                <w:sz w:val="18"/>
              </w:rPr>
              <w:t>Validates token mappings against realistic interfaces, dependencies, and accessibility requirements.</w:t>
            </w:r>
          </w:p>
        </w:tc>
      </w:tr>
      <w:tr>
        <w:trPr>
          <w:cantSplit/>
        </w:trPr>
        <w:tc>
          <w:tcPr>
            <w:tcW w:type="dxa" w:w="2376"/>
            <w:vAlign w:val="center"/>
            <w:shd w:fill="FFFFFF"/>
            <w:tcMar>
              <w:top w:w="95" w:type="dxa"/>
              <w:start w:w="110" w:type="dxa"/>
              <w:bottom w:w="95" w:type="dxa"/>
              <w:end w:w="110" w:type="dxa"/>
            </w:tcMar>
          </w:tcPr>
          <w:p>
            <w:pPr>
              <w:spacing w:after="0"/>
            </w:pPr>
            <w:r/>
            <w:r>
              <w:rPr>
                <w:rFonts w:ascii="Aptos" w:hAnsi="Aptos"/>
                <w:b w:val="0"/>
                <w:color w:val="1E2A32"/>
                <w:sz w:val="18"/>
              </w:rPr>
              <w:t>Production websites</w:t>
            </w:r>
          </w:p>
        </w:tc>
        <w:tc>
          <w:tcPr>
            <w:tcW w:type="dxa" w:w="7200"/>
            <w:vAlign w:val="center"/>
            <w:shd w:fill="FFFFFF"/>
            <w:tcMar>
              <w:top w:w="95" w:type="dxa"/>
              <w:start w:w="110" w:type="dxa"/>
              <w:bottom w:w="95" w:type="dxa"/>
              <w:end w:w="110" w:type="dxa"/>
            </w:tcMar>
          </w:tcPr>
          <w:p>
            <w:pPr>
              <w:spacing w:after="0"/>
            </w:pPr>
            <w:r/>
            <w:r>
              <w:rPr>
                <w:rFonts w:ascii="Aptos" w:hAnsi="Aptos"/>
                <w:b w:val="0"/>
                <w:color w:val="1E2A32"/>
                <w:sz w:val="18"/>
              </w:rPr>
              <w:t>Consume approved, reviewed, and versioned token output.</w:t>
            </w:r>
          </w:p>
        </w:tc>
      </w:tr>
    </w:tbl>
    <w:p>
      <w:pPr>
        <w:spacing w:after="0"/>
      </w:pPr>
    </w:p>
    <w:p>
      <w:pPr>
        <w:pStyle w:val="Heading1"/>
      </w:pPr>
      <w:r>
        <w:t>Core product capabilities</w:t>
      </w:r>
    </w:p>
    <w:p>
      <w:pPr>
        <w:pStyle w:val="Heading2"/>
      </w:pPr>
      <w:r>
        <w:t>Token engine</w:t>
      </w:r>
    </w:p>
    <w:p>
      <w:r>
        <w:t>Maintains immutable official mappings and editable working mappings, then resolves semantic tokens to primitive values.</w:t>
      </w:r>
    </w:p>
    <w:p>
      <w:pPr>
        <w:pStyle w:val="Heading2"/>
      </w:pPr>
      <w:r>
        <w:t>Realistic previews</w:t>
      </w:r>
    </w:p>
    <w:p>
      <w:r>
        <w:t>Applies working mappings to representative STOBG marketing experiences such as homepages, project pages, careers content, and forms.</w:t>
      </w:r>
    </w:p>
    <w:p>
      <w:pPr>
        <w:pStyle w:val="Heading2"/>
      </w:pPr>
      <w:r>
        <w:t>Inspector and dependency analysis</w:t>
      </w:r>
    </w:p>
    <w:p>
      <w:r>
        <w:t>Traces a selected component through semantic token, primitive token, and resolved color while showing every affected component.</w:t>
      </w:r>
    </w:p>
    <w:p>
      <w:pPr>
        <w:pStyle w:val="Heading2"/>
      </w:pPr>
      <w:r>
        <w:t>Accessibility analysis</w:t>
      </w:r>
    </w:p>
    <w:p>
      <w:r>
        <w:t>Recalculates contrast results when mappings change and links failures to the responsible tokens and components.</w:t>
      </w:r>
    </w:p>
    <w:p>
      <w:pPr>
        <w:pStyle w:val="Heading2"/>
      </w:pPr>
      <w:r>
        <w:t>Comparison and history</w:t>
      </w:r>
    </w:p>
    <w:p>
      <w:r>
        <w:t>Supports side-by-side impact review, undo, reset, snapshots, and clear mapping differences.</w:t>
      </w:r>
    </w:p>
    <w:p>
      <w:pPr>
        <w:pStyle w:val="Heading2"/>
      </w:pPr>
      <w:r>
        <w:t>Export</w:t>
      </w:r>
    </w:p>
    <w:p>
      <w:r>
        <w:t>Generates validated JSON and CSS outputs for implementation, copying, or download.</w:t>
      </w:r>
    </w:p>
    <w:p>
      <w:r>
        <w:br w:type="page"/>
      </w:r>
    </w:p>
    <w:p>
      <w:pPr>
        <w:pStyle w:val="Heading1"/>
      </w:pPr>
      <w:r>
        <w:t>Primary users</w:t>
      </w:r>
    </w:p>
    <w:tbl>
      <w:tblPr>
        <w:tblStyle w:val="TableGrid"/>
        <w:tblW w:type="auto" w:w="0"/>
        <w:jc w:val="left"/>
        <w:tblLayout w:type="fixed"/>
        <w:tblLook w:firstColumn="1" w:firstRow="1" w:lastColumn="0" w:lastRow="0" w:noHBand="0" w:noVBand="1" w:val="04A0"/>
      </w:tblPr>
      <w:tblGrid>
        <w:gridCol w:w="2088"/>
        <w:gridCol w:w="3960"/>
        <w:gridCol w:w="3528"/>
      </w:tblGrid>
      <w:tr>
        <w:trPr>
          <w:cantSplit/>
        </w:trPr>
        <w:tc>
          <w:tcPr>
            <w:tcW w:type="dxa" w:w="3331"/>
            <w:vAlign w:val="center"/>
            <w:shd w:fill="004B76"/>
            <w:tcMar>
              <w:top w:w="100" w:type="dxa"/>
              <w:start w:w="110" w:type="dxa"/>
              <w:bottom w:w="100" w:type="dxa"/>
              <w:end w:w="110" w:type="dxa"/>
            </w:tcMar>
          </w:tcPr>
          <w:p>
            <w:pPr>
              <w:spacing w:after="0"/>
            </w:pPr>
            <w:r/>
            <w:r>
              <w:rPr>
                <w:rFonts w:ascii="Aptos" w:hAnsi="Aptos"/>
                <w:b/>
                <w:color w:val="FFFFFF"/>
                <w:sz w:val="18"/>
              </w:rPr>
              <w:t>User</w:t>
            </w:r>
          </w:p>
        </w:tc>
        <w:tc>
          <w:tcPr>
            <w:tcW w:type="dxa" w:w="3331"/>
            <w:vAlign w:val="center"/>
            <w:shd w:fill="004B76"/>
            <w:tcMar>
              <w:top w:w="100" w:type="dxa"/>
              <w:start w:w="110" w:type="dxa"/>
              <w:bottom w:w="100" w:type="dxa"/>
              <w:end w:w="110" w:type="dxa"/>
            </w:tcMar>
          </w:tcPr>
          <w:p>
            <w:pPr>
              <w:spacing w:after="0"/>
            </w:pPr>
            <w:r/>
            <w:r>
              <w:rPr>
                <w:rFonts w:ascii="Aptos" w:hAnsi="Aptos"/>
                <w:b/>
                <w:color w:val="FFFFFF"/>
                <w:sz w:val="18"/>
              </w:rPr>
              <w:t>What they need</w:t>
            </w:r>
          </w:p>
        </w:tc>
        <w:tc>
          <w:tcPr>
            <w:tcW w:type="dxa" w:w="3331"/>
            <w:vAlign w:val="center"/>
            <w:shd w:fill="004B76"/>
            <w:tcMar>
              <w:top w:w="100" w:type="dxa"/>
              <w:start w:w="110" w:type="dxa"/>
              <w:bottom w:w="100" w:type="dxa"/>
              <w:end w:w="110" w:type="dxa"/>
            </w:tcMar>
          </w:tcPr>
          <w:p>
            <w:pPr>
              <w:spacing w:after="0"/>
            </w:pPr>
            <w:r/>
            <w:r>
              <w:rPr>
                <w:rFonts w:ascii="Aptos" w:hAnsi="Aptos"/>
                <w:b/>
                <w:color w:val="FFFFFF"/>
                <w:sz w:val="18"/>
              </w:rPr>
              <w:t>Successful outcome</w:t>
            </w:r>
          </w:p>
        </w:tc>
      </w:tr>
      <w:tr>
        <w:trPr>
          <w:cantSplit/>
        </w:trPr>
        <w:tc>
          <w:tcPr>
            <w:tcW w:type="dxa" w:w="2088"/>
            <w:vAlign w:val="center"/>
            <w:shd w:fill="FFFFFF"/>
            <w:tcMar>
              <w:top w:w="95" w:type="dxa"/>
              <w:start w:w="110" w:type="dxa"/>
              <w:bottom w:w="95" w:type="dxa"/>
              <w:end w:w="110" w:type="dxa"/>
            </w:tcMar>
          </w:tcPr>
          <w:p>
            <w:pPr>
              <w:spacing w:after="0"/>
            </w:pPr>
            <w:r/>
            <w:r>
              <w:rPr>
                <w:rFonts w:ascii="Aptos" w:hAnsi="Aptos"/>
                <w:b w:val="0"/>
                <w:color w:val="1E2A32"/>
                <w:sz w:val="18"/>
              </w:rPr>
              <w:t>Design system owner</w:t>
            </w:r>
          </w:p>
        </w:tc>
        <w:tc>
          <w:tcPr>
            <w:tcW w:type="dxa" w:w="3960"/>
            <w:vAlign w:val="center"/>
            <w:shd w:fill="FFFFFF"/>
            <w:tcMar>
              <w:top w:w="95" w:type="dxa"/>
              <w:start w:w="110" w:type="dxa"/>
              <w:bottom w:w="95" w:type="dxa"/>
              <w:end w:w="110" w:type="dxa"/>
            </w:tcMar>
          </w:tcPr>
          <w:p>
            <w:pPr>
              <w:spacing w:after="0"/>
            </w:pPr>
            <w:r/>
            <w:r>
              <w:rPr>
                <w:rFonts w:ascii="Aptos" w:hAnsi="Aptos"/>
                <w:b w:val="0"/>
                <w:color w:val="1E2A32"/>
                <w:sz w:val="18"/>
              </w:rPr>
              <w:t>Govern mappings, review impact, approve candidates, and maintain known official state.</w:t>
            </w:r>
          </w:p>
        </w:tc>
        <w:tc>
          <w:tcPr>
            <w:tcW w:type="dxa" w:w="3528"/>
            <w:vAlign w:val="center"/>
            <w:shd w:fill="FFFFFF"/>
            <w:tcMar>
              <w:top w:w="95" w:type="dxa"/>
              <w:start w:w="110" w:type="dxa"/>
              <w:bottom w:w="95" w:type="dxa"/>
              <w:end w:w="110" w:type="dxa"/>
            </w:tcMar>
          </w:tcPr>
          <w:p>
            <w:pPr>
              <w:spacing w:after="0"/>
            </w:pPr>
            <w:r/>
            <w:r>
              <w:rPr>
                <w:rFonts w:ascii="Aptos" w:hAnsi="Aptos"/>
                <w:b w:val="0"/>
                <w:color w:val="1E2A32"/>
                <w:sz w:val="18"/>
              </w:rPr>
              <w:t>Changes are understandable, reviewable, and reproducible.</w:t>
            </w:r>
          </w:p>
        </w:tc>
      </w:tr>
      <w:tr>
        <w:trPr>
          <w:cantSplit/>
        </w:trPr>
        <w:tc>
          <w:tcPr>
            <w:tcW w:type="dxa" w:w="2088"/>
            <w:vAlign w:val="center"/>
            <w:shd w:fill="F3F7F9"/>
            <w:tcMar>
              <w:top w:w="95" w:type="dxa"/>
              <w:start w:w="110" w:type="dxa"/>
              <w:bottom w:w="95" w:type="dxa"/>
              <w:end w:w="110" w:type="dxa"/>
            </w:tcMar>
          </w:tcPr>
          <w:p>
            <w:pPr>
              <w:spacing w:after="0"/>
            </w:pPr>
            <w:r/>
            <w:r>
              <w:rPr>
                <w:rFonts w:ascii="Aptos" w:hAnsi="Aptos"/>
                <w:b w:val="0"/>
                <w:color w:val="1E2A32"/>
                <w:sz w:val="18"/>
              </w:rPr>
              <w:t>UX designer</w:t>
            </w:r>
          </w:p>
        </w:tc>
        <w:tc>
          <w:tcPr>
            <w:tcW w:type="dxa" w:w="3960"/>
            <w:vAlign w:val="center"/>
            <w:shd w:fill="F3F7F9"/>
            <w:tcMar>
              <w:top w:w="95" w:type="dxa"/>
              <w:start w:w="110" w:type="dxa"/>
              <w:bottom w:w="95" w:type="dxa"/>
              <w:end w:w="110" w:type="dxa"/>
            </w:tcMar>
          </w:tcPr>
          <w:p>
            <w:pPr>
              <w:spacing w:after="0"/>
            </w:pPr>
            <w:r/>
            <w:r>
              <w:rPr>
                <w:rFonts w:ascii="Aptos" w:hAnsi="Aptos"/>
                <w:b w:val="0"/>
                <w:color w:val="1E2A32"/>
                <w:sz w:val="18"/>
              </w:rPr>
              <w:t>Explore visual directions quickly across realistic page contexts.</w:t>
            </w:r>
          </w:p>
        </w:tc>
        <w:tc>
          <w:tcPr>
            <w:tcW w:type="dxa" w:w="3528"/>
            <w:vAlign w:val="center"/>
            <w:shd w:fill="F3F7F9"/>
            <w:tcMar>
              <w:top w:w="95" w:type="dxa"/>
              <w:start w:w="110" w:type="dxa"/>
              <w:bottom w:w="95" w:type="dxa"/>
              <w:end w:w="110" w:type="dxa"/>
            </w:tcMar>
          </w:tcPr>
          <w:p>
            <w:pPr>
              <w:spacing w:after="0"/>
            </w:pPr>
            <w:r/>
            <w:r>
              <w:rPr>
                <w:rFonts w:ascii="Aptos" w:hAnsi="Aptos"/>
                <w:b w:val="0"/>
                <w:color w:val="1E2A32"/>
                <w:sz w:val="18"/>
              </w:rPr>
              <w:t>Design decisions can be evaluated without production risk.</w:t>
            </w:r>
          </w:p>
        </w:tc>
      </w:tr>
      <w:tr>
        <w:trPr>
          <w:cantSplit/>
        </w:trPr>
        <w:tc>
          <w:tcPr>
            <w:tcW w:type="dxa" w:w="2088"/>
            <w:vAlign w:val="center"/>
            <w:shd w:fill="FFFFFF"/>
            <w:tcMar>
              <w:top w:w="95" w:type="dxa"/>
              <w:start w:w="110" w:type="dxa"/>
              <w:bottom w:w="95" w:type="dxa"/>
              <w:end w:w="110" w:type="dxa"/>
            </w:tcMar>
          </w:tcPr>
          <w:p>
            <w:pPr>
              <w:spacing w:after="0"/>
            </w:pPr>
            <w:r/>
            <w:r>
              <w:rPr>
                <w:rFonts w:ascii="Aptos" w:hAnsi="Aptos"/>
                <w:b w:val="0"/>
                <w:color w:val="1E2A32"/>
                <w:sz w:val="18"/>
              </w:rPr>
              <w:t>Front-end developer</w:t>
            </w:r>
          </w:p>
        </w:tc>
        <w:tc>
          <w:tcPr>
            <w:tcW w:type="dxa" w:w="3960"/>
            <w:vAlign w:val="center"/>
            <w:shd w:fill="FFFFFF"/>
            <w:tcMar>
              <w:top w:w="95" w:type="dxa"/>
              <w:start w:w="110" w:type="dxa"/>
              <w:bottom w:w="95" w:type="dxa"/>
              <w:end w:w="110" w:type="dxa"/>
            </w:tcMar>
          </w:tcPr>
          <w:p>
            <w:pPr>
              <w:spacing w:after="0"/>
            </w:pPr>
            <w:r/>
            <w:r>
              <w:rPr>
                <w:rFonts w:ascii="Aptos" w:hAnsi="Aptos"/>
                <w:b w:val="0"/>
                <w:color w:val="1E2A32"/>
                <w:sz w:val="18"/>
              </w:rPr>
              <w:t>Trace token resolution and obtain implementation-ready output.</w:t>
            </w:r>
          </w:p>
        </w:tc>
        <w:tc>
          <w:tcPr>
            <w:tcW w:type="dxa" w:w="3528"/>
            <w:vAlign w:val="center"/>
            <w:shd w:fill="FFFFFF"/>
            <w:tcMar>
              <w:top w:w="95" w:type="dxa"/>
              <w:start w:w="110" w:type="dxa"/>
              <w:bottom w:w="95" w:type="dxa"/>
              <w:end w:w="110" w:type="dxa"/>
            </w:tcMar>
          </w:tcPr>
          <w:p>
            <w:pPr>
              <w:spacing w:after="0"/>
            </w:pPr>
            <w:r/>
            <w:r>
              <w:rPr>
                <w:rFonts w:ascii="Aptos" w:hAnsi="Aptos"/>
                <w:b w:val="0"/>
                <w:color w:val="1E2A32"/>
                <w:sz w:val="18"/>
              </w:rPr>
              <w:t>Exports are deterministic and mappings are unambiguous.</w:t>
            </w:r>
          </w:p>
        </w:tc>
      </w:tr>
      <w:tr>
        <w:trPr>
          <w:cantSplit/>
        </w:trPr>
        <w:tc>
          <w:tcPr>
            <w:tcW w:type="dxa" w:w="2088"/>
            <w:vAlign w:val="center"/>
            <w:shd w:fill="F3F7F9"/>
            <w:tcMar>
              <w:top w:w="95" w:type="dxa"/>
              <w:start w:w="110" w:type="dxa"/>
              <w:bottom w:w="95" w:type="dxa"/>
              <w:end w:w="110" w:type="dxa"/>
            </w:tcMar>
          </w:tcPr>
          <w:p>
            <w:pPr>
              <w:spacing w:after="0"/>
            </w:pPr>
            <w:r/>
            <w:r>
              <w:rPr>
                <w:rFonts w:ascii="Aptos" w:hAnsi="Aptos"/>
                <w:b w:val="0"/>
                <w:color w:val="1E2A32"/>
                <w:sz w:val="18"/>
              </w:rPr>
              <w:t>Stakeholder or reviewer</w:t>
            </w:r>
          </w:p>
        </w:tc>
        <w:tc>
          <w:tcPr>
            <w:tcW w:type="dxa" w:w="3960"/>
            <w:vAlign w:val="center"/>
            <w:shd w:fill="F3F7F9"/>
            <w:tcMar>
              <w:top w:w="95" w:type="dxa"/>
              <w:start w:w="110" w:type="dxa"/>
              <w:bottom w:w="95" w:type="dxa"/>
              <w:end w:w="110" w:type="dxa"/>
            </w:tcMar>
          </w:tcPr>
          <w:p>
            <w:pPr>
              <w:spacing w:after="0"/>
            </w:pPr>
            <w:r/>
            <w:r>
              <w:rPr>
                <w:rFonts w:ascii="Aptos" w:hAnsi="Aptos"/>
                <w:b w:val="0"/>
                <w:color w:val="1E2A32"/>
                <w:sz w:val="18"/>
              </w:rPr>
              <w:t>Compare current and proposed experiences with limited technical knowledge.</w:t>
            </w:r>
          </w:p>
        </w:tc>
        <w:tc>
          <w:tcPr>
            <w:tcW w:type="dxa" w:w="3528"/>
            <w:vAlign w:val="center"/>
            <w:shd w:fill="F3F7F9"/>
            <w:tcMar>
              <w:top w:w="95" w:type="dxa"/>
              <w:start w:w="110" w:type="dxa"/>
              <w:bottom w:w="95" w:type="dxa"/>
              <w:end w:w="110" w:type="dxa"/>
            </w:tcMar>
          </w:tcPr>
          <w:p>
            <w:pPr>
              <w:spacing w:after="0"/>
            </w:pPr>
            <w:r/>
            <w:r>
              <w:rPr>
                <w:rFonts w:ascii="Aptos" w:hAnsi="Aptos"/>
                <w:b w:val="0"/>
                <w:color w:val="1E2A32"/>
                <w:sz w:val="18"/>
              </w:rPr>
              <w:t>The effect and accessibility status of a proposal are clear.</w:t>
            </w:r>
          </w:p>
        </w:tc>
      </w:tr>
    </w:tbl>
    <w:p>
      <w:pPr>
        <w:spacing w:after="0"/>
      </w:pPr>
    </w:p>
    <w:p>
      <w:pPr>
        <w:pStyle w:val="Heading1"/>
      </w:pPr>
      <w:r>
        <w:t>Experience principles</w:t>
      </w:r>
    </w:p>
    <w:p>
      <w:pPr>
        <w:pStyle w:val="ListBullet"/>
      </w:pPr>
      <w:r>
        <w:t>Traceability first: every rendered color should be explainable from component to resolved value.</w:t>
      </w:r>
    </w:p>
    <w:p>
      <w:pPr>
        <w:pStyle w:val="ListBullet"/>
      </w:pPr>
      <w:r>
        <w:t>Safe by default: official state remains immutable and recovery is always available.</w:t>
      </w:r>
    </w:p>
    <w:p>
      <w:pPr>
        <w:pStyle w:val="ListBullet"/>
      </w:pPr>
      <w:r>
        <w:t>Real interfaces over isolated swatches: decisions should be judged in credible website contexts.</w:t>
      </w:r>
    </w:p>
    <w:p>
      <w:pPr>
        <w:pStyle w:val="ListBullet"/>
      </w:pPr>
      <w:r>
        <w:t>Immediate feedback: previews, dependencies, and accessibility results update together.</w:t>
      </w:r>
    </w:p>
    <w:p>
      <w:pPr>
        <w:pStyle w:val="ListBullet"/>
      </w:pPr>
      <w:r>
        <w:t>Governed outputs: exported artifacts include enough metadata to understand their source and status.</w:t>
      </w:r>
    </w:p>
    <w:p>
      <w:pPr>
        <w:pStyle w:val="Heading1"/>
      </w:pPr>
      <w:r>
        <w:t>MVP outcome</w:t>
      </w:r>
    </w:p>
    <w:p>
      <w:r>
        <w:t>The MVP is complete when a user can change any supported semantic mapping, see every affected preview update, inspect the full resolution chain, understand accessibility consequences, restore the official state, and export a validated candidate configuration.</w:t>
      </w:r>
    </w:p>
    <w:p>
      <w:pPr>
        <w:pStyle w:val="Heading1"/>
      </w:pPr>
      <w:r>
        <w:t>Recommended product evolution</w:t>
      </w:r>
    </w:p>
    <w:tbl>
      <w:tblPr>
        <w:tblStyle w:val="TableGrid"/>
        <w:tblW w:type="auto" w:w="0"/>
        <w:jc w:val="left"/>
        <w:tblLayout w:type="fixed"/>
        <w:tblLook w:firstColumn="1" w:firstRow="1" w:lastColumn="0" w:lastRow="0" w:noHBand="0" w:noVBand="1" w:val="04A0"/>
      </w:tblPr>
      <w:tblGrid>
        <w:gridCol w:w="2376"/>
        <w:gridCol w:w="7200"/>
      </w:tblGrid>
      <w:tr>
        <w:trPr>
          <w:cantSplit/>
        </w:trPr>
        <w:tc>
          <w:tcPr>
            <w:tcW w:type="dxa" w:w="4997"/>
            <w:vAlign w:val="center"/>
            <w:shd w:fill="004B76"/>
            <w:tcMar>
              <w:top w:w="100" w:type="dxa"/>
              <w:start w:w="110" w:type="dxa"/>
              <w:bottom w:w="100" w:type="dxa"/>
              <w:end w:w="110" w:type="dxa"/>
            </w:tcMar>
          </w:tcPr>
          <w:p>
            <w:pPr>
              <w:spacing w:after="0"/>
            </w:pPr>
            <w:r/>
            <w:r>
              <w:rPr>
                <w:rFonts w:ascii="Aptos" w:hAnsi="Aptos"/>
                <w:b/>
                <w:color w:val="FFFFFF"/>
                <w:sz w:val="18"/>
              </w:rPr>
              <w:t>Stage</w:t>
            </w:r>
          </w:p>
        </w:tc>
        <w:tc>
          <w:tcPr>
            <w:tcW w:type="dxa" w:w="4997"/>
            <w:vAlign w:val="center"/>
            <w:shd w:fill="004B76"/>
            <w:tcMar>
              <w:top w:w="100" w:type="dxa"/>
              <w:start w:w="110" w:type="dxa"/>
              <w:bottom w:w="100" w:type="dxa"/>
              <w:end w:w="110" w:type="dxa"/>
            </w:tcMar>
          </w:tcPr>
          <w:p>
            <w:pPr>
              <w:spacing w:after="0"/>
            </w:pPr>
            <w:r/>
            <w:r>
              <w:rPr>
                <w:rFonts w:ascii="Aptos" w:hAnsi="Aptos"/>
                <w:b/>
                <w:color w:val="FFFFFF"/>
                <w:sz w:val="18"/>
              </w:rPr>
              <w:t>Focus</w:t>
            </w:r>
          </w:p>
        </w:tc>
      </w:tr>
      <w:tr>
        <w:trPr>
          <w:cantSplit/>
        </w:trPr>
        <w:tc>
          <w:tcPr>
            <w:tcW w:type="dxa" w:w="2376"/>
            <w:vAlign w:val="center"/>
            <w:shd w:fill="FFFFFF"/>
            <w:tcMar>
              <w:top w:w="95" w:type="dxa"/>
              <w:start w:w="110" w:type="dxa"/>
              <w:bottom w:w="95" w:type="dxa"/>
              <w:end w:w="110" w:type="dxa"/>
            </w:tcMar>
          </w:tcPr>
          <w:p>
            <w:pPr>
              <w:spacing w:after="0"/>
            </w:pPr>
            <w:r/>
            <w:r>
              <w:rPr>
                <w:rFonts w:ascii="Aptos" w:hAnsi="Aptos"/>
                <w:b w:val="0"/>
                <w:color w:val="1E2A32"/>
                <w:sz w:val="18"/>
              </w:rPr>
              <w:t>MVP</w:t>
            </w:r>
          </w:p>
        </w:tc>
        <w:tc>
          <w:tcPr>
            <w:tcW w:type="dxa" w:w="7200"/>
            <w:vAlign w:val="center"/>
            <w:shd w:fill="FFFFFF"/>
            <w:tcMar>
              <w:top w:w="95" w:type="dxa"/>
              <w:start w:w="110" w:type="dxa"/>
              <w:bottom w:w="95" w:type="dxa"/>
              <w:end w:w="110" w:type="dxa"/>
            </w:tcMar>
          </w:tcPr>
          <w:p>
            <w:pPr>
              <w:spacing w:after="0"/>
            </w:pPr>
            <w:r/>
            <w:r>
              <w:rPr>
                <w:rFonts w:ascii="Aptos" w:hAnsi="Aptos"/>
                <w:b w:val="0"/>
                <w:color w:val="1E2A32"/>
                <w:sz w:val="18"/>
              </w:rPr>
              <w:t>Token editing, preview synchronization, inspection, accessibility checks, reset, undo, and export.</w:t>
            </w:r>
          </w:p>
        </w:tc>
      </w:tr>
      <w:tr>
        <w:trPr>
          <w:cantSplit/>
        </w:trPr>
        <w:tc>
          <w:tcPr>
            <w:tcW w:type="dxa" w:w="2376"/>
            <w:vAlign w:val="center"/>
            <w:shd w:fill="F3F7F9"/>
            <w:tcMar>
              <w:top w:w="95" w:type="dxa"/>
              <w:start w:w="110" w:type="dxa"/>
              <w:bottom w:w="95" w:type="dxa"/>
              <w:end w:w="110" w:type="dxa"/>
            </w:tcMar>
          </w:tcPr>
          <w:p>
            <w:pPr>
              <w:spacing w:after="0"/>
            </w:pPr>
            <w:r/>
            <w:r>
              <w:rPr>
                <w:rFonts w:ascii="Aptos" w:hAnsi="Aptos"/>
                <w:b w:val="0"/>
                <w:color w:val="1E2A32"/>
                <w:sz w:val="18"/>
              </w:rPr>
              <w:t>Governance expansion</w:t>
            </w:r>
          </w:p>
        </w:tc>
        <w:tc>
          <w:tcPr>
            <w:tcW w:type="dxa" w:w="7200"/>
            <w:vAlign w:val="center"/>
            <w:shd w:fill="F3F7F9"/>
            <w:tcMar>
              <w:top w:w="95" w:type="dxa"/>
              <w:start w:w="110" w:type="dxa"/>
              <w:bottom w:w="95" w:type="dxa"/>
              <w:end w:w="110" w:type="dxa"/>
            </w:tcMar>
          </w:tcPr>
          <w:p>
            <w:pPr>
              <w:spacing w:after="0"/>
            </w:pPr>
            <w:r/>
            <w:r>
              <w:rPr>
                <w:rFonts w:ascii="Aptos" w:hAnsi="Aptos"/>
                <w:b w:val="0"/>
                <w:color w:val="1E2A32"/>
                <w:sz w:val="18"/>
              </w:rPr>
              <w:t>Named snapshots, configuration comparison, change notes, version metadata, and review status.</w:t>
            </w:r>
          </w:p>
        </w:tc>
      </w:tr>
      <w:tr>
        <w:trPr>
          <w:cantSplit/>
        </w:trPr>
        <w:tc>
          <w:tcPr>
            <w:tcW w:type="dxa" w:w="2376"/>
            <w:vAlign w:val="center"/>
            <w:shd w:fill="FFFFFF"/>
            <w:tcMar>
              <w:top w:w="95" w:type="dxa"/>
              <w:start w:w="110" w:type="dxa"/>
              <w:bottom w:w="95" w:type="dxa"/>
              <w:end w:w="110" w:type="dxa"/>
            </w:tcMar>
          </w:tcPr>
          <w:p>
            <w:pPr>
              <w:spacing w:after="0"/>
            </w:pPr>
            <w:r/>
            <w:r>
              <w:rPr>
                <w:rFonts w:ascii="Aptos" w:hAnsi="Aptos"/>
                <w:b w:val="0"/>
                <w:color w:val="1E2A32"/>
                <w:sz w:val="18"/>
              </w:rPr>
              <w:t>Audit integration</w:t>
            </w:r>
          </w:p>
        </w:tc>
        <w:tc>
          <w:tcPr>
            <w:tcW w:type="dxa" w:w="7200"/>
            <w:vAlign w:val="center"/>
            <w:shd w:fill="FFFFFF"/>
            <w:tcMar>
              <w:top w:w="95" w:type="dxa"/>
              <w:start w:w="110" w:type="dxa"/>
              <w:bottom w:w="95" w:type="dxa"/>
              <w:end w:w="110" w:type="dxa"/>
            </w:tcMar>
          </w:tcPr>
          <w:p>
            <w:pPr>
              <w:spacing w:after="0"/>
            </w:pPr>
            <w:r/>
            <w:r>
              <w:rPr>
                <w:rFonts w:ascii="Aptos" w:hAnsi="Aptos"/>
                <w:b w:val="0"/>
                <w:color w:val="1E2A32"/>
                <w:sz w:val="18"/>
              </w:rPr>
              <w:t>Connect token use and hard-coded color findings back to website audit results.</w:t>
            </w:r>
          </w:p>
        </w:tc>
      </w:tr>
      <w:tr>
        <w:trPr>
          <w:cantSplit/>
        </w:trPr>
        <w:tc>
          <w:tcPr>
            <w:tcW w:type="dxa" w:w="2376"/>
            <w:vAlign w:val="center"/>
            <w:shd w:fill="F3F7F9"/>
            <w:tcMar>
              <w:top w:w="95" w:type="dxa"/>
              <w:start w:w="110" w:type="dxa"/>
              <w:bottom w:w="95" w:type="dxa"/>
              <w:end w:w="110" w:type="dxa"/>
            </w:tcMar>
          </w:tcPr>
          <w:p>
            <w:pPr>
              <w:spacing w:after="0"/>
            </w:pPr>
            <w:r/>
            <w:r>
              <w:rPr>
                <w:rFonts w:ascii="Aptos" w:hAnsi="Aptos"/>
                <w:b w:val="0"/>
                <w:color w:val="1E2A32"/>
                <w:sz w:val="18"/>
              </w:rPr>
              <w:t>Broader system coverage</w:t>
            </w:r>
          </w:p>
        </w:tc>
        <w:tc>
          <w:tcPr>
            <w:tcW w:type="dxa" w:w="7200"/>
            <w:vAlign w:val="center"/>
            <w:shd w:fill="F3F7F9"/>
            <w:tcMar>
              <w:top w:w="95" w:type="dxa"/>
              <w:start w:w="110" w:type="dxa"/>
              <w:bottom w:w="95" w:type="dxa"/>
              <w:end w:w="110" w:type="dxa"/>
            </w:tcMar>
          </w:tcPr>
          <w:p>
            <w:pPr>
              <w:spacing w:after="0"/>
            </w:pPr>
            <w:r/>
            <w:r>
              <w:rPr>
                <w:rFonts w:ascii="Aptos" w:hAnsi="Aptos"/>
                <w:b w:val="0"/>
                <w:color w:val="1E2A32"/>
                <w:sz w:val="18"/>
              </w:rPr>
              <w:t>Add more token families, components, brands, and production-aligned preview scenarios.</w:t>
            </w:r>
          </w:p>
        </w:tc>
      </w:tr>
    </w:tbl>
    <w:p>
      <w:pPr>
        <w:spacing w:after="0"/>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02"/>
        <w:gridCol w:w="9432"/>
      </w:tblGrid>
      <w:tr>
        <w:tc>
          <w:tcPr>
            <w:tcW w:type="dxa" w:w="4997"/>
            <w:shd w:fill="2A9D8F"/>
          </w:tcPr>
          <w:p/>
        </w:tc>
        <w:tc>
          <w:tcPr>
            <w:tcW w:type="dxa" w:w="4997"/>
            <w:shd w:fill="F3F7F9"/>
            <w:tcMar>
              <w:top w:w="140" w:type="dxa"/>
              <w:start w:w="180" w:type="dxa"/>
              <w:bottom w:w="140" w:type="dxa"/>
              <w:end w:w="180" w:type="dxa"/>
            </w:tcMar>
          </w:tcPr>
          <w:p>
            <w:r/>
            <w:r>
              <w:rPr>
                <w:rFonts w:ascii="Aptos" w:hAnsi="Aptos"/>
                <w:b/>
                <w:color w:val="2A9D8F"/>
                <w:sz w:val="22"/>
              </w:rPr>
              <w:t>Strategic recommendation</w:t>
              <w:br/>
            </w:r>
            <w:r>
              <w:rPr>
                <w:rFonts w:ascii="Aptos" w:hAnsi="Aptos"/>
                <w:color w:val="1E2A32"/>
                <w:sz w:val="20"/>
              </w:rPr>
              <w:t>Treat the Lab as a token governance product with experimentation features, rather than as a component showcase. This framing keeps the architecture focused on traceability, validation, reproducibility, and safe handoff.</w:t>
            </w:r>
          </w:p>
        </w:tc>
      </w:tr>
    </w:tbl>
    <w:p>
      <w:pPr>
        <w:spacing w:after="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56D"/>
        <w:sz w:val="16"/>
      </w:rPr>
      <w:t>STOBG Design System Lab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56D"/>
        <w:sz w:val="16"/>
      </w:rPr>
      <w:t>PRODUCT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4B76"/>
      <w:sz w:val="4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w:hAnsi="Aptos"/>
      <w:b/>
      <w:bCs/>
      <w:color w:val="0077A8"/>
      <w:sz w:val="28"/>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Aptos" w:hAnsi="Aptos"/>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4B7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20" w:after="100"/>
    </w:pPr>
    <w:rPr>
      <w:rFonts w:asciiTheme="majorHAnsi" w:eastAsiaTheme="majorEastAsia" w:hAnsiTheme="majorHAnsi" w:cstheme="majorBidi" w:ascii="Aptos" w:hAnsi="Aptos"/>
      <w:b w:val="0"/>
      <w:i/>
      <w:iCs/>
      <w:color w:val="5865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200"/>
    </w:pPr>
    <w:rPr>
      <w:rFonts w:ascii="Aptos" w:hAnsi="Aptos"/>
      <w:b/>
      <w:color w:val="2A9D8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JJ Doherty</dc:creator>
  <keywords/>
  <dc:description>generated by python-docx</dc:description>
  <lastModifiedBy>JJ Doherty</lastModifiedBy>
  <revision>1</revision>
  <dcterms:created xsi:type="dcterms:W3CDTF">2026-08-25T14:34:18.1580240Z</dcterms:created>
  <dcterms:modified xsi:type="dcterms:W3CDTF">2026-08-25T14:34:18.1580240Z</dcterms:modified>
  <category/>
</coreProperties>
</file>