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PROJECT BRIEF</w:t>
      </w:r>
    </w:p>
    <w:p>
      <w:pPr>
        <w:pStyle w:val="Title"/>
      </w:pPr>
      <w:r>
        <w:t>STOBG Design System Lab</w:t>
      </w:r>
    </w:p>
    <w:p>
      <w:pPr>
        <w:pStyle w:val="Subtitle"/>
      </w:pPr>
      <w:r>
        <w:t>Implementation-ready product brief for MVP planning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6768"/>
      </w:tblGrid>
      <w:tr>
        <w:tc>
          <w:tcPr>
            <w:tcW w:type="dxa" w:w="4997"/>
            <w:vAlign w:val="center"/>
            <w:shd w:fill="004B7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STOBG DIGITAL SYSTEMS</w:t>
            </w:r>
          </w:p>
        </w:tc>
        <w:tc>
          <w:tcPr>
            <w:tcW w:type="dxa" w:w="4997"/>
            <w:vAlign w:val="center"/>
            <w:shd w:fill="F3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Design System Lab  |  Internal product planning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2"/>
        <w:gridCol w:w="9432"/>
      </w:tblGrid>
      <w:tr>
        <w:tc>
          <w:tcPr>
            <w:tcW w:type="dxa" w:w="4997"/>
            <w:shd w:fill="004B76"/>
          </w:tcPr>
          <w:p/>
        </w:tc>
        <w:tc>
          <w:tcPr>
            <w:tcW w:type="dxa" w:w="4997"/>
            <w:shd w:fill="F3F7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/>
            <w:r>
              <w:rPr>
                <w:rFonts w:ascii="Aptos" w:hAnsi="Aptos"/>
                <w:b/>
                <w:color w:val="004B76"/>
                <w:sz w:val="22"/>
              </w:rPr>
              <w:t>Project vision</w:t>
              <w:br/>
            </w:r>
            <w:r>
              <w:rPr>
                <w:rFonts w:ascii="Aptos" w:hAnsi="Aptos"/>
                <w:color w:val="1E2A32"/>
                <w:sz w:val="20"/>
              </w:rPr>
              <w:t>Create a single internal environment where STOBG teams can understand token relationships, change semantic mappings safely, evaluate their effect across realistic website experiences, review accessibility impact, and export implementation-ready configurations.</w:t>
            </w:r>
          </w:p>
        </w:tc>
      </w:tr>
    </w:tbl>
    <w:p>
      <w:pPr>
        <w:spacing w:after="0"/>
      </w:pPr>
    </w:p>
    <w:p>
      <w:pPr>
        <w:pStyle w:val="Heading1"/>
      </w:pPr>
      <w:r>
        <w:t>1. Objectives</w:t>
      </w:r>
    </w:p>
    <w:p>
      <w:pPr>
        <w:pStyle w:val="ListBullet"/>
      </w:pPr>
      <w:r>
        <w:t>Make component-to-semantic-to-primitive resolution transparent.</w:t>
      </w:r>
    </w:p>
    <w:p>
      <w:pPr>
        <w:pStyle w:val="ListBullet"/>
      </w:pPr>
      <w:r>
        <w:t>Separate approved official state from editable working state.</w:t>
      </w:r>
    </w:p>
    <w:p>
      <w:pPr>
        <w:pStyle w:val="ListBullet"/>
      </w:pPr>
      <w:r>
        <w:t>Synchronize token changes across previews, dependency analysis, and accessibility results.</w:t>
      </w:r>
    </w:p>
    <w:p>
      <w:pPr>
        <w:pStyle w:val="ListBullet"/>
      </w:pPr>
      <w:r>
        <w:t>Support recovery through undo and reset.</w:t>
      </w:r>
    </w:p>
    <w:p>
      <w:pPr>
        <w:pStyle w:val="ListBullet"/>
      </w:pPr>
      <w:r>
        <w:t>Generate deterministic JSON and CSS exports.</w:t>
      </w:r>
    </w:p>
    <w:p>
      <w:pPr>
        <w:pStyle w:val="ListBullet"/>
      </w:pPr>
      <w:r>
        <w:t>Establish a foundation for versioning and governance.</w:t>
      </w:r>
    </w:p>
    <w:p>
      <w:pPr>
        <w:pStyle w:val="Heading1"/>
      </w:pPr>
      <w:r>
        <w:t>2. Scope</w:t>
      </w:r>
    </w:p>
    <w:p>
      <w:pPr>
        <w:pStyle w:val="Heading2"/>
      </w:pPr>
      <w:r>
        <w:t>Included in MVP</w:t>
      </w:r>
    </w:p>
    <w:p>
      <w:pPr>
        <w:pStyle w:val="ListBullet"/>
      </w:pPr>
      <w:r>
        <w:t>Primitive, semantic, functional, and identified STOBG brand color tokens.</w:t>
      </w:r>
    </w:p>
    <w:p>
      <w:pPr>
        <w:pStyle w:val="ListBullet"/>
      </w:pPr>
      <w:r>
        <w:t>Official and working configurations.</w:t>
      </w:r>
    </w:p>
    <w:p>
      <w:pPr>
        <w:pStyle w:val="ListBullet"/>
      </w:pPr>
      <w:r>
        <w:t>Representative homepage, markets, project, careers, and contact previews.</w:t>
      </w:r>
    </w:p>
    <w:p>
      <w:pPr>
        <w:pStyle w:val="ListBullet"/>
      </w:pPr>
      <w:r>
        <w:t>Token inspector, usage overlay, dependency analysis, and side-by-side impact preview.</w:t>
      </w:r>
    </w:p>
    <w:p>
      <w:pPr>
        <w:pStyle w:val="ListBullet"/>
      </w:pPr>
      <w:r>
        <w:t>WCAG contrast analysis for defined text and non-text relationships.</w:t>
      </w:r>
    </w:p>
    <w:p>
      <w:pPr>
        <w:pStyle w:val="ListBullet"/>
      </w:pPr>
      <w:r>
        <w:t>Undo, reset, validation, JSON export, CSS export, clipboard copy, and downloads.</w:t>
      </w:r>
    </w:p>
    <w:p>
      <w:pPr>
        <w:pStyle w:val="Heading2"/>
      </w:pPr>
      <w:r>
        <w:t>Excluded from MVP</w:t>
      </w:r>
    </w:p>
    <w:p>
      <w:pPr>
        <w:pStyle w:val="ListBullet"/>
      </w:pPr>
      <w:r>
        <w:t>Editing production CSS.</w:t>
      </w:r>
    </w:p>
    <w:p>
      <w:pPr>
        <w:pStyle w:val="ListBullet"/>
      </w:pPr>
      <w:r>
        <w:t>Replacing Figma.</w:t>
      </w:r>
    </w:p>
    <w:p>
      <w:pPr>
        <w:pStyle w:val="ListBullet"/>
      </w:pPr>
      <w:r>
        <w:t>Automatically generating tokens.</w:t>
      </w:r>
    </w:p>
    <w:p>
      <w:pPr>
        <w:pStyle w:val="ListBullet"/>
      </w:pPr>
      <w:r>
        <w:t>Dark mode.</w:t>
      </w:r>
    </w:p>
    <w:p>
      <w:pPr>
        <w:pStyle w:val="ListBullet"/>
      </w:pPr>
      <w:r>
        <w:t>Automatic approval of accessibility exceptions.</w:t>
      </w:r>
    </w:p>
    <w:p>
      <w:pPr>
        <w:pStyle w:val="ListBullet"/>
      </w:pPr>
      <w:r>
        <w:t>Direct publication to production websites.</w:t>
      </w:r>
    </w:p>
    <w:p>
      <w:pPr>
        <w:pStyle w:val="Heading1"/>
      </w:pPr>
      <w:r>
        <w:t>3. Behavioral personas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4608"/>
        <w:gridCol w:w="3240"/>
      </w:tblGrid>
      <w:tr>
        <w:trPr>
          <w:cantSplit/>
        </w:trPr>
        <w:tc>
          <w:tcPr>
            <w:tcW w:type="dxa" w:w="3331"/>
            <w:vAlign w:val="center"/>
            <w:shd w:fill="004B7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331"/>
            <w:vAlign w:val="center"/>
            <w:shd w:fill="004B7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jobs</w:t>
            </w:r>
          </w:p>
        </w:tc>
        <w:tc>
          <w:tcPr>
            <w:tcW w:type="dxa" w:w="3331"/>
            <w:vAlign w:val="center"/>
            <w:shd w:fill="004B7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Key requirement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Design system owner</w:t>
            </w:r>
          </w:p>
        </w:tc>
        <w:tc>
          <w:tcPr>
            <w:tcW w:type="dxa" w:w="4608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Review proposals, understand impact, preserve official state, export approved candidates.</w:t>
            </w:r>
          </w:p>
        </w:tc>
        <w:tc>
          <w:tcPr>
            <w:tcW w:type="dxa" w:w="3240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Trustworthy governance and reproducibility.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UX designer</w:t>
            </w:r>
          </w:p>
        </w:tc>
        <w:tc>
          <w:tcPr>
            <w:tcW w:type="dxa" w:w="4608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Explore alternatives and evaluate realistic visual outcomes.</w:t>
            </w:r>
          </w:p>
        </w:tc>
        <w:tc>
          <w:tcPr>
            <w:tcW w:type="dxa" w:w="3240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Fast, reversible experimentation.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Front-end developer</w:t>
            </w:r>
          </w:p>
        </w:tc>
        <w:tc>
          <w:tcPr>
            <w:tcW w:type="dxa" w:w="4608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Inspect token chains, dependencies, and export contracts.</w:t>
            </w:r>
          </w:p>
        </w:tc>
        <w:tc>
          <w:tcPr>
            <w:tcW w:type="dxa" w:w="3240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Deterministic technical behavior.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Stakeholder or reviewer</w:t>
            </w:r>
          </w:p>
        </w:tc>
        <w:tc>
          <w:tcPr>
            <w:tcW w:type="dxa" w:w="4608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Compare current and proposed states.</w:t>
            </w:r>
          </w:p>
        </w:tc>
        <w:tc>
          <w:tcPr>
            <w:tcW w:type="dxa" w:w="3240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Plain-language evidence and clear status.</w:t>
            </w:r>
          </w:p>
        </w:tc>
      </w:tr>
    </w:tbl>
    <w:p>
      <w:pPr>
        <w:spacing w:after="0"/>
      </w:pPr>
    </w:p>
    <w:p>
      <w:pPr>
        <w:pStyle w:val="Heading1"/>
      </w:pPr>
      <w:r>
        <w:t>4. Core user flows</w:t>
      </w:r>
    </w:p>
    <w:p>
      <w:pPr>
        <w:pStyle w:val="Heading2"/>
      </w:pPr>
      <w:r>
        <w:t>Change a semantic mapping</w:t>
      </w:r>
    </w:p>
    <w:p>
      <w:r>
        <w:t>Open Lab &gt; select semantic token &gt; inspect current mapping &gt; choose an allowed primitive &gt; update working state &gt; resolve tokens &gt; update previews &gt; recalculate dependencies and accessibility &gt; record history.</w:t>
      </w:r>
    </w:p>
    <w:p>
      <w:pPr>
        <w:pStyle w:val="Heading2"/>
      </w:pPr>
      <w:r>
        <w:t>Inspect a component</w:t>
      </w:r>
    </w:p>
    <w:p>
      <w:r>
        <w:t>Select rendered component &gt; open inspector &gt; list applied semantic tokens &gt; show primitive references and resolved values &gt; link to usage and accessibility results.</w:t>
      </w:r>
    </w:p>
    <w:p>
      <w:pPr>
        <w:pStyle w:val="Heading2"/>
      </w:pPr>
      <w:r>
        <w:t>Review accessibility</w:t>
      </w:r>
    </w:p>
    <w:p>
      <w:r>
        <w:t>Modify mapping &gt; run applicable contrast checks &gt; group results by status &gt; identify affected component and token pair &gt; display ratio and threshold &gt; resolve or document accepted warning.</w:t>
      </w:r>
    </w:p>
    <w:p>
      <w:pPr>
        <w:pStyle w:val="Heading2"/>
      </w:pPr>
      <w:r>
        <w:t>Compare and export</w:t>
      </w:r>
    </w:p>
    <w:p>
      <w:r>
        <w:t>Review official versus working differences &gt; run validation &gt; review blocking errors and warnings &gt; generate deterministic JSON and CSS &gt; copy or download.</w:t>
      </w:r>
    </w:p>
    <w:p>
      <w:pPr>
        <w:pStyle w:val="Heading2"/>
      </w:pPr>
      <w:r>
        <w:t>Recover state</w:t>
      </w:r>
    </w:p>
    <w:p>
      <w:r>
        <w:t>Undo the latest change, redo an undone change when available, or reset the entire working configuration to official mappings.</w:t>
      </w:r>
    </w:p>
    <w:p>
      <w:r>
        <w:br w:type="page"/>
      </w:r>
    </w:p>
    <w:p>
      <w:pPr>
        <w:pStyle w:val="Heading1"/>
      </w:pPr>
      <w:r>
        <w:t>5. State management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4896"/>
      </w:tblGrid>
      <w:tr>
        <w:trPr>
          <w:cantSplit/>
        </w:trPr>
        <w:tc>
          <w:tcPr>
            <w:tcW w:type="dxa" w:w="3331"/>
            <w:vAlign w:val="center"/>
            <w:shd w:fill="004B7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331"/>
            <w:vAlign w:val="center"/>
            <w:shd w:fill="004B7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Storage behavior</w:t>
            </w:r>
          </w:p>
        </w:tc>
        <w:tc>
          <w:tcPr>
            <w:tcW w:type="dxa" w:w="3331"/>
            <w:vAlign w:val="center"/>
            <w:shd w:fill="004B7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Official state</w:t>
            </w:r>
          </w:p>
        </w:tc>
        <w:tc>
          <w:tcPr>
            <w:tcW w:type="dxa" w:w="3240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Loaded from a versioned source and treated as immutable during a session.</w:t>
            </w:r>
          </w:p>
        </w:tc>
        <w:tc>
          <w:tcPr>
            <w:tcW w:type="dxa" w:w="4896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Represents the approved baseline and is the reset target.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Working state</w:t>
            </w:r>
          </w:p>
        </w:tc>
        <w:tc>
          <w:tcPr>
            <w:tcW w:type="dxa" w:w="3240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Editable copy of official mappings plus user changes.</w:t>
            </w:r>
          </w:p>
        </w:tc>
        <w:tc>
          <w:tcPr>
            <w:tcW w:type="dxa" w:w="4896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Drives previews, analysis, comparison, and export.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Derived state</w:t>
            </w:r>
          </w:p>
        </w:tc>
        <w:tc>
          <w:tcPr>
            <w:tcW w:type="dxa" w:w="3240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Calculated from source state rather than persisted independently.</w:t>
            </w:r>
          </w:p>
        </w:tc>
        <w:tc>
          <w:tcPr>
            <w:tcW w:type="dxa" w:w="4896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Includes resolved values, dependency results, accessibility results, affected components, and export output.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History state</w:t>
            </w:r>
          </w:p>
        </w:tc>
        <w:tc>
          <w:tcPr>
            <w:tcW w:type="dxa" w:w="3240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Ordered reversible operations.</w:t>
            </w:r>
          </w:p>
        </w:tc>
        <w:tc>
          <w:tcPr>
            <w:tcW w:type="dxa" w:w="4896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Stores token, previous reference, next reference, sequence, and timestamp.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UI state</w:t>
            </w:r>
          </w:p>
        </w:tc>
        <w:tc>
          <w:tcPr>
            <w:tcW w:type="dxa" w:w="3240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Ephemeral interaction state.</w:t>
            </w:r>
          </w:p>
        </w:tc>
        <w:tc>
          <w:tcPr>
            <w:tcW w:type="dxa" w:w="4896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Selection, open panels, filters, overlays, active preview, and comparison mode.</w:t>
            </w:r>
          </w:p>
        </w:tc>
      </w:tr>
    </w:tbl>
    <w:p>
      <w:pPr>
        <w:spacing w:after="0"/>
      </w:pPr>
    </w:p>
    <w:p>
      <w:pPr>
        <w:pStyle w:val="ListBullet"/>
      </w:pPr>
      <w:r>
        <w:t>A single mapping transaction must update all dependent derived views atomically.</w:t>
      </w:r>
    </w:p>
    <w:p>
      <w:pPr>
        <w:pStyle w:val="ListBullet"/>
      </w:pPr>
      <w:r>
        <w:t>Official mappings must never be mutated by working-state actions.</w:t>
      </w:r>
    </w:p>
    <w:p>
      <w:pPr>
        <w:pStyle w:val="ListBullet"/>
      </w:pPr>
      <w:r>
        <w:t>Reset must replace working state with a fresh official-state copy and clear incompatible history.</w:t>
      </w:r>
    </w:p>
    <w:p>
      <w:pPr>
        <w:pStyle w:val="ListBullet"/>
      </w:pPr>
      <w:r>
        <w:t>Derived collections must be regenerated when their inputs change.</w:t>
      </w:r>
    </w:p>
    <w:p>
      <w:pPr>
        <w:pStyle w:val="ListBullet"/>
      </w:pPr>
      <w:r>
        <w:t>The same valid working state must produce the same resolved and exported output.</w:t>
      </w:r>
    </w:p>
    <w:p>
      <w:pPr>
        <w:pStyle w:val="ListBullet"/>
      </w:pPr>
      <w:r>
        <w:t>Persistence beyond the browser session is optional for MVP unless explicitly selected during implementation.</w:t>
      </w:r>
    </w:p>
    <w:p>
      <w:pPr>
        <w:pStyle w:val="Heading1"/>
      </w:pPr>
      <w:r>
        <w:t>6. Data contracts</w:t>
      </w:r>
    </w:p>
    <w:p>
      <w:r>
        <w:t>The application should validate token sources and export payloads against schemas. The following objects are required: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200"/>
      </w:tblGrid>
      <w:tr>
        <w:trPr>
          <w:cantSplit/>
        </w:trPr>
        <w:tc>
          <w:tcPr>
            <w:tcW w:type="dxa" w:w="4997"/>
            <w:vAlign w:val="center"/>
            <w:shd w:fill="004B7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Contract</w:t>
            </w:r>
          </w:p>
        </w:tc>
        <w:tc>
          <w:tcPr>
            <w:tcW w:type="dxa" w:w="4997"/>
            <w:vAlign w:val="center"/>
            <w:shd w:fill="004B7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fields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Primitive token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id, type, group, value, description optional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Semantic token</w:t>
            </w:r>
          </w:p>
        </w:tc>
        <w:tc>
          <w:tcPr>
            <w:tcW w:type="dxa" w:w="7200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id, type, category, mapsTo, description optional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Component definition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id, name, previewId, tokenUsages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Token usage</w:t>
            </w:r>
          </w:p>
        </w:tc>
        <w:tc>
          <w:tcPr>
            <w:tcW w:type="dxa" w:w="7200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semanticTokenId, property, foreground/background relationship where applicable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Accessibility rule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id, componentId, foregroundToken, backgroundToken, threshold, text classification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Accessibility result</w:t>
            </w:r>
          </w:p>
        </w:tc>
        <w:tc>
          <w:tcPr>
            <w:tcW w:type="dxa" w:w="7200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ruleId, values, ratio, threshold, status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Change operation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tokenId, from, to, sequence, timestamp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Export manifest</w:t>
            </w:r>
          </w:p>
        </w:tc>
        <w:tc>
          <w:tcPr>
            <w:tcW w:type="dxa" w:w="7200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schemaVersion, configurationId, baselineVersion, generatedAt, mappings, validationSummary</w:t>
            </w:r>
          </w:p>
        </w:tc>
      </w:tr>
    </w:tbl>
    <w:p>
      <w:pPr>
        <w:spacing w:after="0"/>
      </w:pPr>
    </w:p>
    <w:p>
      <w:pPr>
        <w:pStyle w:val="Heading1"/>
      </w:pPr>
      <w:r>
        <w:t>7. Token resolution rules</w:t>
      </w:r>
    </w:p>
    <w:p>
      <w:pPr>
        <w:pStyle w:val="ListBullet"/>
      </w:pPr>
      <w:r>
        <w:t>Components reference semantic tokens, not primitive tokens, for governed color properties.</w:t>
      </w:r>
    </w:p>
    <w:p>
      <w:pPr>
        <w:pStyle w:val="ListBullet"/>
      </w:pPr>
      <w:r>
        <w:t>Semantic color tokens reference allowed primitive color tokens.</w:t>
      </w:r>
    </w:p>
    <w:p>
      <w:pPr>
        <w:pStyle w:val="ListBullet"/>
      </w:pPr>
      <w:r>
        <w:t>Primitive color tokens resolve directly to valid color values and do not reference other tokens.</w:t>
      </w:r>
    </w:p>
    <w:p>
      <w:pPr>
        <w:pStyle w:val="ListBullet"/>
      </w:pPr>
      <w:r>
        <w:t>Resolution follows component usage &gt; semantic token &gt; primitive token &gt; final value.</w:t>
      </w:r>
    </w:p>
    <w:p>
      <w:pPr>
        <w:pStyle w:val="ListBullet"/>
      </w:pPr>
      <w:r>
        <w:t>Circular references, missing references, duplicate IDs, invalid values, and disallowed token-type references are validation errors.</w:t>
      </w:r>
    </w:p>
    <w:p>
      <w:pPr>
        <w:pStyle w:val="ListBullet"/>
      </w:pPr>
      <w:r>
        <w:t>Unresolved tokens must display an explicit error state and prevent a clean export.</w:t>
      </w:r>
    </w:p>
    <w:p>
      <w:pPr>
        <w:pStyle w:val="ListBullet"/>
      </w:pPr>
      <w:r>
        <w:t>Resolution must be deterministic and must not depend on object order.</w:t>
      </w:r>
    </w:p>
    <w:p>
      <w:pPr>
        <w:pStyle w:val="ListBullet"/>
      </w:pPr>
      <w:r>
        <w:t>Token identifiers are stable API keys; labels and descriptions may change without changing identity.</w:t>
      </w:r>
    </w:p>
    <w:p>
      <w:pPr>
        <w:pStyle w:val="Heading1"/>
      </w:pPr>
      <w:r>
        <w:t>8. Accessibility acceptance criteria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7128"/>
      </w:tblGrid>
      <w:tr>
        <w:trPr>
          <w:cantSplit/>
        </w:trPr>
        <w:tc>
          <w:tcPr>
            <w:tcW w:type="dxa" w:w="4997"/>
            <w:vAlign w:val="center"/>
            <w:shd w:fill="004B7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997"/>
            <w:vAlign w:val="center"/>
            <w:shd w:fill="004B7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Normal text</w:t>
            </w:r>
          </w:p>
        </w:tc>
        <w:tc>
          <w:tcPr>
            <w:tcW w:type="dxa" w:w="7128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Foreground and background achieve at least 4.5:1 for WCAG AA.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Large text</w:t>
            </w:r>
          </w:p>
        </w:tc>
        <w:tc>
          <w:tcPr>
            <w:tcW w:type="dxa" w:w="7128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Foreground and background achieve at least 3:1 when the implementation meets the large-text definition.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UI components and states</w:t>
            </w:r>
          </w:p>
        </w:tc>
        <w:tc>
          <w:tcPr>
            <w:tcW w:type="dxa" w:w="7128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Required visual boundaries, controls, focus indicators, and meaningful graphics achieve at least 3:1 against adjacent colors where WCAG applies.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Keyboard use</w:t>
            </w:r>
          </w:p>
        </w:tc>
        <w:tc>
          <w:tcPr>
            <w:tcW w:type="dxa" w:w="7128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All interactive Lab controls are reachable, operable, and visibly focused in a logical order.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Semantics</w:t>
            </w:r>
          </w:p>
        </w:tc>
        <w:tc>
          <w:tcPr>
            <w:tcW w:type="dxa" w:w="7128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Controls expose programmatic names, roles, values, instructions, and status updates.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Color independence</w:t>
            </w:r>
          </w:p>
        </w:tc>
        <w:tc>
          <w:tcPr>
            <w:tcW w:type="dxa" w:w="7128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Status and meaning are conveyed through text or another non-color indicator in addition to color.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Live updates</w:t>
            </w:r>
          </w:p>
        </w:tc>
        <w:tc>
          <w:tcPr>
            <w:tcW w:type="dxa" w:w="7128"/>
            <w:vAlign w:val="center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Token changes and validation results are announced without unexpectedly moving focus.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Zoom and reflow</w:t>
            </w:r>
          </w:p>
        </w:tc>
        <w:tc>
          <w:tcPr>
            <w:tcW w:type="dxa" w:w="7128"/>
            <w:vAlign w:val="center"/>
            <w:shd w:fill="F3F7F9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A32"/>
                <w:sz w:val="18"/>
              </w:rPr>
              <w:t>Core workflows remain usable at 200% zoom and at narrow viewport reflow targets appropriate to WCAG AA.</w:t>
            </w:r>
          </w:p>
        </w:tc>
      </w:tr>
    </w:tbl>
    <w:p>
      <w:pPr>
        <w:spacing w:after="0"/>
      </w:pPr>
    </w:p>
    <w:p>
      <w:pPr>
        <w:pStyle w:val="ListBullet"/>
      </w:pPr>
      <w:r>
        <w:t>Every result shows the tested pair, resolved values, measured ratio, threshold, and affected location.</w:t>
      </w:r>
    </w:p>
    <w:p>
      <w:pPr>
        <w:pStyle w:val="ListBullet"/>
      </w:pPr>
      <w:r>
        <w:t>Pass, warning, and fail indicators include text labels and icons, not color alone.</w:t>
      </w:r>
    </w:p>
    <w:p>
      <w:pPr>
        <w:pStyle w:val="ListBullet"/>
      </w:pPr>
      <w:r>
        <w:t>Known automated-check limitations are stated in the interface.</w:t>
      </w:r>
    </w:p>
    <w:p>
      <w:pPr>
        <w:pStyle w:val="ListBullet"/>
      </w:pPr>
      <w:r>
        <w:t>Accessibility failures remain export-visible. The MVP may allow export with an explicit override and recorded reason rather than silently suppressing failures.</w:t>
      </w:r>
    </w:p>
    <w:p>
      <w:r>
        <w:br w:type="page"/>
      </w:r>
    </w:p>
    <w:p>
      <w:pPr>
        <w:pStyle w:val="Heading1"/>
      </w:pPr>
      <w:r>
        <w:t>9. Validation and export behavior</w:t>
      </w:r>
    </w:p>
    <w:p>
      <w:pPr>
        <w:pStyle w:val="Heading2"/>
      </w:pPr>
      <w:r>
        <w:t>Blocking errors</w:t>
      </w:r>
    </w:p>
    <w:p>
      <w:pPr>
        <w:pStyle w:val="ListBullet"/>
      </w:pPr>
      <w:r>
        <w:t>Missing or unresolved token reference.</w:t>
      </w:r>
    </w:p>
    <w:p>
      <w:pPr>
        <w:pStyle w:val="ListBullet"/>
      </w:pPr>
      <w:r>
        <w:t>Circular reference.</w:t>
      </w:r>
    </w:p>
    <w:p>
      <w:pPr>
        <w:pStyle w:val="ListBullet"/>
      </w:pPr>
      <w:r>
        <w:t>Invalid primitive value.</w:t>
      </w:r>
    </w:p>
    <w:p>
      <w:pPr>
        <w:pStyle w:val="ListBullet"/>
      </w:pPr>
      <w:r>
        <w:t>Duplicate token identifier.</w:t>
      </w:r>
    </w:p>
    <w:p>
      <w:pPr>
        <w:pStyle w:val="ListBullet"/>
      </w:pPr>
      <w:r>
        <w:t>Schema-invalid source or export payload.</w:t>
      </w:r>
    </w:p>
    <w:p>
      <w:pPr>
        <w:pStyle w:val="ListBullet"/>
      </w:pPr>
      <w:r>
        <w:t>Reference to a disallowed token type.</w:t>
      </w:r>
    </w:p>
    <w:p>
      <w:pPr>
        <w:pStyle w:val="Heading2"/>
      </w:pPr>
      <w:r>
        <w:t>Warnings</w:t>
      </w:r>
    </w:p>
    <w:p>
      <w:pPr>
        <w:pStyle w:val="ListBullet"/>
      </w:pPr>
      <w:r>
        <w:t>Accessibility failure or result requiring human review.</w:t>
      </w:r>
    </w:p>
    <w:p>
      <w:pPr>
        <w:pStyle w:val="ListBullet"/>
      </w:pPr>
      <w:r>
        <w:t>Unused semantic token.</w:t>
      </w:r>
    </w:p>
    <w:p>
      <w:pPr>
        <w:pStyle w:val="ListBullet"/>
      </w:pPr>
      <w:r>
        <w:t>Working state with no difference from official state.</w:t>
      </w:r>
    </w:p>
    <w:p>
      <w:pPr>
        <w:pStyle w:val="ListBullet"/>
      </w:pPr>
      <w:r>
        <w:t>Metadata or description recommended but absent.</w:t>
      </w:r>
    </w:p>
    <w:p>
      <w:r>
        <w:t>JSON and CSS exports must be generated from the same validated working state. A human-readable validation summary should accompany the export action. Ordering should be stable so Git differences remain meaningful.</w:t>
      </w:r>
    </w:p>
    <w:p>
      <w:pPr>
        <w:pStyle w:val="Heading1"/>
      </w:pPr>
      <w:r>
        <w:t>10. Definition of Done for MVP</w:t>
      </w:r>
    </w:p>
    <w:p>
      <w:pPr>
        <w:pStyle w:val="ListBullet"/>
      </w:pPr>
      <w:r>
        <w:t>All supported token source files validate against their schemas.</w:t>
      </w:r>
    </w:p>
    <w:p>
      <w:pPr>
        <w:pStyle w:val="ListBullet"/>
      </w:pPr>
      <w:r>
        <w:t>A user can change each supported semantic token only to an allowed primitive token.</w:t>
      </w:r>
    </w:p>
    <w:p>
      <w:pPr>
        <w:pStyle w:val="ListBullet"/>
      </w:pPr>
      <w:r>
        <w:t>Every mapped preview usage updates from the same working state.</w:t>
      </w:r>
    </w:p>
    <w:p>
      <w:pPr>
        <w:pStyle w:val="ListBullet"/>
      </w:pPr>
      <w:r>
        <w:t>Inspector traces each supported component usage to its resolved value.</w:t>
      </w:r>
    </w:p>
    <w:p>
      <w:pPr>
        <w:pStyle w:val="ListBullet"/>
      </w:pPr>
      <w:r>
        <w:t>Dependency analysis identifies every registered use of a selected semantic token.</w:t>
      </w:r>
    </w:p>
    <w:p>
      <w:pPr>
        <w:pStyle w:val="ListBullet"/>
      </w:pPr>
      <w:r>
        <w:t>Accessibility checks rerun after relevant mapping changes and expose complete result details.</w:t>
      </w:r>
    </w:p>
    <w:p>
      <w:pPr>
        <w:pStyle w:val="ListBullet"/>
      </w:pPr>
      <w:r>
        <w:t>Undo and reset restore the expected prior state without mutating official state.</w:t>
      </w:r>
    </w:p>
    <w:p>
      <w:pPr>
        <w:pStyle w:val="ListBullet"/>
      </w:pPr>
      <w:r>
        <w:t>Official-versus-working comparison accurately lists changed mappings.</w:t>
      </w:r>
    </w:p>
    <w:p>
      <w:pPr>
        <w:pStyle w:val="ListBullet"/>
      </w:pPr>
      <w:r>
        <w:t>JSON and CSS exports are deterministic, schema-valid, and derived from the visible working state.</w:t>
      </w:r>
    </w:p>
    <w:p>
      <w:pPr>
        <w:pStyle w:val="ListBullet"/>
      </w:pPr>
      <w:r>
        <w:t>Keyboard-only operation completes the primary edit, inspect, compare, reset, and export flows.</w:t>
      </w:r>
    </w:p>
    <w:p>
      <w:pPr>
        <w:pStyle w:val="ListBullet"/>
      </w:pPr>
      <w:r>
        <w:t>Automated tests cover token resolution, validation, state transitions, accessibility calculations, and export formatting.</w:t>
      </w:r>
    </w:p>
    <w:p>
      <w:pPr>
        <w:pStyle w:val="ListBullet"/>
      </w:pPr>
      <w:r>
        <w:t>The implementation has no known blocking severity defects in the defined MVP workflows.</w:t>
      </w:r>
    </w:p>
    <w:p>
      <w:pPr>
        <w:pStyle w:val="Heading1"/>
      </w:pPr>
      <w:r>
        <w:t>11. Recommended implementation model</w:t>
      </w:r>
    </w:p>
    <w:p>
      <w:pPr>
        <w:pStyle w:val="ListBullet"/>
      </w:pPr>
      <w:r>
        <w:t>React with a small explicit application store or reducer-based state model.</w:t>
      </w:r>
    </w:p>
    <w:p>
      <w:pPr>
        <w:pStyle w:val="ListBullet"/>
      </w:pPr>
      <w:r>
        <w:t>CSS custom properties generated from resolved working state and applied at the preview root.</w:t>
      </w:r>
    </w:p>
    <w:p>
      <w:pPr>
        <w:pStyle w:val="ListBullet"/>
      </w:pPr>
      <w:r>
        <w:t>JSON token sources validated at application startup and before export.</w:t>
      </w:r>
    </w:p>
    <w:p>
      <w:pPr>
        <w:pStyle w:val="ListBullet"/>
      </w:pPr>
      <w:r>
        <w:t>Pure resolver, dependency, validation, and export functions covered by Vitest.</w:t>
      </w:r>
    </w:p>
    <w:p>
      <w:pPr>
        <w:pStyle w:val="ListBullet"/>
      </w:pPr>
      <w:r>
        <w:t>Preview components registered through structured usage metadata instead of hidden string conventions.</w:t>
      </w:r>
    </w:p>
    <w:p>
      <w:pPr>
        <w:pStyle w:val="ListBullet"/>
      </w:pPr>
      <w:r>
        <w:t>Accessibility calculations treated as derived analysis, with manual acceptance criteria kept separate from automated contrast results.</w:t>
      </w:r>
    </w:p>
    <w:p>
      <w:pPr>
        <w:pStyle w:val="Heading1"/>
      </w:pPr>
      <w:r>
        <w:t>12. Governance roadmap</w:t>
      </w:r>
    </w:p>
    <w:p>
      <w:pPr>
        <w:pStyle w:val="ListBullet"/>
      </w:pPr>
      <w:r>
        <w:t>Named configuration snapshots.</w:t>
      </w:r>
    </w:p>
    <w:p>
      <w:pPr>
        <w:pStyle w:val="ListBullet"/>
      </w:pPr>
      <w:r>
        <w:t>Snapshot comparison and mapping diffs.</w:t>
      </w:r>
    </w:p>
    <w:p>
      <w:pPr>
        <w:pStyle w:val="ListBullet"/>
      </w:pPr>
      <w:r>
        <w:t>Baseline and candidate version identifiers.</w:t>
      </w:r>
    </w:p>
    <w:p>
      <w:pPr>
        <w:pStyle w:val="ListBullet"/>
      </w:pPr>
      <w:r>
        <w:t>Change notes, reviewer, and decision status.</w:t>
      </w:r>
    </w:p>
    <w:p>
      <w:pPr>
        <w:pStyle w:val="ListBullet"/>
      </w:pPr>
      <w:r>
        <w:t>Restore from snapshot.</w:t>
      </w:r>
    </w:p>
    <w:p>
      <w:pPr>
        <w:pStyle w:val="ListBullet"/>
      </w:pPr>
      <w:r>
        <w:t>Audit integration for hard-coded and non-tokenized color findings.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2"/>
        <w:gridCol w:w="9432"/>
      </w:tblGrid>
      <w:tr>
        <w:tc>
          <w:tcPr>
            <w:tcW w:type="dxa" w:w="4997"/>
            <w:shd w:fill="2A9D8F"/>
          </w:tcPr>
          <w:p/>
        </w:tc>
        <w:tc>
          <w:tcPr>
            <w:tcW w:type="dxa" w:w="4997"/>
            <w:shd w:fill="F3F7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/>
            <w:r>
              <w:rPr>
                <w:rFonts w:ascii="Aptos" w:hAnsi="Aptos"/>
                <w:b/>
                <w:color w:val="2A9D8F"/>
                <w:sz w:val="22"/>
              </w:rPr>
              <w:t>Architecture decision</w:t>
              <w:br/>
            </w:r>
            <w:r>
              <w:rPr>
                <w:rFonts w:ascii="Aptos" w:hAnsi="Aptos"/>
                <w:color w:val="1E2A32"/>
                <w:sz w:val="20"/>
              </w:rPr>
              <w:t>Use one canonical working configuration as the input to previews, inspection, accessibility analysis, comparison, and export. Parallel or independently maintained representations will create drift and weaken trust in the Lab.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8656D"/>
        <w:sz w:val="16"/>
      </w:rPr>
      <w:t>STOBG Design System Lab  | 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8656D"/>
        <w:sz w:val="16"/>
      </w:rPr>
      <w:t>PROJECT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E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4B7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77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A9D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4B7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20" w:after="100"/>
    </w:pPr>
    <w:rPr>
      <w:rFonts w:asciiTheme="majorHAnsi" w:eastAsiaTheme="majorEastAsia" w:hAnsiTheme="majorHAnsi" w:cstheme="majorBidi" w:ascii="Aptos" w:hAnsi="Aptos"/>
      <w:b w:val="0"/>
      <w:i/>
      <w:iCs/>
      <w:color w:val="5865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200"/>
    </w:pPr>
    <w:rPr>
      <w:rFonts w:ascii="Aptos" w:hAnsi="Aptos"/>
      <w:b/>
      <w:color w:val="2A9D8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JJ Doherty</dc:creator>
  <keywords/>
  <dc:description>generated by python-docx</dc:description>
  <lastModifiedBy>JJ Doherty</lastModifiedBy>
  <revision>1</revision>
  <dcterms:created xsi:type="dcterms:W3CDTF">2026-08-25T14:34:20.8095301Z</dcterms:created>
  <dcterms:modified xsi:type="dcterms:W3CDTF">2026-08-25T14:34:20.8095301Z</dcterms:modified>
  <category/>
</coreProperties>
</file>