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t xml:space="preserve"/>
      </w:r>
    </w:p>
    <w:p>
      <w:pPr>
        <w:spacing w:after="120" w:before="0"/>
        <w:jc w:val="center"/>
      </w:pPr>
      <w:r>
        <w:rPr>
          <w:rFonts w:ascii="Arial" w:cs="Arial" w:eastAsia="Arial" w:hAnsi="Arial"/>
          <w:b/>
          <w:bCs/>
          <w:color w:val="1F3864"/>
          <w:sz w:val="52"/>
          <w:szCs w:val="52"/>
        </w:rPr>
        <w:t xml:space="preserve">MEMORIA TÉCNICA</w:t>
      </w:r>
    </w:p>
    <w:p>
      <w:pPr>
        <w:spacing w:after="80" w:before="0"/>
        <w:jc w:val="center"/>
      </w:pPr>
      <w:r>
        <w:rPr>
          <w:rFonts w:ascii="Arial" w:cs="Arial" w:eastAsia="Arial" w:hAnsi="Arial"/>
          <w:color w:val="2F5496"/>
          <w:sz w:val="36"/>
          <w:szCs w:val="36"/>
        </w:rPr>
        <w:t xml:space="preserve">Sistema de Evaluación de Calidad de Datos</w:t>
      </w:r>
    </w:p>
    <w:p>
      <w:pPr>
        <w:spacing w:after="480" w:before="0"/>
        <w:jc w:val="center"/>
      </w:pPr>
      <w:r>
        <w:rPr>
          <w:rFonts w:ascii="Arial" w:cs="Arial" w:eastAsia="Arial" w:hAnsi="Arial"/>
          <w:color w:val="666666"/>
          <w:sz w:val="26"/>
          <w:szCs w:val="26"/>
        </w:rPr>
        <w:t xml:space="preserve">Arquitectura ELT — data_quality v1.0.0</w:t>
      </w:r>
    </w:p>
    <w:p>
      <w:pPr>
        <w:spacing w:after="80" w:before="0"/>
        <w:jc w:val="center"/>
      </w:pPr>
      <w:r>
        <w:rPr>
          <w:rFonts w:ascii="Arial" w:cs="Arial" w:eastAsia="Arial" w:hAnsi="Arial"/>
          <w:b/>
          <w:bCs/>
          <w:color w:val="1A1A1A"/>
          <w:sz w:val="24"/>
          <w:szCs w:val="24"/>
        </w:rPr>
        <w:t xml:space="preserve">Global Seguros de Vida S.A.</w:t>
      </w:r>
    </w:p>
    <w:p>
      <w:pPr>
        <w:spacing w:after="80" w:before="0"/>
        <w:jc w:val="center"/>
      </w:pPr>
      <w:r>
        <w:rPr>
          <w:rFonts w:ascii="Arial" w:cs="Arial" w:eastAsia="Arial" w:hAnsi="Arial"/>
          <w:color w:val="555555"/>
          <w:sz w:val="24"/>
          <w:szCs w:val="24"/>
        </w:rPr>
        <w:t xml:space="preserve">Oficina de Inteligencia de Datos</w:t>
      </w:r>
    </w:p>
    <w:p>
      <w:pPr>
        <w:spacing w:after="1440" w:before="0"/>
        <w:jc w:val="center"/>
      </w:pPr>
      <w:r>
        <w:rPr>
          <w:rFonts w:ascii="Arial" w:cs="Arial" w:eastAsia="Arial" w:hAnsi="Arial"/>
          <w:color w:val="777777"/>
          <w:sz w:val="22"/>
          <w:szCs w:val="22"/>
        </w:rPr>
        <w:t xml:space="preserve">Abril 2026</w:t>
      </w:r>
    </w:p>
    <w:p>
      <w:pPr>
        <w:pBdr>
          <w:bottom w:val="single" w:color="1F3864" w:sz="12" w:space="1"/>
        </w:pBd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Versión</w:t>
            </w:r>
          </w:p>
        </w:tc>
        <w:tc>
          <w:tcPr>
            <w:tcW w:type="dxa" w:w="65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Entorno</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Development</w:t>
            </w:r>
          </w:p>
        </w:tc>
      </w:tr>
      <w:tr>
        <w:tc>
          <w:tcPr>
            <w:tcW w:type="dxa" w:w="2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Base de datos fuente</w:t>
            </w:r>
          </w:p>
        </w:tc>
        <w:tc>
          <w:tcPr>
            <w:tcW w:type="dxa" w:w="65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SQL Server — SISE (mpersona y catálogos)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Base de datos resultados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SQL Server — data_process (dbo)</w:t>
            </w:r>
          </w:p>
        </w:tc>
      </w:tr>
      <w:tr>
        <w:tc>
          <w:tcPr>
            <w:tcW w:type="dxa" w:w="2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Pipeline</w:t>
            </w:r>
          </w:p>
        </w:tc>
        <w:tc>
          <w:tcPr>
            <w:tcW w:type="dxa" w:w="65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data_quality_elt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Framework normativo</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DAMA / SARLAFT / SFC</w:t>
            </w:r>
          </w:p>
        </w:tc>
      </w:tr>
    </w:tbl>
    <w:p>
      <w:r>
        <w:br w:type="page"/>
      </w:r>
    </w:p>
    <w:p>
      <w:pPr>
        <w:pStyle w:val="Heading1"/>
        <w:pBdr>
          <w:bottom w:val="single" w:color="2F5496" w:sz="8" w:space="2"/>
        </w:pBdr>
        <w:spacing w:after="200" w:before="360"/>
      </w:pPr>
      <w:r>
        <w:rPr>
          <w:rFonts w:ascii="Arial" w:cs="Arial" w:eastAsia="Arial" w:hAnsi="Arial"/>
          <w:b/>
          <w:bCs/>
          <w:color w:val="1F3864"/>
          <w:sz w:val="32"/>
          <w:szCs w:val="32"/>
        </w:rPr>
        <w:t xml:space="preserve">1. Introducción</w:t>
      </w:r>
    </w:p>
    <w:p>
      <w:pPr>
        <w:spacing w:after="80" w:before="80"/>
        <w:jc w:val="both"/>
      </w:pPr>
      <w:r>
        <w:rPr>
          <w:rFonts w:ascii="Arial" w:cs="Arial" w:eastAsia="Arial" w:hAnsi="Arial"/>
          <w:b w:val="false"/>
          <w:bCs w:val="false"/>
          <w:color w:val="1A1A1A"/>
          <w:sz w:val="22"/>
          <w:szCs w:val="22"/>
        </w:rPr>
        <w:t xml:space="preserve">La calidad de los datos de los clientes constituye un elemento fundamental para la adecuada gestión del riesgo de Lavado de Activos y Financiación del Terrorismo (LAFT). Datos completos, válidos, consistentes y confiables permiten una correcta implementación de las políticas de conocimiento del cliente (KYC), fortalecen los procesos de debida diligencia y contribuyen a una identificación más precisa de la exposición al riesgo.</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En el marco conceptual para la evaluación del Sistema de Administración del Riesgo de LAFT (SARLAFT), la Superintendencia Financiera de Colombia (SFC) establece la necesidad de evaluar y realizar seguimiento continuo a la calidad de los datos de los clientes de las entidades vigiladas. La presente solución toma como referencia las buenas prácticas definidas por la Data Management Association (DAMA), organización que establece estándares internacionales para la gestión de datos.</w:t>
      </w:r>
    </w:p>
    <w:p>
      <w:pPr>
        <w:pStyle w:val="Heading2"/>
        <w:spacing w:after="140" w:before="280"/>
      </w:pPr>
      <w:r>
        <w:rPr>
          <w:rFonts w:ascii="Arial" w:cs="Arial" w:eastAsia="Arial" w:hAnsi="Arial"/>
          <w:b/>
          <w:bCs/>
          <w:color w:val="2F5496"/>
          <w:sz w:val="26"/>
          <w:szCs w:val="26"/>
        </w:rPr>
        <w:t xml:space="preserve">1.1 Dimensiones de calidad (DAMA)</w:t>
      </w:r>
    </w:p>
    <w:p>
      <w:pPr>
        <w:pStyle w:val="ListParagraph"/>
        <w:numPr>
          <w:ilvl w:val="0"/>
          <w:numId w:val="2"/>
        </w:numPr>
        <w:spacing w:after="40" w:before="40"/>
      </w:pPr>
      <w:r>
        <w:rPr>
          <w:rFonts w:ascii="Arial" w:cs="Arial" w:eastAsia="Arial" w:hAnsi="Arial"/>
          <w:color w:val="1A1A1A"/>
          <w:sz w:val="22"/>
          <w:szCs w:val="22"/>
        </w:rPr>
        <w:t xml:space="preserve">Completitud: existencia de valores en campos obligatorios.</w:t>
      </w:r>
    </w:p>
    <w:p>
      <w:pPr>
        <w:pStyle w:val="ListParagraph"/>
        <w:numPr>
          <w:ilvl w:val="0"/>
          <w:numId w:val="2"/>
        </w:numPr>
        <w:spacing w:after="40" w:before="40"/>
      </w:pPr>
      <w:r>
        <w:rPr>
          <w:rFonts w:ascii="Arial" w:cs="Arial" w:eastAsia="Arial" w:hAnsi="Arial"/>
          <w:color w:val="1A1A1A"/>
          <w:sz w:val="22"/>
          <w:szCs w:val="22"/>
        </w:rPr>
        <w:t xml:space="preserve">Validez: conformidad del valor con el tipo de dato esperado.</w:t>
      </w:r>
    </w:p>
    <w:p>
      <w:pPr>
        <w:pStyle w:val="ListParagraph"/>
        <w:numPr>
          <w:ilvl w:val="0"/>
          <w:numId w:val="2"/>
        </w:numPr>
        <w:spacing w:after="40" w:before="40"/>
      </w:pPr>
      <w:r>
        <w:rPr>
          <w:rFonts w:ascii="Arial" w:cs="Arial" w:eastAsia="Arial" w:hAnsi="Arial"/>
          <w:color w:val="1A1A1A"/>
          <w:sz w:val="22"/>
          <w:szCs w:val="22"/>
        </w:rPr>
        <w:t xml:space="preserve">Unicidad: ausencia de duplicados en campos que deben ser únicos.</w:t>
      </w:r>
    </w:p>
    <w:p>
      <w:pPr>
        <w:pStyle w:val="ListParagraph"/>
        <w:numPr>
          <w:ilvl w:val="0"/>
          <w:numId w:val="2"/>
        </w:numPr>
        <w:spacing w:after="40" w:before="40"/>
      </w:pPr>
      <w:r>
        <w:rPr>
          <w:rFonts w:ascii="Arial" w:cs="Arial" w:eastAsia="Arial" w:hAnsi="Arial"/>
          <w:color w:val="1A1A1A"/>
          <w:sz w:val="22"/>
          <w:szCs w:val="22"/>
        </w:rPr>
        <w:t xml:space="preserve">Consistencia: coherencia referencial entre tablas relacionadas.</w:t>
      </w:r>
    </w:p>
    <w:p>
      <w:pPr>
        <w:pStyle w:val="ListParagraph"/>
        <w:numPr>
          <w:ilvl w:val="0"/>
          <w:numId w:val="2"/>
        </w:numPr>
        <w:spacing w:after="40" w:before="40"/>
      </w:pPr>
      <w:r>
        <w:rPr>
          <w:rFonts w:ascii="Arial" w:cs="Arial" w:eastAsia="Arial" w:hAnsi="Arial"/>
          <w:color w:val="1A1A1A"/>
          <w:sz w:val="22"/>
          <w:szCs w:val="22"/>
        </w:rPr>
        <w:t xml:space="preserve">Precisión: exactitud del valor respecto a la realidad (pendiente).</w:t>
      </w:r>
    </w:p>
    <w:p>
      <w:pPr>
        <w:pStyle w:val="ListParagraph"/>
        <w:numPr>
          <w:ilvl w:val="0"/>
          <w:numId w:val="2"/>
        </w:numPr>
        <w:spacing w:after="40" w:before="40"/>
      </w:pPr>
      <w:r>
        <w:rPr>
          <w:rFonts w:ascii="Arial" w:cs="Arial" w:eastAsia="Arial" w:hAnsi="Arial"/>
          <w:color w:val="1A1A1A"/>
          <w:sz w:val="22"/>
          <w:szCs w:val="22"/>
        </w:rPr>
        <w:t xml:space="preserve">Oportunidad: actualidad de los datos (pendiente).</w:t>
      </w:r>
    </w:p>
    <w:p>
      <w:pPr>
        <w:spacing w:after="80" w:before="80"/>
      </w:pPr>
      <w:r>
        <w:t xml:space="preserve"/>
      </w:r>
    </w:p>
    <w:p>
      <w:pPr>
        <w:pStyle w:val="Heading1"/>
        <w:pBdr>
          <w:bottom w:val="single" w:color="2F5496" w:sz="8" w:space="2"/>
        </w:pBdr>
        <w:spacing w:after="200" w:before="360"/>
      </w:pPr>
      <w:r>
        <w:rPr>
          <w:rFonts w:ascii="Arial" w:cs="Arial" w:eastAsia="Arial" w:hAnsi="Arial"/>
          <w:b/>
          <w:bCs/>
          <w:color w:val="1F3864"/>
          <w:sz w:val="32"/>
          <w:szCs w:val="32"/>
        </w:rPr>
        <w:t xml:space="preserve">2. Problema y Justificación</w:t>
      </w:r>
    </w:p>
    <w:p>
      <w:pPr>
        <w:spacing w:after="80" w:before="80"/>
        <w:jc w:val="both"/>
      </w:pPr>
      <w:r>
        <w:rPr>
          <w:rFonts w:ascii="Arial" w:cs="Arial" w:eastAsia="Arial" w:hAnsi="Arial"/>
          <w:b w:val="false"/>
          <w:bCs w:val="false"/>
          <w:color w:val="1A1A1A"/>
          <w:sz w:val="22"/>
          <w:szCs w:val="22"/>
        </w:rPr>
        <w:t xml:space="preserve">A partir del análisis del contexto normativo y operativo, se identificaron las siguientes problemáticas que justifican el desarrollo del proyecto:</w:t>
      </w:r>
    </w:p>
    <w:p>
      <w:pPr>
        <w:spacing w:after="8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Ausencia de un modelo estandarizado de calidad de datos alineado con las dimensiones reconocidas por DAMA y los lineamientos del SARLAFT.</w:t>
      </w:r>
    </w:p>
    <w:p>
      <w:pPr>
        <w:pStyle w:val="ListParagraph"/>
        <w:numPr>
          <w:ilvl w:val="0"/>
          <w:numId w:val="2"/>
        </w:numPr>
        <w:spacing w:after="40" w:before="40"/>
      </w:pPr>
      <w:r>
        <w:rPr>
          <w:rFonts w:ascii="Arial" w:cs="Arial" w:eastAsia="Arial" w:hAnsi="Arial"/>
          <w:color w:val="1A1A1A"/>
          <w:sz w:val="22"/>
          <w:szCs w:val="22"/>
        </w:rPr>
        <w:t xml:space="preserve">Dificultad para realizar comparaciones consistentes en el tiempo, lo que limita el análisis de la evolución de la calidad de la información.</w:t>
      </w:r>
    </w:p>
    <w:p>
      <w:pPr>
        <w:pStyle w:val="ListParagraph"/>
        <w:numPr>
          <w:ilvl w:val="0"/>
          <w:numId w:val="2"/>
        </w:numPr>
        <w:spacing w:after="40" w:before="40"/>
      </w:pPr>
      <w:r>
        <w:rPr>
          <w:rFonts w:ascii="Arial" w:cs="Arial" w:eastAsia="Arial" w:hAnsi="Arial"/>
          <w:color w:val="1A1A1A"/>
          <w:sz w:val="22"/>
          <w:szCs w:val="22"/>
        </w:rPr>
        <w:t xml:space="preserve">Riesgo de inconsistencias en la información de los clientes, afectando la confiabilidad de los procesos de debida diligencia.</w:t>
      </w:r>
    </w:p>
    <w:p>
      <w:pPr>
        <w:pStyle w:val="ListParagraph"/>
        <w:numPr>
          <w:ilvl w:val="0"/>
          <w:numId w:val="2"/>
        </w:numPr>
        <w:spacing w:after="40" w:before="40"/>
      </w:pPr>
      <w:r>
        <w:rPr>
          <w:rFonts w:ascii="Arial" w:cs="Arial" w:eastAsia="Arial" w:hAnsi="Arial"/>
          <w:color w:val="1A1A1A"/>
          <w:sz w:val="22"/>
          <w:szCs w:val="22"/>
        </w:rPr>
        <w:t xml:space="preserve">Limitada evidencia cuantitativa y trazable para soportar procesos de supervisión y auditoría, tanto internos como externos.</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En consecuencia, la organización carece de un mecanismo estructurado, automatizado y repetible que permita medir objetivamente la calidad de los datos, documentar los resultados de cada evaluación, generar indicadores comparables entre periodos y proporcionar soporte técnico ante requerimientos regulatorios.</w:t>
      </w:r>
    </w:p>
    <w:p>
      <w:pPr>
        <w:spacing w:after="80" w:before="80"/>
      </w:pPr>
      <w:r>
        <w:t xml:space="preserve"/>
      </w:r>
    </w:p>
    <w:p>
      <w:pPr>
        <w:pStyle w:val="Heading1"/>
        <w:pBdr>
          <w:bottom w:val="single" w:color="2F5496" w:sz="8" w:space="2"/>
        </w:pBdr>
        <w:spacing w:after="200" w:before="360"/>
      </w:pPr>
      <w:r>
        <w:rPr>
          <w:rFonts w:ascii="Arial" w:cs="Arial" w:eastAsia="Arial" w:hAnsi="Arial"/>
          <w:b/>
          <w:bCs/>
          <w:color w:val="1F3864"/>
          <w:sz w:val="32"/>
          <w:szCs w:val="32"/>
        </w:rPr>
        <w:t xml:space="preserve">3. Solución: Arquitectura ELT</w:t>
      </w:r>
    </w:p>
    <w:p>
      <w:pPr>
        <w:spacing w:after="80" w:before="80"/>
        <w:jc w:val="both"/>
      </w:pPr>
      <w:r>
        <w:rPr>
          <w:rFonts w:ascii="Arial" w:cs="Arial" w:eastAsia="Arial" w:hAnsi="Arial"/>
          <w:b w:val="false"/>
          <w:bCs w:val="false"/>
          <w:color w:val="1A1A1A"/>
          <w:sz w:val="22"/>
          <w:szCs w:val="22"/>
        </w:rPr>
        <w:t xml:space="preserve">Se propone el diseño e implementación de un sistema automatizado de evaluación de calidad de datos de clientes, basado en una arquitectura ELT (Extract, Load, Transform).</w:t>
      </w:r>
    </w:p>
    <w:p>
      <w:pPr>
        <w:pStyle w:val="Heading2"/>
        <w:spacing w:after="140" w:before="280"/>
      </w:pPr>
      <w:r>
        <w:rPr>
          <w:rFonts w:ascii="Arial" w:cs="Arial" w:eastAsia="Arial" w:hAnsi="Arial"/>
          <w:b/>
          <w:bCs/>
          <w:color w:val="2F5496"/>
          <w:sz w:val="26"/>
          <w:szCs w:val="26"/>
        </w:rPr>
        <w:t xml:space="preserve">3.1 Flujo general del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Fase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Módulo</w:t>
            </w:r>
          </w:p>
        </w:tc>
        <w:tc>
          <w:tcPr>
            <w:tcW w:type="dxa" w:w="5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Extract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extract/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Conexión a SQL Server, lectura de tablas mediante archivos .sql, carga en DataFrames de pandas.</w:t>
            </w:r>
          </w:p>
        </w:tc>
      </w:tr>
      <w:tr>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Load</w:t>
            </w:r>
          </w:p>
        </w:tc>
        <w:tc>
          <w:tcPr>
            <w:tcW w:type="dxa" w:w="2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load/</w:t>
            </w:r>
          </w:p>
        </w:tc>
        <w:tc>
          <w:tcPr>
            <w:tcW w:type="dxa" w:w="50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Registro de ejecución, resolución de catálogos (tabla, campo, dimensión) con get_or_create, inserción en dbo.Resultado.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Transform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transform/</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Cálculo de reglas por dimensión, generación del score global y exportación a Excel.</w:t>
            </w:r>
          </w:p>
        </w:tc>
      </w:tr>
    </w:tbl>
    <w:p>
      <w:pPr>
        <w:pStyle w:val="Heading2"/>
        <w:spacing w:after="140" w:before="280"/>
      </w:pPr>
      <w:r>
        <w:rPr>
          <w:rFonts w:ascii="Arial" w:cs="Arial" w:eastAsia="Arial" w:hAnsi="Arial"/>
          <w:b/>
          <w:bCs/>
          <w:color w:val="2F5496"/>
          <w:sz w:val="26"/>
          <w:szCs w:val="26"/>
        </w:rPr>
        <w:t xml:space="preserve">3.2 Modelo de datos — Base de resultados (data_process)</w:t>
      </w:r>
    </w:p>
    <w:p>
      <w:pPr>
        <w:spacing w:after="80" w:before="80"/>
        <w:jc w:val="both"/>
      </w:pPr>
      <w:r>
        <w:rPr>
          <w:rFonts w:ascii="Arial" w:cs="Arial" w:eastAsia="Arial" w:hAnsi="Arial"/>
          <w:b w:val="false"/>
          <w:bCs w:val="false"/>
          <w:color w:val="1A1A1A"/>
          <w:sz w:val="22"/>
          <w:szCs w:val="22"/>
        </w:rPr>
        <w:t xml:space="preserve">El modelo relacional almacena los resultados de cada ejecución de manera trazable y comparable en el tiempo:</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Tabla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Clave primaria</w:t>
            </w:r>
          </w:p>
        </w:tc>
        <w:tc>
          <w:tcPr>
            <w:tcW w:type="dxa" w:w="4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dbo.Ejecucion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id (IDENTITY)</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Registro de cada corrida del pipeline (fecha, fuente, notas).</w:t>
            </w:r>
          </w:p>
        </w:tc>
      </w:tr>
      <w:tr>
        <w:tc>
          <w:tcPr>
            <w:tcW w:type="dxa" w:w="2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dbo.Tabla</w:t>
            </w:r>
          </w:p>
        </w:tc>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id (IDENTITY)</w:t>
            </w:r>
          </w:p>
        </w:tc>
        <w:tc>
          <w:tcPr>
            <w:tcW w:type="dxa" w:w="48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Catálogo de nombres de tablas evaluadas.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dbo.Campo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id (IDENTITY)</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Catálogo de campos por tabla (FK a Tabla).</w:t>
            </w:r>
          </w:p>
        </w:tc>
      </w:tr>
      <w:tr>
        <w:tc>
          <w:tcPr>
            <w:tcW w:type="dxa" w:w="2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dbo.Dimension</w:t>
            </w:r>
          </w:p>
        </w:tc>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id (IDENTITY)</w:t>
            </w:r>
          </w:p>
        </w:tc>
        <w:tc>
          <w:tcPr>
            <w:tcW w:type="dxa" w:w="48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Catálogo de dimensiones de calidad.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dbo.Resultado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id (IDENTITY)</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Score (0–100) por ejecucion + campo + dimension. Índice único sobre (id_ejecucion, id_campo, id_dimension).</w:t>
            </w:r>
          </w:p>
        </w:tc>
      </w:tr>
    </w:tbl>
    <w:p>
      <w:r>
        <w:br w:type="page"/>
      </w:r>
    </w:p>
    <w:p>
      <w:pPr>
        <w:pStyle w:val="Heading1"/>
        <w:pBdr>
          <w:bottom w:val="single" w:color="2F5496" w:sz="8" w:space="2"/>
        </w:pBdr>
        <w:spacing w:after="200" w:before="360"/>
      </w:pPr>
      <w:r>
        <w:rPr>
          <w:rFonts w:ascii="Arial" w:cs="Arial" w:eastAsia="Arial" w:hAnsi="Arial"/>
          <w:b/>
          <w:bCs/>
          <w:color w:val="1F3864"/>
          <w:sz w:val="32"/>
          <w:szCs w:val="32"/>
        </w:rPr>
        <w:t xml:space="preserve">4. Estructura del Repositorio</w:t>
      </w:r>
    </w:p>
    <w:p>
      <w:pPr>
        <w:spacing w:after="80" w:before="80"/>
        <w:jc w:val="both"/>
      </w:pPr>
      <w:r>
        <w:rPr>
          <w:rFonts w:ascii="Arial" w:cs="Arial" w:eastAsia="Arial" w:hAnsi="Arial"/>
          <w:b w:val="false"/>
          <w:bCs w:val="false"/>
          <w:color w:val="1A1A1A"/>
          <w:sz w:val="22"/>
          <w:szCs w:val="22"/>
        </w:rPr>
        <w:t xml:space="preserve">El proyecto sigue una arquitectura modular organizada por responsabilidades: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Ruta</w:t>
            </w:r>
          </w:p>
        </w:tc>
        <w:tc>
          <w:tcPr>
            <w:tcW w:type="dxa" w:w="6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config/db_connections.py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Engines SQLAlchemy para BD fuente y BD de resultados. Parámetros desde .env.</w:t>
            </w:r>
          </w:p>
        </w:tc>
      </w:tr>
      <w:tr>
        <w:tc>
          <w:tcPr>
            <w:tcW w:type="dxa" w:w="3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config/load_config.py</w:t>
            </w:r>
          </w:p>
        </w:tc>
        <w:tc>
          <w:tcPr>
            <w:tcW w:type="dxa" w:w="60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Lectura del archivo parameters.yaml (configuración general y mapeo de tablas/campos/dimensiones).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config/parameters.yaml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Configuración declarativa del pipeline: tablas a extraer, campos a evaluar y dimensiones por campo.</w:t>
            </w:r>
          </w:p>
        </w:tc>
      </w:tr>
      <w:tr>
        <w:tc>
          <w:tcPr>
            <w:tcW w:type="dxa" w:w="3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extract/extract_all.py</w:t>
            </w:r>
          </w:p>
        </w:tc>
        <w:tc>
          <w:tcPr>
            <w:tcW w:type="dxa" w:w="60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Itera las tablas definidas en YAML y delega la lectura a extract_table.py.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extract/extract_table.py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Lee el archivo .sql correspondiente y ejecuta la consulta contra SQL Server.</w:t>
            </w:r>
          </w:p>
        </w:tc>
      </w:tr>
      <w:tr>
        <w:tc>
          <w:tcPr>
            <w:tcW w:type="dxa" w:w="3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extract/queries/*.sql</w:t>
            </w:r>
          </w:p>
        </w:tc>
        <w:tc>
          <w:tcPr>
            <w:tcW w:type="dxa" w:w="60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Consultas SELECT por tabla (mpersona, ttipo_doc, tdpto, tmunicipio, tpais, test_civil, mpersona_telef, ttipo_telef, mpersona_dir, mpersona_sarlaft).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transform/rules/completitud.py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Regla: porcentaje de valores no nulos sobre el total.</w:t>
            </w:r>
          </w:p>
        </w:tc>
      </w:tr>
      <w:tr>
        <w:tc>
          <w:tcPr>
            <w:tcW w:type="dxa" w:w="3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transform/rules/validez.py</w:t>
            </w:r>
          </w:p>
        </w:tc>
        <w:tc>
          <w:tcPr>
            <w:tcW w:type="dxa" w:w="60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Reglas: alfabético, alfanumérico, numérico, numérico positivo, fecha datetime, contacto (teléfono/email).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transform/rules/unicidad.py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Regla: porcentaje de valores no duplicados (excluye nulos).</w:t>
            </w:r>
          </w:p>
        </w:tc>
      </w:tr>
      <w:tr>
        <w:tc>
          <w:tcPr>
            <w:tcW w:type="dxa" w:w="3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transform/rules/consistencia.py</w:t>
            </w:r>
          </w:p>
        </w:tc>
        <w:tc>
          <w:tcPr>
            <w:tcW w:type="dxa" w:w="60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Regla: porcentaje de valores presentes en la tabla de referencia (integridad referencial).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transform/calculate_metrics.py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Orquesta la evaluación: lee YAML, llama a las reglas y retorna lista de métricas.</w:t>
            </w:r>
          </w:p>
        </w:tc>
      </w:tr>
      <w:tr>
        <w:tc>
          <w:tcPr>
            <w:tcW w:type="dxa" w:w="3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transform/calculate_score.py</w:t>
            </w:r>
          </w:p>
        </w:tc>
        <w:tc>
          <w:tcPr>
            <w:tcW w:type="dxa" w:w="60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Consulta la última ejecucion en BD y calcula el Data Quality Score global.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load/preload.py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Resuelve catálogos (get_or_create) y construye las filas a insertar.</w:t>
            </w:r>
          </w:p>
        </w:tc>
      </w:tr>
      <w:tr>
        <w:tc>
          <w:tcPr>
            <w:tcW w:type="dxa" w:w="3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load/load_results.py</w:t>
            </w:r>
          </w:p>
        </w:tc>
        <w:tc>
          <w:tcPr>
            <w:tcW w:type="dxa" w:w="60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Coordina preload y la inserción masiva en dbo.Resultado.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results/export_excel.py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Genera reporte Excel con tres hojas: detalle por campo, resumen por tabla y resumen por dimensión.</w:t>
            </w:r>
          </w:p>
        </w:tc>
      </w:tr>
      <w:tr>
        <w:tc>
          <w:tcPr>
            <w:tcW w:type="dxa" w:w="3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main.py</w:t>
            </w:r>
          </w:p>
        </w:tc>
        <w:tc>
          <w:tcPr>
            <w:tcW w:type="dxa" w:w="60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Punto de entrada: orquesta Extract → Transform (métricas) → Load → Transform (score + Excel).</w:t>
            </w:r>
          </w:p>
        </w:tc>
      </w:tr>
    </w:tbl>
    <w:p>
      <w:r>
        <w:br w:type="page"/>
      </w:r>
    </w:p>
    <w:p>
      <w:pPr>
        <w:pStyle w:val="Heading1"/>
        <w:pBdr>
          <w:bottom w:val="single" w:color="2F5496" w:sz="8" w:space="2"/>
        </w:pBdr>
        <w:spacing w:after="200" w:before="360"/>
      </w:pPr>
      <w:r>
        <w:rPr>
          <w:rFonts w:ascii="Arial" w:cs="Arial" w:eastAsia="Arial" w:hAnsi="Arial"/>
          <w:b/>
          <w:bCs/>
          <w:color w:val="1F3864"/>
          <w:sz w:val="32"/>
          <w:szCs w:val="32"/>
        </w:rPr>
        <w:t xml:space="preserve">5. Descripción de Componentes</w:t>
      </w:r>
    </w:p>
    <w:p>
      <w:pPr>
        <w:pStyle w:val="Heading2"/>
        <w:spacing w:after="140" w:before="280"/>
      </w:pPr>
      <w:r>
        <w:rPr>
          <w:rFonts w:ascii="Arial" w:cs="Arial" w:eastAsia="Arial" w:hAnsi="Arial"/>
          <w:b/>
          <w:bCs/>
          <w:color w:val="2F5496"/>
          <w:sz w:val="26"/>
          <w:szCs w:val="26"/>
        </w:rPr>
        <w:t xml:space="preserve">5.1 Extracción (extract/)</w:t>
      </w:r>
    </w:p>
    <w:p>
      <w:pPr>
        <w:spacing w:after="80" w:before="80"/>
        <w:jc w:val="both"/>
      </w:pPr>
      <w:r>
        <w:rPr>
          <w:rFonts w:ascii="Arial" w:cs="Arial" w:eastAsia="Arial" w:hAnsi="Arial"/>
          <w:b w:val="false"/>
          <w:bCs w:val="false"/>
          <w:color w:val="1A1A1A"/>
          <w:sz w:val="22"/>
          <w:szCs w:val="22"/>
        </w:rPr>
        <w:t xml:space="preserve">La fase de extracción obtiene cada tabla del sistema SISE (SQL Server) ejecutando el archivo SQL correspondiente y devolviendo un DataFrame de pandas. El engine se construye mediante SQLAlchemy con pyodbc, leyendo las credenciales desde variables de entorno (.env).</w:t>
      </w:r>
    </w:p>
    <w:p>
      <w:pPr>
        <w:spacing w:after="80" w:before="80"/>
      </w:pPr>
      <w:r>
        <w:t xml:space="preserve"/>
      </w:r>
    </w:p>
    <w:p>
      <w:pPr>
        <w:spacing w:after="80" w:before="80"/>
        <w:jc w:val="both"/>
      </w:pPr>
      <w:r>
        <w:rPr>
          <w:rFonts w:ascii="Arial" w:cs="Arial" w:eastAsia="Arial" w:hAnsi="Arial"/>
          <w:b/>
          <w:bCs/>
          <w:color w:val="1A1A1A"/>
          <w:sz w:val="22"/>
          <w:szCs w:val="22"/>
        </w:rPr>
        <w:t xml:space="preserve">Tablas extraídas:</w:t>
      </w:r>
    </w:p>
    <w:p>
      <w:pPr>
        <w:pStyle w:val="ListParagraph"/>
        <w:numPr>
          <w:ilvl w:val="0"/>
          <w:numId w:val="2"/>
        </w:numPr>
        <w:spacing w:after="40" w:before="40"/>
      </w:pPr>
      <w:r>
        <w:rPr>
          <w:rFonts w:ascii="Arial" w:cs="Arial" w:eastAsia="Arial" w:hAnsi="Arial"/>
          <w:color w:val="1A1A1A"/>
          <w:sz w:val="22"/>
          <w:szCs w:val="22"/>
        </w:rPr>
        <w:t xml:space="preserve">mpersona — Tabla principal de personas naturales y jurídicas.</w:t>
      </w:r>
    </w:p>
    <w:p>
      <w:pPr>
        <w:pStyle w:val="ListParagraph"/>
        <w:numPr>
          <w:ilvl w:val="0"/>
          <w:numId w:val="2"/>
        </w:numPr>
        <w:spacing w:after="40" w:before="40"/>
      </w:pPr>
      <w:r>
        <w:rPr>
          <w:rFonts w:ascii="Arial" w:cs="Arial" w:eastAsia="Arial" w:hAnsi="Arial"/>
          <w:color w:val="1A1A1A"/>
          <w:sz w:val="22"/>
          <w:szCs w:val="22"/>
        </w:rPr>
        <w:t xml:space="preserve">mpersona_sarlaft — Información financiera SARLAFT por persona.</w:t>
      </w:r>
    </w:p>
    <w:p>
      <w:pPr>
        <w:pStyle w:val="ListParagraph"/>
        <w:numPr>
          <w:ilvl w:val="0"/>
          <w:numId w:val="2"/>
        </w:numPr>
        <w:spacing w:after="40" w:before="40"/>
      </w:pPr>
      <w:r>
        <w:rPr>
          <w:rFonts w:ascii="Arial" w:cs="Arial" w:eastAsia="Arial" w:hAnsi="Arial"/>
          <w:color w:val="1A1A1A"/>
          <w:sz w:val="22"/>
          <w:szCs w:val="22"/>
        </w:rPr>
        <w:t xml:space="preserve">mpersona_telef — Contactos telefónicos por persona.</w:t>
      </w:r>
    </w:p>
    <w:p>
      <w:pPr>
        <w:pStyle w:val="ListParagraph"/>
        <w:numPr>
          <w:ilvl w:val="0"/>
          <w:numId w:val="2"/>
        </w:numPr>
        <w:spacing w:after="40" w:before="40"/>
      </w:pPr>
      <w:r>
        <w:rPr>
          <w:rFonts w:ascii="Arial" w:cs="Arial" w:eastAsia="Arial" w:hAnsi="Arial"/>
          <w:color w:val="1A1A1A"/>
          <w:sz w:val="22"/>
          <w:szCs w:val="22"/>
        </w:rPr>
        <w:t xml:space="preserve">mpersona_dir — Direcciones por persona.</w:t>
      </w:r>
    </w:p>
    <w:p>
      <w:pPr>
        <w:pStyle w:val="ListParagraph"/>
        <w:numPr>
          <w:ilvl w:val="0"/>
          <w:numId w:val="2"/>
        </w:numPr>
        <w:spacing w:after="40" w:before="40"/>
      </w:pPr>
      <w:r>
        <w:rPr>
          <w:rFonts w:ascii="Arial" w:cs="Arial" w:eastAsia="Arial" w:hAnsi="Arial"/>
          <w:color w:val="1A1A1A"/>
          <w:sz w:val="22"/>
          <w:szCs w:val="22"/>
        </w:rPr>
        <w:t xml:space="preserve">ttipo_doc — Catálogo de tipos de documento.</w:t>
      </w:r>
    </w:p>
    <w:p>
      <w:pPr>
        <w:pStyle w:val="ListParagraph"/>
        <w:numPr>
          <w:ilvl w:val="0"/>
          <w:numId w:val="2"/>
        </w:numPr>
        <w:spacing w:after="40" w:before="40"/>
      </w:pPr>
      <w:r>
        <w:rPr>
          <w:rFonts w:ascii="Arial" w:cs="Arial" w:eastAsia="Arial" w:hAnsi="Arial"/>
          <w:color w:val="1A1A1A"/>
          <w:sz w:val="22"/>
          <w:szCs w:val="22"/>
        </w:rPr>
        <w:t xml:space="preserve">tpais — Catálogo de países.</w:t>
      </w:r>
    </w:p>
    <w:p>
      <w:pPr>
        <w:pStyle w:val="ListParagraph"/>
        <w:numPr>
          <w:ilvl w:val="0"/>
          <w:numId w:val="2"/>
        </w:numPr>
        <w:spacing w:after="40" w:before="40"/>
      </w:pPr>
      <w:r>
        <w:rPr>
          <w:rFonts w:ascii="Arial" w:cs="Arial" w:eastAsia="Arial" w:hAnsi="Arial"/>
          <w:color w:val="1A1A1A"/>
          <w:sz w:val="22"/>
          <w:szCs w:val="22"/>
        </w:rPr>
        <w:t xml:space="preserve">tdpto — Catálogo de departamentos.</w:t>
      </w:r>
    </w:p>
    <w:p>
      <w:pPr>
        <w:pStyle w:val="ListParagraph"/>
        <w:numPr>
          <w:ilvl w:val="0"/>
          <w:numId w:val="2"/>
        </w:numPr>
        <w:spacing w:after="40" w:before="40"/>
      </w:pPr>
      <w:r>
        <w:rPr>
          <w:rFonts w:ascii="Arial" w:cs="Arial" w:eastAsia="Arial" w:hAnsi="Arial"/>
          <w:color w:val="1A1A1A"/>
          <w:sz w:val="22"/>
          <w:szCs w:val="22"/>
        </w:rPr>
        <w:t xml:space="preserve">tmunicipio — Catálogo de municipios.</w:t>
      </w:r>
    </w:p>
    <w:p>
      <w:pPr>
        <w:pStyle w:val="ListParagraph"/>
        <w:numPr>
          <w:ilvl w:val="0"/>
          <w:numId w:val="2"/>
        </w:numPr>
        <w:spacing w:after="40" w:before="40"/>
      </w:pPr>
      <w:r>
        <w:rPr>
          <w:rFonts w:ascii="Arial" w:cs="Arial" w:eastAsia="Arial" w:hAnsi="Arial"/>
          <w:color w:val="1A1A1A"/>
          <w:sz w:val="22"/>
          <w:szCs w:val="22"/>
        </w:rPr>
        <w:t xml:space="preserve">test_civil — Catálogo de estados civiles.</w:t>
      </w:r>
    </w:p>
    <w:p>
      <w:pPr>
        <w:pStyle w:val="ListParagraph"/>
        <w:numPr>
          <w:ilvl w:val="0"/>
          <w:numId w:val="2"/>
        </w:numPr>
        <w:spacing w:after="40" w:before="40"/>
      </w:pPr>
      <w:r>
        <w:rPr>
          <w:rFonts w:ascii="Arial" w:cs="Arial" w:eastAsia="Arial" w:hAnsi="Arial"/>
          <w:color w:val="1A1A1A"/>
          <w:sz w:val="22"/>
          <w:szCs w:val="22"/>
        </w:rPr>
        <w:t xml:space="preserve">ttipo_telef — Catálogo de tipos de teléfono.</w:t>
      </w:r>
    </w:p>
    <w:p>
      <w:pPr>
        <w:pStyle w:val="Heading2"/>
        <w:spacing w:after="140" w:before="280"/>
      </w:pPr>
      <w:r>
        <w:rPr>
          <w:rFonts w:ascii="Arial" w:cs="Arial" w:eastAsia="Arial" w:hAnsi="Arial"/>
          <w:b/>
          <w:bCs/>
          <w:color w:val="2F5496"/>
          <w:sz w:val="26"/>
          <w:szCs w:val="26"/>
        </w:rPr>
        <w:t xml:space="preserve">5.2 Reglas de Evaluación (transform/rules/)</w:t>
      </w:r>
    </w:p>
    <w:p>
      <w:pPr>
        <w:pStyle w:val="Heading3"/>
        <w:spacing w:after="100" w:before="200"/>
      </w:pPr>
      <w:r>
        <w:rPr>
          <w:rFonts w:ascii="Arial" w:cs="Arial" w:eastAsia="Arial" w:hAnsi="Arial"/>
          <w:b/>
          <w:bCs/>
          <w:color w:val="404040"/>
          <w:sz w:val="22"/>
          <w:szCs w:val="22"/>
        </w:rPr>
        <w:t xml:space="preserve">Completitud</w:t>
      </w:r>
    </w:p>
    <w:p>
      <w:pPr>
        <w:spacing w:after="80" w:before="80"/>
        <w:jc w:val="both"/>
      </w:pPr>
      <w:r>
        <w:rPr>
          <w:rFonts w:ascii="Arial" w:cs="Arial" w:eastAsia="Arial" w:hAnsi="Arial"/>
          <w:b w:val="false"/>
          <w:bCs w:val="false"/>
          <w:color w:val="1A1A1A"/>
          <w:sz w:val="22"/>
          <w:szCs w:val="22"/>
        </w:rPr>
        <w:t xml:space="preserve">Calcula el porcentaje de registros con valor no nulo sobre el total de registros de la serie. Un campo en blanco (string vacío) no se considera nulo, pero los valores pd.NA / NaN sí.</w:t>
      </w:r>
    </w:p>
    <w:p>
      <w:pPr>
        <w:shd w:fill="F8F8F8" w:val="clear"/>
        <w:spacing w:after="40" w:before="40"/>
        <w:ind w:left="720"/>
      </w:pPr>
      <w:r>
        <w:rPr>
          <w:rFonts w:ascii="Courier New" w:cs="Courier New" w:eastAsia="Courier New" w:hAnsi="Courier New"/>
          <w:color w:val="C0392B"/>
          <w:sz w:val="18"/>
          <w:szCs w:val="18"/>
        </w:rPr>
        <w:t xml:space="preserve">score = (serie.notna().sum() / len(serie)) * 100</w:t>
      </w:r>
    </w:p>
    <w:p>
      <w:pPr>
        <w:pStyle w:val="Heading3"/>
        <w:spacing w:after="100" w:before="200"/>
      </w:pPr>
      <w:r>
        <w:rPr>
          <w:rFonts w:ascii="Arial" w:cs="Arial" w:eastAsia="Arial" w:hAnsi="Arial"/>
          <w:b/>
          <w:bCs/>
          <w:color w:val="404040"/>
          <w:sz w:val="22"/>
          <w:szCs w:val="22"/>
        </w:rPr>
        <w:t xml:space="preserve">Validez</w:t>
      </w:r>
    </w:p>
    <w:p>
      <w:pPr>
        <w:spacing w:after="80" w:before="80"/>
        <w:jc w:val="both"/>
      </w:pPr>
      <w:r>
        <w:rPr>
          <w:rFonts w:ascii="Arial" w:cs="Arial" w:eastAsia="Arial" w:hAnsi="Arial"/>
          <w:b w:val="false"/>
          <w:bCs w:val="false"/>
          <w:color w:val="1A1A1A"/>
          <w:sz w:val="22"/>
          <w:szCs w:val="22"/>
        </w:rPr>
        <w:t xml:space="preserve">Excluye primero los nulos/blancos y evalúa el patrón del tipo declarado en parameters.yaml:</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tipo_validez</w:t>
            </w:r>
          </w:p>
        </w:tc>
        <w:tc>
          <w:tcPr>
            <w:tcW w:type="dxa" w:w="6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Lógica aplicada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Alfabético</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Regex ^[A-Za-z y acentos]+$ sobre la serie limpia.</w:t>
            </w:r>
          </w:p>
        </w:tc>
      </w:tr>
      <w:tr>
        <w:tc>
          <w:tcPr>
            <w:tcW w:type="dxa" w:w="2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Alfanumérico</w:t>
            </w:r>
          </w:p>
        </w:tc>
        <w:tc>
          <w:tcPr>
            <w:tcW w:type="dxa" w:w="65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Regex ampliado que admite dígitos, guiones, puntos, barras y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Numérico</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pd.to_numeric(errors='coerce') — valores convertibles.</w:t>
            </w:r>
          </w:p>
        </w:tc>
      </w:tr>
      <w:tr>
        <w:tc>
          <w:tcPr>
            <w:tcW w:type="dxa" w:w="2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Numérico Positivo</w:t>
            </w:r>
          </w:p>
        </w:tc>
        <w:tc>
          <w:tcPr>
            <w:tcW w:type="dxa" w:w="65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Ídem anterior más condición &gt;= 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Fecha (DateTime)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pd.to_datetime con formato estricto YYYY-MM-DD HH:MM:SS.</w:t>
            </w:r>
          </w:p>
        </w:tc>
      </w:tr>
      <w:tr>
        <w:tc>
          <w:tcPr>
            <w:tcW w:type="dxa" w:w="2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Contacto</w:t>
            </w:r>
          </w:p>
        </w:tc>
        <w:tc>
          <w:tcPr>
            <w:tcW w:type="dxa" w:w="65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Alfanumérico OR regex de email.</w:t>
            </w:r>
          </w:p>
        </w:tc>
      </w:tr>
    </w:tbl>
    <w:p>
      <w:pPr>
        <w:pStyle w:val="Heading3"/>
        <w:spacing w:after="100" w:before="200"/>
      </w:pPr>
      <w:r>
        <w:rPr>
          <w:rFonts w:ascii="Arial" w:cs="Arial" w:eastAsia="Arial" w:hAnsi="Arial"/>
          <w:b/>
          <w:bCs/>
          <w:color w:val="404040"/>
          <w:sz w:val="22"/>
          <w:szCs w:val="22"/>
        </w:rPr>
        <w:t xml:space="preserve">Unicidad</w:t>
      </w:r>
    </w:p>
    <w:p>
      <w:pPr>
        <w:spacing w:after="80" w:before="80"/>
        <w:jc w:val="both"/>
      </w:pPr>
      <w:r>
        <w:rPr>
          <w:rFonts w:ascii="Arial" w:cs="Arial" w:eastAsia="Arial" w:hAnsi="Arial"/>
          <w:b w:val="false"/>
          <w:bCs w:val="false"/>
          <w:color w:val="1A1A1A"/>
          <w:sz w:val="22"/>
          <w:szCs w:val="22"/>
        </w:rPr>
        <w:t xml:space="preserve">Descarta nulos y calcula el porcentaje de valores no duplicados. Un valor que aparece dos o más veces en la serie se considera duplicado (keep=False).</w:t>
      </w:r>
    </w:p>
    <w:p>
      <w:pPr>
        <w:shd w:fill="F8F8F8" w:val="clear"/>
        <w:spacing w:after="40" w:before="40"/>
        <w:ind w:left="720"/>
      </w:pPr>
      <w:r>
        <w:rPr>
          <w:rFonts w:ascii="Courier New" w:cs="Courier New" w:eastAsia="Courier New" w:hAnsi="Courier New"/>
          <w:color w:val="C0392B"/>
          <w:sz w:val="18"/>
          <w:szCs w:val="18"/>
        </w:rPr>
        <w:t xml:space="preserve">unique_pct = (~serie_clean.duplicated(keep=False)).sum() / len(serie_clean) * 100</w:t>
      </w:r>
    </w:p>
    <w:p>
      <w:pPr>
        <w:pStyle w:val="Heading3"/>
        <w:spacing w:after="100" w:before="200"/>
      </w:pPr>
      <w:r>
        <w:rPr>
          <w:rFonts w:ascii="Arial" w:cs="Arial" w:eastAsia="Arial" w:hAnsi="Arial"/>
          <w:b/>
          <w:bCs/>
          <w:color w:val="404040"/>
          <w:sz w:val="22"/>
          <w:szCs w:val="22"/>
        </w:rPr>
        <w:t xml:space="preserve">Consistencia</w:t>
      </w:r>
    </w:p>
    <w:p>
      <w:pPr>
        <w:spacing w:after="80" w:before="80"/>
        <w:jc w:val="both"/>
      </w:pPr>
      <w:r>
        <w:rPr>
          <w:rFonts w:ascii="Arial" w:cs="Arial" w:eastAsia="Arial" w:hAnsi="Arial"/>
          <w:b w:val="false"/>
          <w:bCs w:val="false"/>
          <w:color w:val="1A1A1A"/>
          <w:sz w:val="22"/>
          <w:szCs w:val="22"/>
        </w:rPr>
        <w:t xml:space="preserve">Descarta nulos en la serie origen y verifica que cada valor exista en la serie de referencia (clave de la tabla padre). El mapeo campo → tabla de referencia está centralizado en la función consistency_relation() dentro de consistencia.py.</w:t>
      </w:r>
    </w:p>
    <w:p>
      <w:pPr>
        <w:shd w:fill="F8F8F8" w:val="clear"/>
        <w:spacing w:after="40" w:before="40"/>
        <w:ind w:left="720"/>
      </w:pPr>
      <w:r>
        <w:rPr>
          <w:rFonts w:ascii="Courier New" w:cs="Courier New" w:eastAsia="Courier New" w:hAnsi="Courier New"/>
          <w:color w:val="C0392B"/>
          <w:sz w:val="18"/>
          <w:szCs w:val="18"/>
        </w:rPr>
        <w:t xml:space="preserve">score = serie_clean.isin(serie_key).sum() / len(serie_clean) * 100</w:t>
      </w:r>
    </w:p>
    <w:p>
      <w:r>
        <w:br w:type="page"/>
      </w:r>
    </w:p>
    <w:p>
      <w:pPr>
        <w:pStyle w:val="Heading2"/>
        <w:spacing w:after="140" w:before="280"/>
      </w:pPr>
      <w:r>
        <w:rPr>
          <w:rFonts w:ascii="Arial" w:cs="Arial" w:eastAsia="Arial" w:hAnsi="Arial"/>
          <w:b/>
          <w:bCs/>
          <w:color w:val="2F5496"/>
          <w:sz w:val="26"/>
          <w:szCs w:val="26"/>
        </w:rPr>
        <w:t xml:space="preserve">5.3 Carga de resultados (load/)</w:t>
      </w:r>
    </w:p>
    <w:p>
      <w:pPr>
        <w:spacing w:after="80" w:before="80"/>
        <w:jc w:val="both"/>
      </w:pPr>
      <w:r>
        <w:rPr>
          <w:rFonts w:ascii="Arial" w:cs="Arial" w:eastAsia="Arial" w:hAnsi="Arial"/>
          <w:b w:val="false"/>
          <w:bCs w:val="false"/>
          <w:color w:val="1A1A1A"/>
          <w:sz w:val="22"/>
          <w:szCs w:val="22"/>
        </w:rPr>
        <w:t xml:space="preserve">La fase de carga opera en dos pasos:</w:t>
      </w:r>
    </w:p>
    <w:p>
      <w:pPr>
        <w:spacing w:after="80" w:before="80"/>
      </w:pPr>
      <w:r>
        <w:t xml:space="preserve"/>
      </w:r>
    </w:p>
    <w:p>
      <w:pPr>
        <w:spacing w:after="80" w:before="80"/>
        <w:jc w:val="both"/>
      </w:pPr>
      <w:r>
        <w:rPr>
          <w:rFonts w:ascii="Arial" w:cs="Arial" w:eastAsia="Arial" w:hAnsi="Arial"/>
          <w:b/>
          <w:bCs/>
          <w:color w:val="1A1A1A"/>
          <w:sz w:val="22"/>
          <w:szCs w:val="22"/>
        </w:rPr>
        <w:t xml:space="preserve">Paso 1 — Preload (preload.py):</w:t>
      </w:r>
    </w:p>
    <w:p>
      <w:pPr>
        <w:pStyle w:val="ListParagraph"/>
        <w:numPr>
          <w:ilvl w:val="0"/>
          <w:numId w:val="2"/>
        </w:numPr>
        <w:spacing w:after="40" w:before="40"/>
      </w:pPr>
      <w:r>
        <w:rPr>
          <w:rFonts w:ascii="Arial" w:cs="Arial" w:eastAsia="Arial" w:hAnsi="Arial"/>
          <w:color w:val="1A1A1A"/>
          <w:sz w:val="22"/>
          <w:szCs w:val="22"/>
        </w:rPr>
        <w:t xml:space="preserve">Crea un registro en dbo.Ejecucion con fecha, fuente y notas.</w:t>
      </w:r>
    </w:p>
    <w:p>
      <w:pPr>
        <w:pStyle w:val="ListParagraph"/>
        <w:numPr>
          <w:ilvl w:val="0"/>
          <w:numId w:val="2"/>
        </w:numPr>
        <w:spacing w:after="40" w:before="40"/>
      </w:pPr>
      <w:r>
        <w:rPr>
          <w:rFonts w:ascii="Arial" w:cs="Arial" w:eastAsia="Arial" w:hAnsi="Arial"/>
          <w:color w:val="1A1A1A"/>
          <w:sz w:val="22"/>
          <w:szCs w:val="22"/>
        </w:rPr>
        <w:t xml:space="preserve">Para cada métrica, resuelve mediante get_or_create el ID del catálogo de tabla, campo y dimensión.</w:t>
      </w:r>
    </w:p>
    <w:p>
      <w:pPr>
        <w:pStyle w:val="ListParagraph"/>
        <w:numPr>
          <w:ilvl w:val="0"/>
          <w:numId w:val="2"/>
        </w:numPr>
        <w:spacing w:after="40" w:before="40"/>
      </w:pPr>
      <w:r>
        <w:rPr>
          <w:rFonts w:ascii="Arial" w:cs="Arial" w:eastAsia="Arial" w:hAnsi="Arial"/>
          <w:color w:val="1A1A1A"/>
          <w:sz w:val="22"/>
          <w:szCs w:val="22"/>
        </w:rPr>
        <w:t xml:space="preserve">Construye la lista de filas a insertar en memoria, sin tocar dbo.Resultado aún.</w:t>
      </w:r>
    </w:p>
    <w:p>
      <w:pPr>
        <w:spacing w:after="80" w:before="80"/>
      </w:pPr>
      <w:r>
        <w:t xml:space="preserve"/>
      </w:r>
    </w:p>
    <w:p>
      <w:pPr>
        <w:spacing w:after="80" w:before="80"/>
        <w:jc w:val="both"/>
      </w:pPr>
      <w:r>
        <w:rPr>
          <w:rFonts w:ascii="Arial" w:cs="Arial" w:eastAsia="Arial" w:hAnsi="Arial"/>
          <w:b/>
          <w:bCs/>
          <w:color w:val="1A1A1A"/>
          <w:sz w:val="22"/>
          <w:szCs w:val="22"/>
        </w:rPr>
        <w:t xml:space="preserve">Paso 2 — Insert (load_results.py):</w:t>
      </w:r>
    </w:p>
    <w:p>
      <w:pPr>
        <w:pStyle w:val="ListParagraph"/>
        <w:numPr>
          <w:ilvl w:val="0"/>
          <w:numId w:val="2"/>
        </w:numPr>
        <w:spacing w:after="40" w:before="40"/>
      </w:pPr>
      <w:r>
        <w:rPr>
          <w:rFonts w:ascii="Arial" w:cs="Arial" w:eastAsia="Arial" w:hAnsi="Arial"/>
          <w:color w:val="1A1A1A"/>
          <w:sz w:val="22"/>
          <w:szCs w:val="22"/>
        </w:rPr>
        <w:t xml:space="preserve">Itera la lista de filas e inserta cada una en dbo.Resultado con el id_ejecucion obtenido en el paso 1.</w:t>
      </w:r>
    </w:p>
    <w:p>
      <w:pPr>
        <w:pStyle w:val="ListParagraph"/>
        <w:numPr>
          <w:ilvl w:val="0"/>
          <w:numId w:val="2"/>
        </w:numPr>
        <w:spacing w:after="40" w:before="40"/>
      </w:pPr>
      <w:r>
        <w:rPr>
          <w:rFonts w:ascii="Arial" w:cs="Arial" w:eastAsia="Arial" w:hAnsi="Arial"/>
          <w:color w:val="1A1A1A"/>
          <w:sz w:val="22"/>
          <w:szCs w:val="22"/>
        </w:rPr>
        <w:t xml:space="preserve">Toda la inserción ocurre dentro de una transacción (engine.begin()).</w:t>
      </w:r>
    </w:p>
    <w:p>
      <w:pPr>
        <w:pStyle w:val="Heading2"/>
        <w:spacing w:after="140" w:before="280"/>
      </w:pPr>
      <w:r>
        <w:rPr>
          <w:rFonts w:ascii="Arial" w:cs="Arial" w:eastAsia="Arial" w:hAnsi="Arial"/>
          <w:b/>
          <w:bCs/>
          <w:color w:val="2F5496"/>
          <w:sz w:val="26"/>
          <w:szCs w:val="26"/>
        </w:rPr>
        <w:t xml:space="preserve">5.4 Score Global y Exportación (transform/calculate_score.py)</w:t>
      </w:r>
    </w:p>
    <w:p>
      <w:pPr>
        <w:spacing w:after="80" w:before="80"/>
        <w:jc w:val="both"/>
      </w:pPr>
      <w:r>
        <w:rPr>
          <w:rFonts w:ascii="Arial" w:cs="Arial" w:eastAsia="Arial" w:hAnsi="Arial"/>
          <w:b w:val="false"/>
          <w:bCs w:val="false"/>
          <w:color w:val="1A1A1A"/>
          <w:sz w:val="22"/>
          <w:szCs w:val="22"/>
        </w:rPr>
        <w:t xml:space="preserve">Tras la carga, se consulta la última ejecución en BD y se calcula el Data Quality Score mediante el método del umbral:</w:t>
      </w:r>
    </w:p>
    <w:p>
      <w:pPr>
        <w:spacing w:after="8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Cada combinación campo + dimensión que supere el umbral (por defecto 85%) recibe 1 punto.</w:t>
      </w:r>
    </w:p>
    <w:p>
      <w:pPr>
        <w:pStyle w:val="ListParagraph"/>
        <w:numPr>
          <w:ilvl w:val="0"/>
          <w:numId w:val="2"/>
        </w:numPr>
        <w:spacing w:after="40" w:before="40"/>
      </w:pPr>
      <w:r>
        <w:rPr>
          <w:rFonts w:ascii="Arial" w:cs="Arial" w:eastAsia="Arial" w:hAnsi="Arial"/>
          <w:color w:val="1A1A1A"/>
          <w:sz w:val="22"/>
          <w:szCs w:val="22"/>
        </w:rPr>
        <w:t xml:space="preserve">El score global es el porcentaje de combinaciones que superaron el umbral.</w:t>
      </w:r>
    </w:p>
    <w:p>
      <w:pPr>
        <w:shd w:fill="F8F8F8" w:val="clear"/>
        <w:spacing w:after="40" w:before="40"/>
        <w:ind w:left="720"/>
      </w:pPr>
      <w:r>
        <w:rPr>
          <w:rFonts w:ascii="Courier New" w:cs="Courier New" w:eastAsia="Courier New" w:hAnsi="Courier New"/>
          <w:color w:val="C0392B"/>
          <w:sz w:val="18"/>
          <w:szCs w:val="18"/>
        </w:rPr>
        <w:t xml:space="preserve">DQ Score = (campos_con_score_&gt;_umbral / total_campos_evaluados) * 100</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El resultado se exporta a un archivo Excel (data_quality_report.xlsx) con tres secciones:</w:t>
      </w:r>
    </w:p>
    <w:p>
      <w:pPr>
        <w:pStyle w:val="ListParagraph"/>
        <w:numPr>
          <w:ilvl w:val="0"/>
          <w:numId w:val="2"/>
        </w:numPr>
        <w:spacing w:after="40" w:before="40"/>
      </w:pPr>
      <w:r>
        <w:rPr>
          <w:rFonts w:ascii="Arial" w:cs="Arial" w:eastAsia="Arial" w:hAnsi="Arial"/>
          <w:color w:val="1A1A1A"/>
          <w:sz w:val="22"/>
          <w:szCs w:val="22"/>
        </w:rPr>
        <w:t xml:space="preserve">Detalle por campo — tabla pivot con score por campo × dimensión.</w:t>
      </w:r>
    </w:p>
    <w:p>
      <w:pPr>
        <w:pStyle w:val="ListParagraph"/>
        <w:numPr>
          <w:ilvl w:val="0"/>
          <w:numId w:val="2"/>
        </w:numPr>
        <w:spacing w:after="40" w:before="40"/>
      </w:pPr>
      <w:r>
        <w:rPr>
          <w:rFonts w:ascii="Arial" w:cs="Arial" w:eastAsia="Arial" w:hAnsi="Arial"/>
          <w:color w:val="1A1A1A"/>
          <w:sz w:val="22"/>
          <w:szCs w:val="22"/>
        </w:rPr>
        <w:t xml:space="preserve">Resumen por tabla — promedio de scores por tabla y dimensión, con fila de totales.</w:t>
      </w:r>
    </w:p>
    <w:p>
      <w:pPr>
        <w:pStyle w:val="ListParagraph"/>
        <w:numPr>
          <w:ilvl w:val="0"/>
          <w:numId w:val="2"/>
        </w:numPr>
        <w:spacing w:after="40" w:before="40"/>
      </w:pPr>
      <w:r>
        <w:rPr>
          <w:rFonts w:ascii="Arial" w:cs="Arial" w:eastAsia="Arial" w:hAnsi="Arial"/>
          <w:color w:val="1A1A1A"/>
          <w:sz w:val="22"/>
          <w:szCs w:val="22"/>
        </w:rPr>
        <w:t xml:space="preserve">Resumen por dimensión — promedio general de cada dimensión de calidad.</w:t>
      </w:r>
    </w:p>
    <w:p>
      <w:r>
        <w:br w:type="page"/>
      </w:r>
    </w:p>
    <w:p>
      <w:pPr>
        <w:pStyle w:val="Heading1"/>
        <w:pBdr>
          <w:bottom w:val="single" w:color="2F5496" w:sz="8" w:space="2"/>
        </w:pBdr>
        <w:spacing w:after="200" w:before="360"/>
      </w:pPr>
      <w:r>
        <w:rPr>
          <w:rFonts w:ascii="Arial" w:cs="Arial" w:eastAsia="Arial" w:hAnsi="Arial"/>
          <w:b/>
          <w:bCs/>
          <w:color w:val="1F3864"/>
          <w:sz w:val="32"/>
          <w:szCs w:val="32"/>
        </w:rPr>
        <w:t xml:space="preserve">6. Tablas y Campos Evaluados</w:t>
      </w:r>
    </w:p>
    <w:p>
      <w:pPr>
        <w:spacing w:after="80" w:before="80"/>
        <w:jc w:val="both"/>
      </w:pPr>
      <w:r>
        <w:rPr>
          <w:rFonts w:ascii="Arial" w:cs="Arial" w:eastAsia="Arial" w:hAnsi="Arial"/>
          <w:b w:val="false"/>
          <w:bCs w:val="false"/>
          <w:color w:val="1A1A1A"/>
          <w:sz w:val="22"/>
          <w:szCs w:val="22"/>
        </w:rPr>
        <w:t xml:space="preserve">La siguiente tabla consolida todas las combinaciones campo × dimensión configuradas en parameters.yaml:</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1000"/>
        <w:gridCol w:w="1000"/>
        <w:gridCol w:w="1126"/>
        <w:gridCol w:w="9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Tabla</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Complt.</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Validez</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Unicid.</w:t>
            </w:r>
          </w:p>
        </w:tc>
        <w:tc>
          <w:tcPr>
            <w:tcW w:type="dxa" w:w="11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Consist.</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id_persona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mpersona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Numérico</w:t>
            </w:r>
          </w:p>
        </w:tc>
      </w:tr>
      <w:tr>
        <w:tc>
          <w:tcPr>
            <w:tcW w:type="dxa" w:w="2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txt_nombre</w:t>
            </w:r>
          </w:p>
        </w:tc>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mpersona</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Alfabético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txt_apellido1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mpersona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Alfabético</w:t>
            </w:r>
          </w:p>
        </w:tc>
      </w:tr>
      <w:tr>
        <w:tc>
          <w:tcPr>
            <w:tcW w:type="dxa" w:w="2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txt_apellido2</w:t>
            </w:r>
          </w:p>
        </w:tc>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mpersona</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Alfabético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cod_tipo_doc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mpersona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Numérico</w:t>
            </w:r>
          </w:p>
        </w:tc>
      </w:tr>
      <w:tr>
        <w:tc>
          <w:tcPr>
            <w:tcW w:type="dxa" w:w="2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nro_doc</w:t>
            </w:r>
          </w:p>
        </w:tc>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mpersona</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Numérico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nro_nit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mpersona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Numérico</w:t>
            </w:r>
          </w:p>
        </w:tc>
      </w:tr>
      <w:tr>
        <w:tc>
          <w:tcPr>
            <w:tcW w:type="dxa" w:w="2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fec_exp_cedula</w:t>
            </w:r>
          </w:p>
        </w:tc>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mpersona</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Fecha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fec_nac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mpersona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Fecha</w:t>
            </w:r>
          </w:p>
        </w:tc>
      </w:tr>
      <w:tr>
        <w:tc>
          <w:tcPr>
            <w:tcW w:type="dxa" w:w="2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txt_sexo</w:t>
            </w:r>
          </w:p>
        </w:tc>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mpersona</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Alfabético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txt_lugar_nac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mpersona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Alfabético</w:t>
            </w:r>
          </w:p>
        </w:tc>
      </w:tr>
      <w:tr>
        <w:tc>
          <w:tcPr>
            <w:tcW w:type="dxa" w:w="2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cod_pais_nac</w:t>
            </w:r>
          </w:p>
        </w:tc>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mpersona</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Numérico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cod_dpto_nac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mpersona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Numérico</w:t>
            </w:r>
          </w:p>
        </w:tc>
      </w:tr>
      <w:tr>
        <w:tc>
          <w:tcPr>
            <w:tcW w:type="dxa" w:w="2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cod_municipio_nac</w:t>
            </w:r>
          </w:p>
        </w:tc>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mpersona</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Numérico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cod_est_civil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mpersona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Numérico</w:t>
            </w:r>
          </w:p>
        </w:tc>
      </w:tr>
      <w:tr>
        <w:tc>
          <w:tcPr>
            <w:tcW w:type="dxa" w:w="2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cod_tipo_doc</w:t>
            </w:r>
          </w:p>
        </w:tc>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ttipo_doc</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1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Numérico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txt_desc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ttipo_doc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Alfabético</w:t>
            </w:r>
          </w:p>
        </w:tc>
      </w:tr>
      <w:tr>
        <w:tc>
          <w:tcPr>
            <w:tcW w:type="dxa" w:w="2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txt_desc_redu</w:t>
            </w:r>
          </w:p>
        </w:tc>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ttipo_doc</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1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Alfabético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cod_pais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tdpto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Numérico</w:t>
            </w:r>
          </w:p>
        </w:tc>
      </w:tr>
      <w:tr>
        <w:tc>
          <w:tcPr>
            <w:tcW w:type="dxa" w:w="2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cod_dpto</w:t>
            </w:r>
          </w:p>
        </w:tc>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tdpto</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Numérico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txt_desc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tdpto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Alfabético</w:t>
            </w:r>
          </w:p>
        </w:tc>
      </w:tr>
      <w:tr>
        <w:tc>
          <w:tcPr>
            <w:tcW w:type="dxa" w:w="2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cod_pais</w:t>
            </w:r>
          </w:p>
        </w:tc>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tmunicipio</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Numérico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cod_dpto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tmunicipio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Numérico</w:t>
            </w:r>
          </w:p>
        </w:tc>
      </w:tr>
      <w:tr>
        <w:tc>
          <w:tcPr>
            <w:tcW w:type="dxa" w:w="2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cod_municipio</w:t>
            </w:r>
          </w:p>
        </w:tc>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tmunicipio</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Numérico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txt_desc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tmunicipio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Alfabético</w:t>
            </w:r>
          </w:p>
        </w:tc>
      </w:tr>
      <w:tr>
        <w:tc>
          <w:tcPr>
            <w:tcW w:type="dxa" w:w="2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cod_pais</w:t>
            </w:r>
          </w:p>
        </w:tc>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tpais</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1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Numérico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txt_desc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tpais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Alfabético</w:t>
            </w:r>
          </w:p>
        </w:tc>
      </w:tr>
      <w:tr>
        <w:tc>
          <w:tcPr>
            <w:tcW w:type="dxa" w:w="2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cod_est_civil</w:t>
            </w:r>
          </w:p>
        </w:tc>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test_civil</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1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Numérico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txt_desc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test_civil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Alfabético</w:t>
            </w:r>
          </w:p>
        </w:tc>
      </w:tr>
      <w:tr>
        <w:tc>
          <w:tcPr>
            <w:tcW w:type="dxa" w:w="2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id_persona</w:t>
            </w:r>
          </w:p>
        </w:tc>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mpersona_telef</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Numérico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cod_tipo_telef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mpersona_telef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Numérico</w:t>
            </w:r>
          </w:p>
        </w:tc>
      </w:tr>
      <w:tr>
        <w:tc>
          <w:tcPr>
            <w:tcW w:type="dxa" w:w="2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txt_telefono</w:t>
            </w:r>
          </w:p>
        </w:tc>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mpersona_telef</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1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Contacto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cod_tipo_telef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ttipo_telef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Numérico</w:t>
            </w:r>
          </w:p>
        </w:tc>
      </w:tr>
      <w:tr>
        <w:tc>
          <w:tcPr>
            <w:tcW w:type="dxa" w:w="2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txt_desc</w:t>
            </w:r>
          </w:p>
        </w:tc>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ttipo_telef</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1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Alfabético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id_persona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mpersona_dir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Numérico</w:t>
            </w:r>
          </w:p>
        </w:tc>
      </w:tr>
      <w:tr>
        <w:tc>
          <w:tcPr>
            <w:tcW w:type="dxa" w:w="2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cod_tipo_dir</w:t>
            </w:r>
          </w:p>
        </w:tc>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mpersona_dir</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Numérico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txt_direccion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mpersona_dir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Alfanum.</w:t>
            </w:r>
          </w:p>
        </w:tc>
      </w:tr>
      <w:tr>
        <w:tc>
          <w:tcPr>
            <w:tcW w:type="dxa" w:w="2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cod_pais</w:t>
            </w:r>
          </w:p>
        </w:tc>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mpersona_dir</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Numérico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cod_dpto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mpersona_dir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Numérico</w:t>
            </w:r>
          </w:p>
        </w:tc>
      </w:tr>
      <w:tr>
        <w:tc>
          <w:tcPr>
            <w:tcW w:type="dxa" w:w="2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cod_municipio</w:t>
            </w:r>
          </w:p>
        </w:tc>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mpersona_dir</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Numérico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id_persona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mpersona_sarlaft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Numérico</w:t>
            </w:r>
          </w:p>
        </w:tc>
      </w:tr>
      <w:tr>
        <w:tc>
          <w:tcPr>
            <w:tcW w:type="dxa" w:w="2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cod_ciiu</w:t>
            </w:r>
          </w:p>
        </w:tc>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mpersona_sarlaft</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Numérico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desc_cargo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mpersona_sarlaft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Alfabético</w:t>
            </w:r>
          </w:p>
        </w:tc>
      </w:tr>
      <w:tr>
        <w:tc>
          <w:tcPr>
            <w:tcW w:type="dxa" w:w="2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imp_ingreso</w:t>
            </w:r>
          </w:p>
        </w:tc>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mpersona_sarlaft</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Numérico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imp_egreso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mpersona_sarlaft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Numérico</w:t>
            </w:r>
          </w:p>
        </w:tc>
      </w:tr>
      <w:tr>
        <w:tc>
          <w:tcPr>
            <w:tcW w:type="dxa" w:w="2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imp_otr_ingreso</w:t>
            </w:r>
          </w:p>
        </w:tc>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mpersona_sarlaft</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Numérico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desc_otr_ingreso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mpersona_sarlaft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Alfabético</w:t>
            </w:r>
          </w:p>
        </w:tc>
      </w:tr>
      <w:tr>
        <w:tc>
          <w:tcPr>
            <w:tcW w:type="dxa" w:w="2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imp_activo</w:t>
            </w:r>
          </w:p>
        </w:tc>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mpersona_sarlaft</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Numérico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imp_pasivo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mpersona_sarlaft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Numérico</w:t>
            </w:r>
          </w:p>
        </w:tc>
      </w:tr>
    </w:tbl>
    <w:p>
      <w:r>
        <w:br w:type="page"/>
      </w:r>
    </w:p>
    <w:p>
      <w:pPr>
        <w:pStyle w:val="Heading1"/>
        <w:pBdr>
          <w:bottom w:val="single" w:color="2F5496" w:sz="8" w:space="2"/>
        </w:pBdr>
        <w:spacing w:after="200" w:before="360"/>
      </w:pPr>
      <w:r>
        <w:rPr>
          <w:rFonts w:ascii="Arial" w:cs="Arial" w:eastAsia="Arial" w:hAnsi="Arial"/>
          <w:b/>
          <w:bCs/>
          <w:color w:val="1F3864"/>
          <w:sz w:val="32"/>
          <w:szCs w:val="32"/>
        </w:rPr>
        <w:t xml:space="preserve">7. Configuración y Despliegue</w:t>
      </w:r>
    </w:p>
    <w:p>
      <w:pPr>
        <w:pStyle w:val="Heading2"/>
        <w:spacing w:after="140" w:before="280"/>
      </w:pPr>
      <w:r>
        <w:rPr>
          <w:rFonts w:ascii="Arial" w:cs="Arial" w:eastAsia="Arial" w:hAnsi="Arial"/>
          <w:b/>
          <w:bCs/>
          <w:color w:val="2F5496"/>
          <w:sz w:val="26"/>
          <w:szCs w:val="26"/>
        </w:rPr>
        <w:t xml:space="preserve">7.1 Variables de entorno (.env)</w:t>
      </w:r>
    </w:p>
    <w:p>
      <w:pPr>
        <w:spacing w:after="80" w:before="80"/>
        <w:jc w:val="both"/>
      </w:pPr>
      <w:r>
        <w:rPr>
          <w:rFonts w:ascii="Arial" w:cs="Arial" w:eastAsia="Arial" w:hAnsi="Arial"/>
          <w:b w:val="false"/>
          <w:bCs w:val="false"/>
          <w:color w:val="1A1A1A"/>
          <w:sz w:val="22"/>
          <w:szCs w:val="22"/>
        </w:rPr>
        <w:t xml:space="preserve">El archivo config/.env debe contener las siguientes variables (no se versiona en Git):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Variable</w:t>
            </w:r>
          </w:p>
        </w:tc>
        <w:tc>
          <w:tcPr>
            <w:tcW w:type="dxa" w:w="6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DB_HOST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Host del servidor SQL Server.</w:t>
            </w:r>
          </w:p>
        </w:tc>
      </w:tr>
      <w:tr>
        <w:tc>
          <w:tcPr>
            <w:tcW w:type="dxa" w:w="3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DB_PORT</w:t>
            </w:r>
          </w:p>
        </w:tc>
        <w:tc>
          <w:tcPr>
            <w:tcW w:type="dxa" w:w="60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Puerto (default 1433).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DB_NAME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Base de datos fuente (SISE).</w:t>
            </w:r>
          </w:p>
        </w:tc>
      </w:tr>
      <w:tr>
        <w:tc>
          <w:tcPr>
            <w:tcW w:type="dxa" w:w="3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DB_NAME_2</w:t>
            </w:r>
          </w:p>
        </w:tc>
        <w:tc>
          <w:tcPr>
            <w:tcW w:type="dxa" w:w="60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Base de datos de resultados (data_process).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DB_USER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Usuario SQL Server.</w:t>
            </w:r>
          </w:p>
        </w:tc>
      </w:tr>
      <w:tr>
        <w:tc>
          <w:tcPr>
            <w:tcW w:type="dxa" w:w="3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DB_PASSWORD</w:t>
            </w:r>
          </w:p>
        </w:tc>
        <w:tc>
          <w:tcPr>
            <w:tcW w:type="dxa" w:w="60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Contraseña SQL Server.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DB_DRIVER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Driver ODBC (ej. ODBC Driver 17 for SQL Server).</w:t>
            </w:r>
          </w:p>
        </w:tc>
      </w:tr>
    </w:tbl>
    <w:p>
      <w:pPr>
        <w:pStyle w:val="Heading2"/>
        <w:spacing w:after="140" w:before="280"/>
      </w:pPr>
      <w:r>
        <w:rPr>
          <w:rFonts w:ascii="Arial" w:cs="Arial" w:eastAsia="Arial" w:hAnsi="Arial"/>
          <w:b/>
          <w:bCs/>
          <w:color w:val="2F5496"/>
          <w:sz w:val="26"/>
          <w:szCs w:val="26"/>
        </w:rPr>
        <w:t xml:space="preserve">7.2 Entorno Conda</w:t>
      </w:r>
    </w:p>
    <w:p>
      <w:pPr>
        <w:spacing w:after="80" w:before="80"/>
        <w:jc w:val="both"/>
      </w:pPr>
      <w:r>
        <w:rPr>
          <w:rFonts w:ascii="Arial" w:cs="Arial" w:eastAsia="Arial" w:hAnsi="Arial"/>
          <w:b w:val="false"/>
          <w:bCs w:val="false"/>
          <w:color w:val="1A1A1A"/>
          <w:sz w:val="22"/>
          <w:szCs w:val="22"/>
        </w:rPr>
        <w:t xml:space="preserve">El archivo environment.yml define el entorno reproducible. Para instalarlo:</w:t>
      </w:r>
    </w:p>
    <w:p>
      <w:pPr>
        <w:shd w:fill="F8F8F8" w:val="clear"/>
        <w:spacing w:after="40" w:before="40"/>
        <w:ind w:left="720"/>
      </w:pPr>
      <w:r>
        <w:rPr>
          <w:rFonts w:ascii="Courier New" w:cs="Courier New" w:eastAsia="Courier New" w:hAnsi="Courier New"/>
          <w:color w:val="C0392B"/>
          <w:sz w:val="18"/>
          <w:szCs w:val="18"/>
        </w:rPr>
        <w:t xml:space="preserve">conda env create -f environment.yml</w:t>
      </w:r>
    </w:p>
    <w:p>
      <w:pPr>
        <w:shd w:fill="F8F8F8" w:val="clear"/>
        <w:spacing w:after="40" w:before="40"/>
        <w:ind w:left="720"/>
      </w:pPr>
      <w:r>
        <w:rPr>
          <w:rFonts w:ascii="Courier New" w:cs="Courier New" w:eastAsia="Courier New" w:hAnsi="Courier New"/>
          <w:color w:val="C0392B"/>
          <w:sz w:val="18"/>
          <w:szCs w:val="18"/>
        </w:rPr>
        <w:t xml:space="preserve">conda activate dataQuality</w:t>
      </w:r>
    </w:p>
    <w:p>
      <w:pPr>
        <w:shd w:fill="F8F8F8" w:val="clear"/>
        <w:spacing w:after="40" w:before="40"/>
        <w:ind w:left="720"/>
      </w:pPr>
      <w:r>
        <w:rPr>
          <w:rFonts w:ascii="Courier New" w:cs="Courier New" w:eastAsia="Courier New" w:hAnsi="Courier New"/>
          <w:color w:val="C0392B"/>
          <w:sz w:val="18"/>
          <w:szCs w:val="18"/>
        </w:rPr>
        <w:t xml:space="preserve">python main.py</w:t>
      </w:r>
    </w:p>
    <w:p>
      <w:pPr>
        <w:pStyle w:val="Heading2"/>
        <w:spacing w:after="140" w:before="280"/>
      </w:pPr>
      <w:r>
        <w:rPr>
          <w:rFonts w:ascii="Arial" w:cs="Arial" w:eastAsia="Arial" w:hAnsi="Arial"/>
          <w:b/>
          <w:bCs/>
          <w:color w:val="2F5496"/>
          <w:sz w:val="26"/>
          <w:szCs w:val="26"/>
        </w:rPr>
        <w:t xml:space="preserve">7.3 Creación del modelo de datos</w:t>
      </w:r>
    </w:p>
    <w:p>
      <w:pPr>
        <w:spacing w:after="80" w:before="80"/>
        <w:jc w:val="both"/>
      </w:pPr>
      <w:r>
        <w:rPr>
          <w:rFonts w:ascii="Arial" w:cs="Arial" w:eastAsia="Arial" w:hAnsi="Arial"/>
          <w:b w:val="false"/>
          <w:bCs w:val="false"/>
          <w:color w:val="1A1A1A"/>
          <w:sz w:val="22"/>
          <w:szCs w:val="22"/>
        </w:rPr>
        <w:t xml:space="preserve">Ejecutar el script dataQuality.sql sobre la base data_process para crear las tablas Tabla, Campo, Dimension, Ejecucion y Resultado con sus restricciones e índices únicos.</w:t>
      </w:r>
    </w:p>
    <w:p>
      <w:pPr>
        <w:spacing w:after="80" w:before="80"/>
      </w:pPr>
      <w:r>
        <w:t xml:space="preserve"/>
      </w:r>
    </w:p>
    <w:p>
      <w:pPr>
        <w:pStyle w:val="Heading1"/>
        <w:pBdr>
          <w:bottom w:val="single" w:color="2F5496" w:sz="8" w:space="2"/>
        </w:pBdr>
        <w:spacing w:after="200" w:before="360"/>
      </w:pPr>
      <w:r>
        <w:rPr>
          <w:rFonts w:ascii="Arial" w:cs="Arial" w:eastAsia="Arial" w:hAnsi="Arial"/>
          <w:b/>
          <w:bCs/>
          <w:color w:val="1F3864"/>
          <w:sz w:val="32"/>
          <w:szCs w:val="32"/>
        </w:rPr>
        <w:t xml:space="preserve">8. Extensibilidad</w:t>
      </w:r>
    </w:p>
    <w:p>
      <w:pPr>
        <w:spacing w:after="80" w:before="80"/>
        <w:jc w:val="both"/>
      </w:pPr>
      <w:r>
        <w:rPr>
          <w:rFonts w:ascii="Arial" w:cs="Arial" w:eastAsia="Arial" w:hAnsi="Arial"/>
          <w:b w:val="false"/>
          <w:bCs w:val="false"/>
          <w:color w:val="1A1A1A"/>
          <w:sz w:val="22"/>
          <w:szCs w:val="22"/>
        </w:rPr>
        <w:t xml:space="preserve">El sistema está diseñado para ser extendido con facilidad:</w:t>
      </w:r>
    </w:p>
    <w:p>
      <w:pPr>
        <w:spacing w:after="8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Nuevas tablas: agregar la entrada en la sección TABLES del YAML y crear el archivo .sql en extract/queries/.</w:t>
      </w:r>
    </w:p>
    <w:p>
      <w:pPr>
        <w:pStyle w:val="ListParagraph"/>
        <w:numPr>
          <w:ilvl w:val="0"/>
          <w:numId w:val="2"/>
        </w:numPr>
        <w:spacing w:after="40" w:before="40"/>
      </w:pPr>
      <w:r>
        <w:rPr>
          <w:rFonts w:ascii="Arial" w:cs="Arial" w:eastAsia="Arial" w:hAnsi="Arial"/>
          <w:color w:val="1A1A1A"/>
          <w:sz w:val="22"/>
          <w:szCs w:val="22"/>
        </w:rPr>
        <w:t xml:space="preserve">Nuevos campos: incorporarlos bajo la tabla correspondiente en la sección transform del YAML con su tipo_validez y lista de dimensiones.</w:t>
      </w:r>
    </w:p>
    <w:p>
      <w:pPr>
        <w:pStyle w:val="ListParagraph"/>
        <w:numPr>
          <w:ilvl w:val="0"/>
          <w:numId w:val="2"/>
        </w:numPr>
        <w:spacing w:after="40" w:before="40"/>
      </w:pPr>
      <w:r>
        <w:rPr>
          <w:rFonts w:ascii="Arial" w:cs="Arial" w:eastAsia="Arial" w:hAnsi="Arial"/>
          <w:color w:val="1A1A1A"/>
          <w:sz w:val="22"/>
          <w:szCs w:val="22"/>
        </w:rPr>
        <w:t xml:space="preserve">Nuevas dimensiones: implementar la función de evaluación en transform/rules/, agregar la llamada en calculate_metrics.py y registrar el nuevo caso en el YAML.</w:t>
      </w:r>
    </w:p>
    <w:p>
      <w:pPr>
        <w:pStyle w:val="ListParagraph"/>
        <w:numPr>
          <w:ilvl w:val="0"/>
          <w:numId w:val="2"/>
        </w:numPr>
        <w:spacing w:after="40" w:before="40"/>
      </w:pPr>
      <w:r>
        <w:rPr>
          <w:rFonts w:ascii="Arial" w:cs="Arial" w:eastAsia="Arial" w:hAnsi="Arial"/>
          <w:color w:val="1A1A1A"/>
          <w:sz w:val="22"/>
          <w:szCs w:val="22"/>
        </w:rPr>
        <w:t xml:space="preserve">Precisión y Oportunidad: los módulos precision.py y oportunidad.py están preparados para recibir la lógica de evaluación en una próxima iteración.</w:t>
      </w:r>
    </w:p>
    <w:p>
      <w:pPr>
        <w:spacing w:after="80" w:before="80"/>
      </w:pPr>
      <w:r>
        <w:t xml:space="preserve"/>
      </w:r>
    </w:p>
    <w:p>
      <w:pPr>
        <w:pStyle w:val="Heading1"/>
        <w:pBdr>
          <w:bottom w:val="single" w:color="2F5496" w:sz="8" w:space="2"/>
        </w:pBdr>
        <w:spacing w:after="200" w:before="360"/>
      </w:pPr>
      <w:r>
        <w:rPr>
          <w:rFonts w:ascii="Arial" w:cs="Arial" w:eastAsia="Arial" w:hAnsi="Arial"/>
          <w:b/>
          <w:bCs/>
          <w:color w:val="1F3864"/>
          <w:sz w:val="32"/>
          <w:szCs w:val="32"/>
        </w:rPr>
        <w:t xml:space="preserve">9. Limitaciones Conocidas</w:t>
      </w:r>
    </w:p>
    <w:p>
      <w:pPr>
        <w:pStyle w:val="ListParagraph"/>
        <w:numPr>
          <w:ilvl w:val="0"/>
          <w:numId w:val="2"/>
        </w:numPr>
        <w:spacing w:after="40" w:before="40"/>
      </w:pPr>
      <w:r>
        <w:rPr>
          <w:rFonts w:ascii="Arial" w:cs="Arial" w:eastAsia="Arial" w:hAnsi="Arial"/>
          <w:color w:val="1A1A1A"/>
          <w:sz w:val="22"/>
          <w:szCs w:val="22"/>
        </w:rPr>
        <w:t xml:space="preserve">La dimensión cod_tipo_dir (consistencia hacia ttipo_dir) está comentada en el YAML por ausencia de la tabla ttipo_dir en la extracción actual.</w:t>
      </w:r>
    </w:p>
    <w:p>
      <w:pPr>
        <w:pStyle w:val="ListParagraph"/>
        <w:numPr>
          <w:ilvl w:val="0"/>
          <w:numId w:val="2"/>
        </w:numPr>
        <w:spacing w:after="40" w:before="40"/>
      </w:pPr>
      <w:r>
        <w:rPr>
          <w:rFonts w:ascii="Arial" w:cs="Arial" w:eastAsia="Arial" w:hAnsi="Arial"/>
          <w:color w:val="1A1A1A"/>
          <w:sz w:val="22"/>
          <w:szCs w:val="22"/>
        </w:rPr>
        <w:t xml:space="preserve">La consistencia de cod_dpto_nac en mpersona valida contra cod_dpto en tdpto, sin tener en cuenta que el código de departamento puede repetirse entre países. Se recomienda validación compuesta (cod_pais + cod_dpto) en versiones futuras.</w:t>
      </w:r>
    </w:p>
    <w:p>
      <w:pPr>
        <w:pStyle w:val="ListParagraph"/>
        <w:numPr>
          <w:ilvl w:val="0"/>
          <w:numId w:val="2"/>
        </w:numPr>
        <w:spacing w:after="40" w:before="40"/>
      </w:pPr>
      <w:r>
        <w:rPr>
          <w:rFonts w:ascii="Arial" w:cs="Arial" w:eastAsia="Arial" w:hAnsi="Arial"/>
          <w:color w:val="1A1A1A"/>
          <w:sz w:val="22"/>
          <w:szCs w:val="22"/>
        </w:rPr>
        <w:t xml:space="preserve">El score global usa un umbral binario (&gt;85 = 1 punto). Se puede refinar con pesos por dimensión o por criticidad del campo.</w:t>
      </w:r>
    </w:p>
    <w:p>
      <w:pPr>
        <w:pStyle w:val="ListParagraph"/>
        <w:numPr>
          <w:ilvl w:val="0"/>
          <w:numId w:val="2"/>
        </w:numPr>
        <w:spacing w:after="40" w:before="40"/>
      </w:pPr>
      <w:r>
        <w:rPr>
          <w:rFonts w:ascii="Arial" w:cs="Arial" w:eastAsia="Arial" w:hAnsi="Arial"/>
          <w:color w:val="1A1A1A"/>
          <w:sz w:val="22"/>
          <w:szCs w:val="22"/>
        </w:rPr>
        <w:t xml:space="preserve">El Excel de salida se genera en el directorio de ejecución. Se recomienda agregar una ruta configurable en el YAML.</w:t>
      </w:r>
    </w:p>
    <w:p>
      <w:pPr>
        <w:spacing w:after="80" w:before="80"/>
      </w:pPr>
      <w:r>
        <w:t xml:space="preserve"/>
      </w:r>
    </w:p>
    <w:p>
      <w:pPr>
        <w:pStyle w:val="Heading1"/>
        <w:pBdr>
          <w:bottom w:val="single" w:color="2F5496" w:sz="8" w:space="2"/>
        </w:pBdr>
        <w:spacing w:after="200" w:before="360"/>
      </w:pPr>
      <w:r>
        <w:rPr>
          <w:rFonts w:ascii="Arial" w:cs="Arial" w:eastAsia="Arial" w:hAnsi="Arial"/>
          <w:b/>
          <w:bCs/>
          <w:color w:val="1F3864"/>
          <w:sz w:val="32"/>
          <w:szCs w:val="32"/>
        </w:rPr>
        <w:t xml:space="preserve">10. Glosario</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Término</w:t>
            </w:r>
          </w:p>
        </w:tc>
        <w:tc>
          <w:tcPr>
            <w:tcW w:type="dxa" w:w="6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Definición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ELT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Extract, Load, Transform. Arquitectura de datos donde la transformación ocurre después de la carga.</w:t>
            </w:r>
          </w:p>
        </w:tc>
      </w:tr>
      <w:tr>
        <w:tc>
          <w:tcPr>
            <w:tcW w:type="dxa" w:w="2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SARLAFT</w:t>
            </w:r>
          </w:p>
        </w:tc>
        <w:tc>
          <w:tcPr>
            <w:tcW w:type="dxa" w:w="65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Sistema de Administración del Riesgo de Lavado de Activos y Financiación del Terrorismo.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DAMA</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Data Management Association. Organización que establece estándares internacionales para la gestión de datos.</w:t>
            </w:r>
          </w:p>
        </w:tc>
      </w:tr>
      <w:tr>
        <w:tc>
          <w:tcPr>
            <w:tcW w:type="dxa" w:w="2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KYC</w:t>
            </w:r>
          </w:p>
        </w:tc>
        <w:tc>
          <w:tcPr>
            <w:tcW w:type="dxa" w:w="65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Know Your Customer. Proceso de debida diligencia para verificar la identidad de los clientes.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SFC</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Superintendencia Financiera de Colombia. Ente regulador del sector asegurador.</w:t>
            </w:r>
          </w:p>
        </w:tc>
      </w:tr>
      <w:tr>
        <w:tc>
          <w:tcPr>
            <w:tcW w:type="dxa" w:w="2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Score</w:t>
            </w:r>
          </w:p>
        </w:tc>
        <w:tc>
          <w:tcPr>
            <w:tcW w:type="dxa" w:w="65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Porcentaje (0–100) que representa la calidad de un campo en una dimensión específica.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DQ Score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Data Quality Score global: porcentaje de combinaciones campo+dimensión que superan el umbral de 85%.</w:t>
            </w:r>
          </w:p>
        </w:tc>
      </w:tr>
      <w:tr>
        <w:tc>
          <w:tcPr>
            <w:tcW w:type="dxa" w:w="2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sz w:val="20"/>
                <w:szCs w:val="20"/>
              </w:rPr>
              <w:t xml:space="preserve">get_or_create</w:t>
            </w:r>
          </w:p>
        </w:tc>
        <w:tc>
          <w:tcPr>
            <w:tcW w:type="dxa" w:w="65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sz w:val="20"/>
                <w:szCs w:val="20"/>
              </w:rPr>
              <w:t xml:space="preserve">Patrón de base de datos: busca un registro por su clave natural; si no existe, lo inserta y retorna el 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SISE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Sistema de información core de Global Seguros. Fuente de los datos de personas evaluados.</w:t>
            </w:r>
          </w:p>
        </w:tc>
      </w:tr>
    </w:tbl>
    <w:p>
      <w:pPr>
        <w:spacing w:after="80" w:before="8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F549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26058F5EA238E40A1A0C60A9854C8D6" ma:contentTypeVersion="15" ma:contentTypeDescription="Crear nuevo documento." ma:contentTypeScope="" ma:versionID="195287ef45fa8b6f8cfd58a719c0b60e">
  <xsd:schema xmlns:xsd="http://www.w3.org/2001/XMLSchema" xmlns:xs="http://www.w3.org/2001/XMLSchema" xmlns:p="http://schemas.microsoft.com/office/2006/metadata/properties" xmlns:ns2="b5dfbd7e-49c5-4722-88e9-1b762e259acd" xmlns:ns3="bd969f66-6c0a-4ada-b33b-e7f1891514db" targetNamespace="http://schemas.microsoft.com/office/2006/metadata/properties" ma:root="true" ma:fieldsID="49e81097b95ca219c139da594f9f9d61" ns2:_="" ns3:_="">
    <xsd:import namespace="b5dfbd7e-49c5-4722-88e9-1b762e259acd"/>
    <xsd:import namespace="bd969f66-6c0a-4ada-b33b-e7f1891514d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dfbd7e-49c5-4722-88e9-1b762e259a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fc9fde3-bc28-4fa0-9801-78269133f46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d969f66-6c0a-4ada-b33b-e7f1891514d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3167132b-1305-4ec9-ae80-c35e928488c8}" ma:internalName="TaxCatchAll" ma:showField="CatchAllData" ma:web="bd969f66-6c0a-4ada-b33b-e7f1891514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d969f66-6c0a-4ada-b33b-e7f1891514db" xsi:nil="true"/>
    <lcf76f155ced4ddcb4097134ff3c332f xmlns="b5dfbd7e-49c5-4722-88e9-1b762e259ac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64FA7F0-086E-4FB1-BF0C-6935C0540EBB}"/>
</file>

<file path=customXml/itemProps2.xml><?xml version="1.0" encoding="utf-8"?>
<ds:datastoreItem xmlns:ds="http://schemas.openxmlformats.org/officeDocument/2006/customXml" ds:itemID="{8AAE136E-1700-4A54-867C-17C125FAF081}"/>
</file>

<file path=customXml/itemProps3.xml><?xml version="1.0" encoding="utf-8"?>
<ds:datastoreItem xmlns:ds="http://schemas.openxmlformats.org/officeDocument/2006/customXml" ds:itemID="{79D2CB2D-5B21-4DDB-B682-470C66BFC50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2026-04-09T21:51:25Z</dcterms:created>
  <dcterms:modified xsi:type="dcterms:W3CDTF">2026-04-09T21:51:25Z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0x010100526058F5EA238E40A1A0C60A9854C8D6</vt:lpwstr>
  </property>
</Properties>
</file>