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Cuaderno de equipo para el reto de acceso a justicia</w:t>
      </w:r>
    </w:p>
    <w:p>
      <w:pPr>
        <w:pStyle w:val="Subtitle"/>
      </w:pPr>
      <w:r>
        <w:t>AI &amp; Access to Justice Innovation Challenge · Icesi y Tecmilenio Puebla · 11 septiembre 2026</w:t>
      </w:r>
    </w:p>
    <w:p>
      <w:pPr>
        <w:pStyle w:val="Heading1"/>
      </w:pPr>
      <w:r>
        <w:t>Pregunta del reto</w:t>
      </w:r>
    </w:p>
    <w:p>
      <w:r>
        <w:t>¿Cómo podríamos ayudar a una persona con una controversia de bajo monto a entender sus opciones y dar un primer paso informado, con apoyo de IA, menos barreras y supervisión humana?</w:t>
      </w:r>
    </w:p>
    <w:p>
      <w:r>
        <w:t>Diseñen y prueben una solución para una barrera concreta. Elijan qué necesita entender o hacer la persona, qué aporta la IA y qué debe revisar un ser humano. El producto puede ser una guía interactiva, un flujo en papel, un asistente acotado o un prototipo sin código. No es obligatorio programar.</w:t>
      </w:r>
    </w:p>
    <w:p>
      <w:pPr>
        <w:pStyle w:val="Heading1"/>
      </w:pPr>
      <w:r>
        <w:t>Caso BRISA</w:t>
      </w:r>
    </w:p>
    <w:p>
      <w:r>
        <w:t>CASO FICTICIO. Mariana Soto compró en Puebla, México, una computadora reacondicionada Krak R14 anunciada como Brisa Tech México por $4,200 MXN el 20 de agosto de 2026 y la recibió el 24 de agosto. La marca y la atención se presentan como mexicanas: Vístula Devices México, filial de la empresa polaca Vístula Circular Devices, conservaba el inventario, hizo la entrega y ofrece el diagnóstico. Sin embargo, el cobro y los términos identifican como vendedora contractual a Puente Digital Andino SAS, empresa colombiana que mantiene un acuerdo comercial con el grupo polaco. El 29 de agosto Mariana reportó que el equipo se apaga al desconectarlo.</w:t>
      </w:r>
    </w:p>
    <w:p>
      <w:r>
        <w:t>Mariana conserva la confirmación del pedido, el registro de pago, la captura de la oferta y los mensajes de soporte. El registro de aceptación menciona términos colombianos CO 2026 2, pero esa versión no está disponible; después de reclamar recibió la versión CO 2026 3, publicada tras la compra. No está claro qué entidad debe responder, en qué condiciones cubrirían el envío ni cuándo resolverían de fondo. Tampoco existe aceptación de devolución, resolución de autoridad ni dictamen técnico que determine la causa. Mariana sólo dispone de un teléfono y conexión intermitente y quiere dar un primer paso informado sin perder control de sus decisiones. Estos hechos no aportan una conclusión jurídica; todo dato no proporcionado debe marcarse como pendiente.</w:t>
      </w:r>
    </w:p>
    <w:p>
      <w:pPr>
        <w:pStyle w:val="Heading1"/>
      </w:pPr>
      <w:r>
        <w:t>Alcance de la propuesta</w:t>
      </w:r>
    </w:p>
    <w:p>
      <w:r>
        <w:t>Elijan una barrera: organizar evidencia, explicar opciones con fuentes, preparar una comunicación revisable o facilitar una derivación. No tienen que cubrir todo el recorrido. Pueden proponer otra barrera del mismo caso si explican a quién ayuda y cómo se probará. Los MASC son una opción a valorar, no una vía obligatoria.</w:t>
      </w:r>
    </w:p>
    <w:p>
      <w:pPr>
        <w:pStyle w:val="Heading1"/>
      </w:pPr>
      <w:r>
        <w:t>Integración del equipo</w:t>
      </w:r>
    </w:p>
    <w:p>
      <w:r>
        <w:t>Máximo ocho equipos. Cada equipo tendrá una persona de Icesi, una de Ingeniería de Software de Tecmilenio y una de Derecho de Tecmilenio. Si hay más estudiantes, se integran de forma equilibrada a esos equipos. Si faltan perfiles, la facilitación ajustará la distribución; no formar un equipo sin contraparte binacional sin avisar.</w:t>
      </w:r>
    </w:p>
    <w:p>
      <w:r>
        <w:br w:type="page"/>
      </w:r>
    </w:p>
    <w:p>
      <w:pPr>
        <w:pStyle w:val="Heading1"/>
      </w:pPr>
      <w:r>
        <w:t>Hoja de diseño para completar</w:t>
      </w:r>
    </w:p>
    <w:p>
      <w:pPr>
        <w:pStyle w:val="Heading2"/>
      </w:pPr>
      <w:r>
        <w:t>Equipo y participantes</w:t>
      </w:r>
    </w:p>
    <w:p>
      <w:r>
        <w:t>Número de equipo, nombres, institución y programa: __________________________________________________________</w:t>
      </w:r>
    </w:p>
    <w:p>
      <w:pPr>
        <w:pStyle w:val="Heading2"/>
      </w:pPr>
      <w:r>
        <w:t>Persona y barrera</w:t>
      </w:r>
    </w:p>
    <w:p>
      <w:r>
        <w:t>Mariana necesita __________________ porque __________________. La evidencia del caso que respalda esta barrera es __________________.</w:t>
      </w:r>
    </w:p>
    <w:p>
      <w:pPr>
        <w:pStyle w:val="Heading2"/>
      </w:pPr>
      <w:r>
        <w:t>Resultado acotado</w:t>
      </w:r>
    </w:p>
    <w:p>
      <w:r>
        <w:t>Al terminar de usar la propuesta podrá __________________. Queda fuera del alcance __________________.</w:t>
      </w:r>
    </w:p>
    <w:p>
      <w:pPr>
        <w:pStyle w:val="Heading2"/>
      </w:pPr>
      <w:r>
        <w:t>Flujo y aporte de IA</w:t>
      </w:r>
    </w:p>
    <w:p>
      <w:r>
        <w:t>Entrada mínima → tarea de IA → salida → revisión humana. Dibujen o describan cada paso. ¿Qué mejora la IA frente a una plantilla estática?</w:t>
      </w:r>
    </w:p>
    <w:p>
      <w:pPr>
        <w:pStyle w:val="Heading2"/>
      </w:pPr>
      <w:r>
        <w:t>Fuentes y jurisdicción</w:t>
      </w:r>
    </w:p>
    <w:p>
      <w:r>
        <w:t>Identifiquen las fuentes que realmente abrieron. Para una afirmación jurídica, indiquen fuente oficial, artículo o sección, versión y conexión con los hechos. Distingan entre México por la compra, entrega y operación local; Colombia por la vendedora contractual y los términos; y Polonia o la Unión Europea sólo cuando el papel de la matriz o el flujo de datos lo haga pertinente. La estructura internacional no obliga a resolver por completo un conflicto de leyes.</w:t>
      </w:r>
    </w:p>
    <w:p>
      <w:pPr>
        <w:pStyle w:val="Heading2"/>
      </w:pPr>
      <w:r>
        <w:t>Supervisión y datos</w:t>
      </w:r>
    </w:p>
    <w:p>
      <w:r>
        <w:t>¿Quién revisa? ¿En qué momento se detiene el sistema? ¿Qué dato no necesita pedir? ¿Cómo conserva la persona el control de enviar, aceptar o retirarse?</w:t>
      </w:r>
    </w:p>
    <w:p>
      <w:pPr>
        <w:pStyle w:val="Heading2"/>
      </w:pPr>
      <w:r>
        <w:t>Impacto por comprobar</w:t>
      </w:r>
    </w:p>
    <w:p>
      <w:r>
        <w:t>Métrica propuesta: __________________. Método de prueba: __________________. Resultado observado o pendiente: __________________.</w:t>
      </w:r>
    </w:p>
    <w:p>
      <w:r>
        <w:t>No presentar estimaciones de ahorro como resultados medidos. Un ensayo con compañeros es una prueba de clase; no equivale a validación con usuarios reales.</w:t>
      </w:r>
    </w:p>
    <w:p>
      <w:r>
        <w:br w:type="page"/>
      </w:r>
    </w:p>
    <w:p>
      <w:pPr>
        <w:pStyle w:val="Heading1"/>
      </w:pPr>
      <w:r>
        <w:t>Pruebas obligatorias del prototipo</w:t>
      </w:r>
    </w:p>
    <w:p>
      <w:r>
        <w:t>Ejecuten tres recorridos y registren qué ocurrió. Si el prototipo es de papel, una persona representa al sistema y otra a Mariana. Documenten si la salida ayuda a decidir y qué se corrigió.</w:t>
      </w:r>
    </w:p>
    <w:tbl>
      <w:tblPr>
        <w:tblW w:type="auto" w:w="0"/>
        <w:jc w:val="center"/>
        <w:tblLayout w:type="fixed"/>
        <w:tblLook w:firstColumn="1" w:firstRow="1" w:lastColumn="0" w:lastRow="0" w:noHBand="0" w:noVBand="1" w:val="04A0"/>
      </w:tblPr>
      <w:tblGrid>
        <w:gridCol w:w="1800"/>
        <w:gridCol w:w="3240"/>
        <w:gridCol w:w="4954"/>
      </w:tblGrid>
      <w:tr>
        <w:trPr>
          <w:tblHeader/>
        </w:trPr>
        <w:tc>
          <w:tcPr>
            <w:tcW w:type="dxa" w:w="1800"/>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Prueba</w:t>
            </w:r>
          </w:p>
        </w:tc>
        <w:tc>
          <w:tcPr>
            <w:tcW w:type="dxa" w:w="3240"/>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Entrada</w:t>
            </w:r>
          </w:p>
        </w:tc>
        <w:tc>
          <w:tcPr>
            <w:tcW w:type="dxa" w:w="4954"/>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Comportamiento esperado</w:t>
            </w:r>
          </w:p>
        </w:tc>
      </w:tr>
      <w:tr>
        <w:tc>
          <w:tcPr>
            <w:tcW w:type="dxa" w:w="18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A Información disponible</w:t>
            </w:r>
          </w:p>
        </w:tc>
        <w:tc>
          <w:tcPr>
            <w:tcW w:type="dxa" w:w="324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r>
              <w:rPr>
                <w:b w:val="0"/>
                <w:sz w:val="19"/>
              </w:rPr>
              <w:t>Usar el cuaderno y las evidencias D01 a D07.</w:t>
            </w:r>
          </w:p>
        </w:tc>
        <w:tc>
          <w:tcPr>
            <w:tcW w:type="dxa" w:w="495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Organizar el caso y producir un siguiente paso revisable con límites y fuentes.</w:t>
            </w:r>
          </w:p>
        </w:tc>
      </w:tr>
      <w:tr>
        <w:tc>
          <w:tcPr>
            <w:tcW w:type="dxa" w:w="1800"/>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B Documento faltante</w:t>
            </w:r>
          </w:p>
        </w:tc>
        <w:tc>
          <w:tcPr>
            <w:tcW w:type="dxa" w:w="3240"/>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La hoja completa de condiciones no aparece.</w:t>
            </w:r>
          </w:p>
        </w:tc>
        <w:tc>
          <w:tcPr>
            <w:tcW w:type="dxa" w:w="4954"/>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No inventar cláusulas, garantías ni plazos; identificar qué falta y cómo pedirlo.</w:t>
            </w:r>
          </w:p>
        </w:tc>
      </w:tr>
      <w:tr>
        <w:tc>
          <w:tcPr>
            <w:tcW w:type="dxa" w:w="180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C Riesgo de coerción</w:t>
            </w:r>
          </w:p>
        </w:tc>
        <w:tc>
          <w:tcPr>
            <w:tcW w:type="dxa" w:w="324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Variante de prueba: la persona dice que se siente amenazada o presionada para aceptar.</w:t>
            </w:r>
          </w:p>
        </w:tc>
        <w:tc>
          <w:tcPr>
            <w:tcW w:type="dxa" w:w="4954"/>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Detener el flujo automático de negociación; explicar el límite y derivar a revisión humana adecuada. No presionar para acordar.</w:t>
            </w:r>
          </w:p>
        </w:tc>
      </w:tr>
    </w:tbl>
    <w:p>
      <w:pPr>
        <w:spacing w:after="20"/>
      </w:pPr>
    </w:p>
    <w:tbl>
      <w:tblPr>
        <w:tblW w:type="auto" w:w="0"/>
        <w:jc w:val="center"/>
        <w:tblLayout w:type="fixed"/>
        <w:tblLook w:firstColumn="1" w:firstRow="1" w:lastColumn="0" w:lastRow="0" w:noHBand="0" w:noVBand="1" w:val="04A0"/>
      </w:tblPr>
      <w:tblGrid>
        <w:gridCol w:w="1440"/>
        <w:gridCol w:w="4277"/>
        <w:gridCol w:w="4277"/>
      </w:tblGrid>
      <w:tr>
        <w:trPr>
          <w:tblHeader/>
        </w:trPr>
        <w:tc>
          <w:tcPr>
            <w:tcW w:type="dxa" w:w="1440"/>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Prueba</w:t>
            </w:r>
          </w:p>
        </w:tc>
        <w:tc>
          <w:tcPr>
            <w:tcW w:type="dxa" w:w="4277"/>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Resultado observado</w:t>
            </w:r>
          </w:p>
        </w:tc>
        <w:tc>
          <w:tcPr>
            <w:tcW w:type="dxa" w:w="4277"/>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Corrección y nueva prueba</w:t>
            </w:r>
          </w:p>
        </w:tc>
      </w:tr>
      <w:tr>
        <w:tc>
          <w:tcPr>
            <w:tcW w:type="dxa" w:w="144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A</w:t>
            </w:r>
          </w:p>
        </w:tc>
        <w:tc>
          <w:tcPr>
            <w:tcW w:type="dxa" w:w="4277"/>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________________</w:t>
            </w:r>
          </w:p>
        </w:tc>
        <w:tc>
          <w:tcPr>
            <w:tcW w:type="dxa" w:w="4277"/>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________________</w:t>
            </w:r>
          </w:p>
        </w:tc>
      </w:tr>
      <w:tr>
        <w:tc>
          <w:tcPr>
            <w:tcW w:type="dxa" w:w="1440"/>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B</w:t>
            </w:r>
          </w:p>
        </w:tc>
        <w:tc>
          <w:tcPr>
            <w:tcW w:type="dxa" w:w="4277"/>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________________</w:t>
            </w:r>
          </w:p>
        </w:tc>
        <w:tc>
          <w:tcPr>
            <w:tcW w:type="dxa" w:w="4277"/>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________________</w:t>
            </w:r>
          </w:p>
        </w:tc>
      </w:tr>
      <w:tr>
        <w:tc>
          <w:tcPr>
            <w:tcW w:type="dxa" w:w="144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C</w:t>
            </w:r>
          </w:p>
        </w:tc>
        <w:tc>
          <w:tcPr>
            <w:tcW w:type="dxa" w:w="4277"/>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________________</w:t>
            </w:r>
          </w:p>
        </w:tc>
        <w:tc>
          <w:tcPr>
            <w:tcW w:type="dxa" w:w="4277"/>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________________</w:t>
            </w:r>
          </w:p>
        </w:tc>
      </w:tr>
    </w:tbl>
    <w:p>
      <w:pPr>
        <w:spacing w:after="20"/>
      </w:pPr>
    </w:p>
    <w:p>
      <w:pPr>
        <w:pStyle w:val="Heading1"/>
      </w:pPr>
      <w:r>
        <w:t>Entrega mínima</w:t>
      </w:r>
    </w:p>
    <w:p>
      <w:r>
        <w:t>1. Una ficha de diseño que cubra problema, persona usuaria, solución, flujo de IA, supervisión humana, riesgos e impacto esperado. 2. Un prototipo demostrable o representación funcional. 3. Registro de las tres pruebas y al menos una mejora. 4. Fuentes abiertas y prompts utilizados. 5. Pitch de tres minutos; después habrá dos minutos de preguntas.</w:t>
      </w:r>
    </w:p>
    <w:p>
      <w:r>
        <w:t>Entregar a las 17:15 por el canal que indique la facilitación. Nombres sugeridos: Equipo_01_Ficha, Equipo_01_Prototipo y Equipo_01_Pruebas. Se admite un único archivo que los reúna. Si falla la red, entregar archivo local o evidencia del prototipo en papel. La facilitación indicará el punto de recepción; no se requiere publicar enlaces abiertos.</w:t>
      </w:r>
    </w:p>
    <w:p>
      <w:r>
        <w:br w:type="page"/>
      </w:r>
    </w:p>
    <w:p>
      <w:pPr>
        <w:pStyle w:val="Heading1"/>
      </w:pPr>
      <w:r>
        <w:t>Evaluación y tiempos</w:t>
      </w:r>
    </w:p>
    <w:tbl>
      <w:tblPr>
        <w:tblW w:type="auto" w:w="0"/>
        <w:jc w:val="center"/>
        <w:tblLayout w:type="fixed"/>
        <w:tblLook w:firstColumn="1" w:firstRow="1" w:lastColumn="0" w:lastRow="0" w:noHBand="0" w:noVBand="1" w:val="04A0"/>
      </w:tblPr>
      <w:tblGrid>
        <w:gridCol w:w="2808"/>
        <w:gridCol w:w="936"/>
        <w:gridCol w:w="6250"/>
      </w:tblGrid>
      <w:tr>
        <w:trPr>
          <w:tblHeader/>
        </w:trPr>
        <w:tc>
          <w:tcPr>
            <w:tcW w:type="dxa" w:w="2808"/>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Criterio</w:t>
            </w:r>
          </w:p>
        </w:tc>
        <w:tc>
          <w:tcPr>
            <w:tcW w:type="dxa" w:w="936"/>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Peso</w:t>
            </w:r>
          </w:p>
        </w:tc>
        <w:tc>
          <w:tcPr>
            <w:tcW w:type="dxa" w:w="6250"/>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Evidencia que observará el jurado</w:t>
            </w:r>
          </w:p>
        </w:tc>
      </w:tr>
      <w:tr>
        <w:tc>
          <w:tcPr>
            <w:tcW w:type="dxa" w:w="280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Impacto en acceso a justicia</w:t>
            </w:r>
          </w:p>
        </w:tc>
        <w:tc>
          <w:tcPr>
            <w:tcW w:type="dxa" w:w="93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25%</w:t>
            </w:r>
          </w:p>
        </w:tc>
        <w:tc>
          <w:tcPr>
            <w:tcW w:type="dxa" w:w="625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Barrera concreta y resultado útil para Mariana; métrica comprobable.</w:t>
            </w:r>
          </w:p>
        </w:tc>
      </w:tr>
      <w:tr>
        <w:tc>
          <w:tcPr>
            <w:tcW w:type="dxa" w:w="2808"/>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Viabilidad jurídica</w:t>
            </w:r>
          </w:p>
        </w:tc>
        <w:tc>
          <w:tcPr>
            <w:tcW w:type="dxa" w:w="936"/>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20%</w:t>
            </w:r>
          </w:p>
        </w:tc>
        <w:tc>
          <w:tcPr>
            <w:tcW w:type="dxa" w:w="6250"/>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Fuentes y alcance correctos; reconoce límites y necesidades de verificación.</w:t>
            </w:r>
          </w:p>
        </w:tc>
      </w:tr>
      <w:tr>
        <w:tc>
          <w:tcPr>
            <w:tcW w:type="dxa" w:w="280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Uso significativo de IA</w:t>
            </w:r>
          </w:p>
        </w:tc>
        <w:tc>
          <w:tcPr>
            <w:tcW w:type="dxa" w:w="93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20%</w:t>
            </w:r>
          </w:p>
        </w:tc>
        <w:tc>
          <w:tcPr>
            <w:tcW w:type="dxa" w:w="625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Aporte identificable y revisión de su salida; no basta una interfaz.</w:t>
            </w:r>
          </w:p>
        </w:tc>
      </w:tr>
      <w:tr>
        <w:tc>
          <w:tcPr>
            <w:tcW w:type="dxa" w:w="2808"/>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Innovación</w:t>
            </w:r>
          </w:p>
        </w:tc>
        <w:tc>
          <w:tcPr>
            <w:tcW w:type="dxa" w:w="936"/>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15%</w:t>
            </w:r>
          </w:p>
        </w:tc>
        <w:tc>
          <w:tcPr>
            <w:tcW w:type="dxa" w:w="6250"/>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Mejora pertinente del servicio frente a la alternativa actual.</w:t>
            </w:r>
          </w:p>
        </w:tc>
      </w:tr>
      <w:tr>
        <w:tc>
          <w:tcPr>
            <w:tcW w:type="dxa" w:w="280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Diseño centrado en usuario</w:t>
            </w:r>
          </w:p>
        </w:tc>
        <w:tc>
          <w:tcPr>
            <w:tcW w:type="dxa" w:w="93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10%</w:t>
            </w:r>
          </w:p>
        </w:tc>
        <w:tc>
          <w:tcPr>
            <w:tcW w:type="dxa" w:w="6250"/>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Lenguaje claro y funcionamiento con teléfono o baja conectividad.</w:t>
            </w:r>
          </w:p>
        </w:tc>
      </w:tr>
      <w:tr>
        <w:tc>
          <w:tcPr>
            <w:tcW w:type="dxa" w:w="2808"/>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Riesgo y supervisión humana</w:t>
            </w:r>
          </w:p>
        </w:tc>
        <w:tc>
          <w:tcPr>
            <w:tcW w:type="dxa" w:w="936"/>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10%</w:t>
            </w:r>
          </w:p>
        </w:tc>
        <w:tc>
          <w:tcPr>
            <w:tcW w:type="dxa" w:w="6250"/>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Controles de datos, incertidumbre y ruta de intervención humana.</w:t>
            </w:r>
          </w:p>
        </w:tc>
      </w:tr>
    </w:tbl>
    <w:p>
      <w:pPr>
        <w:spacing w:after="20"/>
      </w:pPr>
    </w:p>
    <w:p>
      <w:r>
        <w:t>Cada criterio se valora de 0 a 4. 0: no se presenta; 1: sólo se afirma; 2: se desarrolla parcialmente; 3: se demuestra con evidencia de clase; 4: se prueba, se corrige y se justifican límites. Puntos del criterio = peso × calificación / 4. Total máximo: 100. La calidad gráfica y usar una cuenta de pago no agregan puntos por sí solas.</w:t>
      </w:r>
    </w:p>
    <w:tbl>
      <w:tblPr>
        <w:tblW w:type="auto" w:w="0"/>
        <w:jc w:val="center"/>
        <w:tblLayout w:type="fixed"/>
        <w:tblLook w:firstColumn="1" w:firstRow="1" w:lastColumn="0" w:lastRow="0" w:noHBand="0" w:noVBand="1" w:val="04A0"/>
      </w:tblPr>
      <w:tblGrid>
        <w:gridCol w:w="1656"/>
        <w:gridCol w:w="8338"/>
      </w:tblGrid>
      <w:tr>
        <w:trPr>
          <w:tblHeader/>
        </w:trPr>
        <w:tc>
          <w:tcPr>
            <w:tcW w:type="dxa" w:w="1656"/>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Hora</w:t>
            </w:r>
          </w:p>
        </w:tc>
        <w:tc>
          <w:tcPr>
            <w:tcW w:type="dxa" w:w="8338"/>
            <w:vAlign w:val="center"/>
            <w:tcBorders>
              <w:top w:val="single" w:sz="4" w:color="D9D9D9"/>
              <w:left w:val="single" w:sz="4" w:color="D9D9D9"/>
              <w:bottom w:val="single" w:sz="4" w:color="D9D9D9"/>
              <w:right w:val="single" w:sz="4" w:color="D9D9D9"/>
            </w:tcBorders>
            <w:shd w:fill="253C4B"/>
            <w:tcMar>
              <w:top w:w="90" w:type="dxa"/>
              <w:bottom w:w="90" w:type="dxa"/>
              <w:left w:w="90" w:type="dxa"/>
              <w:right w:w="90" w:type="dxa"/>
            </w:tcMar>
          </w:tcPr>
          <w:p>
            <w:pPr>
              <w:spacing w:after="60" w:before="60"/>
            </w:pPr>
            <w:r>
              <w:rPr>
                <w:b/>
                <w:color w:val="FFFFFF"/>
                <w:sz w:val="19"/>
              </w:rPr>
              <w:t>Hito</w:t>
            </w:r>
          </w:p>
        </w:tc>
      </w:tr>
      <w:tr>
        <w:tc>
          <w:tcPr>
            <w:tcW w:type="dxa" w:w="16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15:05</w:t>
            </w:r>
          </w:p>
        </w:tc>
        <w:tc>
          <w:tcPr>
            <w:tcW w:type="dxa" w:w="833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Revelación y formación de equipos</w:t>
            </w:r>
          </w:p>
        </w:tc>
      </w:tr>
      <w:tr>
        <w:tc>
          <w:tcPr>
            <w:tcW w:type="dxa" w:w="1656"/>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15:15</w:t>
            </w:r>
          </w:p>
        </w:tc>
        <w:tc>
          <w:tcPr>
            <w:tcW w:type="dxa" w:w="8338"/>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Inicio del sprint</w:t>
            </w:r>
          </w:p>
        </w:tc>
      </w:tr>
      <w:tr>
        <w:tc>
          <w:tcPr>
            <w:tcW w:type="dxa" w:w="16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16:30</w:t>
            </w:r>
          </w:p>
        </w:tc>
        <w:tc>
          <w:tcPr>
            <w:tcW w:type="dxa" w:w="833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Revisión con mentores</w:t>
            </w:r>
          </w:p>
        </w:tc>
      </w:tr>
      <w:tr>
        <w:tc>
          <w:tcPr>
            <w:tcW w:type="dxa" w:w="1656"/>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16:45</w:t>
            </w:r>
          </w:p>
        </w:tc>
        <w:tc>
          <w:tcPr>
            <w:tcW w:type="dxa" w:w="8338"/>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Sprint final</w:t>
            </w:r>
          </w:p>
        </w:tc>
      </w:tr>
      <w:tr>
        <w:tc>
          <w:tcPr>
            <w:tcW w:type="dxa" w:w="1656"/>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17:15</w:t>
            </w:r>
          </w:p>
        </w:tc>
        <w:tc>
          <w:tcPr>
            <w:tcW w:type="dxa" w:w="8338"/>
            <w:vAlign w:val="center"/>
            <w:tcBorders>
              <w:top w:val="single" w:sz="4" w:color="D9D9D9"/>
              <w:left w:val="single" w:sz="4" w:color="D9D9D9"/>
              <w:bottom w:val="single" w:sz="4" w:color="D9D9D9"/>
              <w:right w:val="single" w:sz="4" w:color="D9D9D9"/>
            </w:tcBorders>
            <w:shd w:fill="FFFFFF"/>
            <w:tcMar>
              <w:top w:w="90" w:type="dxa"/>
              <w:bottom w:w="90" w:type="dxa"/>
              <w:left w:w="90" w:type="dxa"/>
              <w:right w:w="90" w:type="dxa"/>
            </w:tcMar>
          </w:tcPr>
          <w:p>
            <w:pPr>
              <w:spacing w:after="60" w:before="60"/>
            </w:pPr>
            <w:r>
              <w:rPr>
                <w:b w:val="0"/>
                <w:sz w:val="19"/>
              </w:rPr>
              <w:t>Entrega y preparación</w:t>
            </w:r>
          </w:p>
        </w:tc>
      </w:tr>
      <w:tr>
        <w:tc>
          <w:tcPr>
            <w:tcW w:type="dxa" w:w="1656"/>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17:20</w:t>
            </w:r>
          </w:p>
        </w:tc>
        <w:tc>
          <w:tcPr>
            <w:tcW w:type="dxa" w:w="8338"/>
            <w:vAlign w:val="center"/>
            <w:tcBorders>
              <w:top w:val="single" w:sz="4" w:color="D9D9D9"/>
              <w:left w:val="single" w:sz="4" w:color="D9D9D9"/>
              <w:bottom w:val="single" w:sz="4" w:color="D9D9D9"/>
              <w:right w:val="single" w:sz="4" w:color="D9D9D9"/>
            </w:tcBorders>
            <w:shd w:fill="F2F5F6"/>
            <w:tcMar>
              <w:top w:w="90" w:type="dxa"/>
              <w:bottom w:w="90" w:type="dxa"/>
              <w:left w:w="90" w:type="dxa"/>
              <w:right w:w="90" w:type="dxa"/>
            </w:tcMar>
          </w:tcPr>
          <w:p>
            <w:pPr>
              <w:spacing w:after="60" w:before="60"/>
            </w:pPr>
            <w:r>
              <w:rPr>
                <w:b w:val="0"/>
                <w:sz w:val="19"/>
              </w:rPr>
              <w:t>Pitches de 3 minutos + 2 de preguntas</w:t>
            </w:r>
          </w:p>
        </w:tc>
      </w:tr>
    </w:tbl>
    <w:p>
      <w:pPr>
        <w:spacing w:after="20"/>
      </w:pPr>
    </w:p>
    <w:p>
      <w:r>
        <w:t>Pitch sugerido: 30 segundos de persona y barrera, 75 segundos de demostración, 45 segundos de pruebas y controles, 30 segundos de impacto y siguiente paso.</w:t>
      </w:r>
    </w:p>
    <w:sectPr w:rsidR="00FC693F" w:rsidRPr="0006063C" w:rsidSect="00034616">
      <w:footerReference w:type="default" r:id="rId9"/>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11 septiembre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Liberation Sans" w:hAnsi="Liberation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Liberation Sans" w:hAnsi="Liberation San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Liberation Sans" w:hAnsi="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Liberation Sans" w:hAnsi="Liberation San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Liberation Sans" w:hAnsi="Liberation Sans"/>
      <w:i/>
      <w:iCs/>
      <w:color w:val="000000"/>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Cuaderno de equipo para el reto de acceso a justicia</dc:title>
  <dc:subject/>
  <dc:creator>Material académico del evento</dc:creator>
  <cp:keywords/>
  <dc:description>generated by python-docx</dc:description>
  <cp:lastModifiedBy/>
  <cp:revision>1</cp:revision>
  <dcterms:created xsi:type="dcterms:W3CDTF">2013-12-23T23:15:00Z</dcterms:created>
  <dcterms:modified xsi:type="dcterms:W3CDTF">2013-12-23T23:15:00Z</dcterms:modified>
  <cp:category/>
</cp:coreProperties>
</file>