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Evidencia de compra y entrega</w:t>
      </w:r>
    </w:p>
    <w:p>
      <w:r>
        <w:rPr>
          <w:rFonts w:ascii="Aptos" w:hAnsi="Aptos"/>
          <w:i/>
          <w:color w:val="333333"/>
          <w:sz w:val="23"/>
        </w:rPr>
        <w:t>Documento D01 Registros conservados por Mariana</w:t>
      </w:r>
    </w:p>
    <w:p>
      <w:r>
        <w:rPr>
          <w:rFonts w:ascii="Aptos" w:hAnsi="Aptos"/>
          <w:color w:val="555555"/>
          <w:sz w:val="19"/>
        </w:rPr>
        <w:t>Universidad Icesi y Tecmilenio Puebla  ·  11 de septiembre de 2026</w:t>
      </w:r>
    </w:p>
    <w:p>
      <w:pPr>
        <w:spacing w:after="180"/>
      </w:pPr>
      <w:r>
        <w:rPr>
          <w:rFonts w:ascii="Aptos" w:hAnsi="Aptos"/>
          <w:b/>
          <w:color w:val="000000"/>
          <w:sz w:val="21"/>
        </w:rPr>
        <w:t xml:space="preserve">Propósito  </w:t>
      </w:r>
      <w:r>
        <w:rPr>
          <w:rFonts w:ascii="Aptos" w:hAnsi="Aptos"/>
          <w:color w:val="000000"/>
          <w:sz w:val="21"/>
        </w:rPr>
        <w:t>Este documento reúne la confirmación de pedido, la oferta que Mariana capturó, el movimiento de pago y la etiqueta de entrega. Las diferencias entre nombres comerciales y entidades forman parte del problema.</w:t>
      </w:r>
    </w:p>
    <w:p>
      <w:pPr>
        <w:pStyle w:val="Heading1"/>
        <w:keepNext w:val="0"/>
        <w:spacing w:before="260" w:after="120"/>
        <w:ind w:left="0" w:firstLine="0"/>
        <w:jc w:val="left"/>
      </w:pPr>
      <w:r>
        <w:t>Confirmación de pedido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243E4E"/>
            <w:tcMar>
              <w:top w:w="90" w:type="dxa"/>
              <w:start w:w="110" w:type="dxa"/>
              <w:bottom w:w="90" w:type="dxa"/>
              <w:end w:w="110" w:type="dxa"/>
            </w:tcMar>
            <w:vAlign w:val="center"/>
          </w:tcPr>
          <w:p>
            <w:pPr>
              <w:jc w:val="center"/>
            </w:pPr>
            <w:r>
              <w:rPr>
                <w:rFonts w:ascii="Aptos" w:hAnsi="Aptos"/>
                <w:b/>
                <w:color w:val="FFFFFF"/>
                <w:sz w:val="18"/>
              </w:rPr>
              <w:t>Campo</w:t>
            </w:r>
          </w:p>
        </w:tc>
        <w:tc>
          <w:tcPr>
            <w:tcW w:type="dxa" w:w="7488"/>
            <w:shd w:fill="243E4E"/>
            <w:tcMar>
              <w:top w:w="90" w:type="dxa"/>
              <w:start w:w="110" w:type="dxa"/>
              <w:bottom w:w="90" w:type="dxa"/>
              <w:end w:w="110" w:type="dxa"/>
            </w:tcMar>
            <w:vAlign w:val="center"/>
          </w:tcPr>
          <w:p>
            <w:pPr>
              <w:jc w:val="center"/>
            </w:pPr>
            <w:r>
              <w:rPr>
                <w:rFonts w:ascii="Aptos" w:hAnsi="Aptos"/>
                <w:b/>
                <w:color w:val="FFFFFF"/>
                <w:sz w:val="18"/>
              </w:rPr>
              <w:t>Contenido</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Pedido</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BTMX 2026 0820 1147</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Fecha y hora</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20 agosto 2026  19:42 hora de Puebla</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Compradora</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Mariana Soto  datos de contacto omitidos</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Producto</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Portátil reacondicionada Krak R14  grado B</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Precio total</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$4,200 MXN  envío incluido</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Entrega</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Puebla México  estimada 23 a 25 agosto</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Canal</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brisa tech punto example diagonal mx</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Estado</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Pago aprobado  preparación local</w:t>
            </w:r>
          </w:p>
        </w:tc>
      </w:tr>
    </w:tbl>
    <w:p>
      <w:pPr>
        <w:spacing w:after="40"/>
      </w:pPr>
    </w:p>
    <w:p>
      <w:pPr>
        <w:pStyle w:val="Heading1"/>
        <w:keepNext w:val="0"/>
        <w:spacing w:before="260" w:after="120"/>
        <w:ind w:left="0" w:firstLine="0"/>
        <w:jc w:val="left"/>
      </w:pPr>
      <w:r>
        <w:t>Captura de la oferta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007A6A"/>
            <w:tcMar>
              <w:top w:w="90" w:type="dxa"/>
              <w:start w:w="110" w:type="dxa"/>
              <w:bottom w:w="90" w:type="dxa"/>
              <w:end w:w="110" w:type="dxa"/>
            </w:tcMar>
            <w:vAlign w:val="center"/>
          </w:tcPr>
          <w:p>
            <w:pPr>
              <w:jc w:val="center"/>
            </w:pPr>
            <w:r>
              <w:rPr>
                <w:rFonts w:ascii="Aptos" w:hAnsi="Aptos"/>
                <w:b/>
                <w:color w:val="FFFFFF"/>
                <w:sz w:val="18"/>
              </w:rPr>
              <w:t>Elemento</w:t>
            </w:r>
          </w:p>
        </w:tc>
        <w:tc>
          <w:tcPr>
            <w:tcW w:type="dxa" w:w="7632"/>
            <w:shd w:fill="007A6A"/>
            <w:tcMar>
              <w:top w:w="90" w:type="dxa"/>
              <w:start w:w="110" w:type="dxa"/>
              <w:bottom w:w="90" w:type="dxa"/>
              <w:end w:w="110" w:type="dxa"/>
            </w:tcMar>
            <w:vAlign w:val="center"/>
          </w:tcPr>
          <w:p>
            <w:pPr>
              <w:jc w:val="left"/>
            </w:pPr>
            <w:r>
              <w:rPr>
                <w:rFonts w:ascii="Aptos" w:hAnsi="Aptos"/>
                <w:b/>
                <w:color w:val="FFFFFF"/>
                <w:sz w:val="18"/>
              </w:rPr>
              <w:t>Texto visible antes de pagar</w:t>
            </w:r>
          </w:p>
        </w:tc>
      </w:tr>
      <w:tr>
        <w:tc>
          <w:tcPr>
            <w:tcW w:type="dxa" w:w="2088"/>
            <w:tcMar>
              <w:top w:w="90" w:type="dxa"/>
              <w:start w:w="110" w:type="dxa"/>
              <w:bottom w:w="90" w:type="dxa"/>
              <w:end w:w="110" w:type="dxa"/>
            </w:tcMar>
            <w:vAlign w:val="center"/>
          </w:tcPr>
          <w:p>
            <w:pPr>
              <w:spacing w:after="0"/>
              <w:jc w:val="center"/>
            </w:pPr>
            <w:r>
              <w:rPr>
                <w:rFonts w:ascii="Aptos" w:hAnsi="Aptos"/>
                <w:color w:val="000000"/>
                <w:sz w:val="18"/>
              </w:rPr>
              <w:t>Encabezado</w:t>
            </w:r>
          </w:p>
        </w:tc>
        <w:tc>
          <w:tcPr>
            <w:tcW w:type="dxa" w:w="7632"/>
            <w:tcMar>
              <w:top w:w="90" w:type="dxa"/>
              <w:start w:w="110" w:type="dxa"/>
              <w:bottom w:w="90" w:type="dxa"/>
              <w:end w:w="110" w:type="dxa"/>
            </w:tcMar>
            <w:vAlign w:val="center"/>
          </w:tcPr>
          <w:p>
            <w:pPr>
              <w:spacing w:after="0"/>
              <w:jc w:val="left"/>
            </w:pPr>
            <w:r>
              <w:rPr>
                <w:rFonts w:ascii="Aptos" w:hAnsi="Aptos"/>
                <w:color w:val="000000"/>
                <w:sz w:val="18"/>
              </w:rPr>
              <w:t>Brisa Tech México  tecnología circular con soporte local</w:t>
            </w:r>
          </w:p>
        </w:tc>
      </w:tr>
      <w:tr>
        <w:tc>
          <w:tcPr>
            <w:tcW w:type="dxa" w:w="2088"/>
            <w:shd w:fill="EFF4F5"/>
            <w:tcMar>
              <w:top w:w="90" w:type="dxa"/>
              <w:start w:w="110" w:type="dxa"/>
              <w:bottom w:w="90" w:type="dxa"/>
              <w:end w:w="110" w:type="dxa"/>
            </w:tcMar>
            <w:vAlign w:val="center"/>
          </w:tcPr>
          <w:p>
            <w:pPr>
              <w:spacing w:after="0"/>
              <w:jc w:val="center"/>
            </w:pPr>
            <w:r>
              <w:rPr>
                <w:rFonts w:ascii="Aptos" w:hAnsi="Aptos"/>
                <w:color w:val="000000"/>
                <w:sz w:val="18"/>
              </w:rPr>
              <w:t>Estado</w:t>
            </w:r>
          </w:p>
        </w:tc>
        <w:tc>
          <w:tcPr>
            <w:tcW w:type="dxa" w:w="7632"/>
            <w:shd w:fill="EFF4F5"/>
            <w:tcMar>
              <w:top w:w="90" w:type="dxa"/>
              <w:start w:w="110" w:type="dxa"/>
              <w:bottom w:w="90" w:type="dxa"/>
              <w:end w:w="110" w:type="dxa"/>
            </w:tcMar>
            <w:vAlign w:val="center"/>
          </w:tcPr>
          <w:p>
            <w:pPr>
              <w:spacing w:after="0"/>
              <w:jc w:val="left"/>
            </w:pPr>
            <w:r>
              <w:rPr>
                <w:rFonts w:ascii="Aptos" w:hAnsi="Aptos"/>
                <w:color w:val="000000"/>
                <w:sz w:val="18"/>
              </w:rPr>
              <w:t>Reacondicionada grado B  funcionamiento verificado</w:t>
            </w:r>
          </w:p>
        </w:tc>
      </w:tr>
      <w:tr>
        <w:tc>
          <w:tcPr>
            <w:tcW w:type="dxa" w:w="2088"/>
            <w:tcMar>
              <w:top w:w="90" w:type="dxa"/>
              <w:start w:w="110" w:type="dxa"/>
              <w:bottom w:w="90" w:type="dxa"/>
              <w:end w:w="110" w:type="dxa"/>
            </w:tcMar>
            <w:vAlign w:val="center"/>
          </w:tcPr>
          <w:p>
            <w:pPr>
              <w:spacing w:after="0"/>
              <w:jc w:val="center"/>
            </w:pPr>
            <w:r>
              <w:rPr>
                <w:rFonts w:ascii="Aptos" w:hAnsi="Aptos"/>
                <w:color w:val="000000"/>
                <w:sz w:val="18"/>
              </w:rPr>
              <w:t>Batería</w:t>
            </w:r>
          </w:p>
        </w:tc>
        <w:tc>
          <w:tcPr>
            <w:tcW w:type="dxa" w:w="7632"/>
            <w:tcMar>
              <w:top w:w="90" w:type="dxa"/>
              <w:start w:w="110" w:type="dxa"/>
              <w:bottom w:w="90" w:type="dxa"/>
              <w:end w:w="110" w:type="dxa"/>
            </w:tcMar>
            <w:vAlign w:val="center"/>
          </w:tcPr>
          <w:p>
            <w:pPr>
              <w:spacing w:after="0"/>
              <w:jc w:val="left"/>
            </w:pPr>
            <w:r>
              <w:rPr>
                <w:rFonts w:ascii="Aptos" w:hAnsi="Aptos"/>
                <w:color w:val="000000"/>
                <w:sz w:val="18"/>
              </w:rPr>
              <w:t>Autonomía esperada de al menos tres horas en uso de estudio</w:t>
            </w:r>
          </w:p>
        </w:tc>
      </w:tr>
      <w:tr>
        <w:tc>
          <w:tcPr>
            <w:tcW w:type="dxa" w:w="2088"/>
            <w:shd w:fill="EFF4F5"/>
            <w:tcMar>
              <w:top w:w="90" w:type="dxa"/>
              <w:start w:w="110" w:type="dxa"/>
              <w:bottom w:w="90" w:type="dxa"/>
              <w:end w:w="110" w:type="dxa"/>
            </w:tcMar>
            <w:vAlign w:val="center"/>
          </w:tcPr>
          <w:p>
            <w:pPr>
              <w:spacing w:after="0"/>
              <w:jc w:val="center"/>
            </w:pPr>
            <w:r>
              <w:rPr>
                <w:rFonts w:ascii="Aptos" w:hAnsi="Aptos"/>
                <w:color w:val="000000"/>
                <w:sz w:val="18"/>
              </w:rPr>
              <w:t>Garantía</w:t>
            </w:r>
          </w:p>
        </w:tc>
        <w:tc>
          <w:tcPr>
            <w:tcW w:type="dxa" w:w="7632"/>
            <w:shd w:fill="EFF4F5"/>
            <w:tcMar>
              <w:top w:w="90" w:type="dxa"/>
              <w:start w:w="110" w:type="dxa"/>
              <w:bottom w:w="90" w:type="dxa"/>
              <w:end w:w="110" w:type="dxa"/>
            </w:tcMar>
            <w:vAlign w:val="center"/>
          </w:tcPr>
          <w:p>
            <w:pPr>
              <w:spacing w:after="0"/>
              <w:jc w:val="left"/>
            </w:pPr>
            <w:r>
              <w:rPr>
                <w:rFonts w:ascii="Aptos" w:hAnsi="Aptos"/>
                <w:color w:val="000000"/>
                <w:sz w:val="18"/>
              </w:rPr>
              <w:t>Seis meses de respaldo Brisa en México</w:t>
            </w:r>
          </w:p>
        </w:tc>
      </w:tr>
      <w:tr>
        <w:tc>
          <w:tcPr>
            <w:tcW w:type="dxa" w:w="2088"/>
            <w:tcMar>
              <w:top w:w="90" w:type="dxa"/>
              <w:start w:w="110" w:type="dxa"/>
              <w:bottom w:w="90" w:type="dxa"/>
              <w:end w:w="110" w:type="dxa"/>
            </w:tcMar>
            <w:vAlign w:val="center"/>
          </w:tcPr>
          <w:p>
            <w:pPr>
              <w:spacing w:after="0"/>
              <w:jc w:val="center"/>
            </w:pPr>
            <w:r>
              <w:rPr>
                <w:rFonts w:ascii="Aptos" w:hAnsi="Aptos"/>
                <w:color w:val="000000"/>
                <w:sz w:val="18"/>
              </w:rPr>
              <w:t>Devolución</w:t>
            </w:r>
          </w:p>
        </w:tc>
        <w:tc>
          <w:tcPr>
            <w:tcW w:type="dxa" w:w="7632"/>
            <w:tcMar>
              <w:top w:w="90" w:type="dxa"/>
              <w:start w:w="110" w:type="dxa"/>
              <w:bottom w:w="90" w:type="dxa"/>
              <w:end w:w="110" w:type="dxa"/>
            </w:tcMar>
            <w:vAlign w:val="center"/>
          </w:tcPr>
          <w:p>
            <w:pPr>
              <w:spacing w:after="0"/>
              <w:jc w:val="left"/>
            </w:pPr>
            <w:r>
              <w:rPr>
                <w:rFonts w:ascii="Aptos" w:hAnsi="Aptos"/>
                <w:color w:val="000000"/>
                <w:sz w:val="18"/>
              </w:rPr>
              <w:t>Compra protegida  consulta condiciones</w:t>
            </w:r>
          </w:p>
        </w:tc>
      </w:tr>
      <w:tr>
        <w:tc>
          <w:tcPr>
            <w:tcW w:type="dxa" w:w="2088"/>
            <w:shd w:fill="EFF4F5"/>
            <w:tcMar>
              <w:top w:w="90" w:type="dxa"/>
              <w:start w:w="110" w:type="dxa"/>
              <w:bottom w:w="90" w:type="dxa"/>
              <w:end w:w="110" w:type="dxa"/>
            </w:tcMar>
            <w:vAlign w:val="center"/>
          </w:tcPr>
          <w:p>
            <w:pPr>
              <w:spacing w:after="0"/>
              <w:jc w:val="center"/>
            </w:pPr>
            <w:r>
              <w:rPr>
                <w:rFonts w:ascii="Aptos" w:hAnsi="Aptos"/>
                <w:color w:val="000000"/>
                <w:sz w:val="18"/>
              </w:rPr>
              <w:t>Vendedor</w:t>
            </w:r>
          </w:p>
        </w:tc>
        <w:tc>
          <w:tcPr>
            <w:tcW w:type="dxa" w:w="7632"/>
            <w:shd w:fill="EFF4F5"/>
            <w:tcMar>
              <w:top w:w="90" w:type="dxa"/>
              <w:start w:w="110" w:type="dxa"/>
              <w:bottom w:w="90" w:type="dxa"/>
              <w:end w:w="110" w:type="dxa"/>
            </w:tcMar>
            <w:vAlign w:val="center"/>
          </w:tcPr>
          <w:p>
            <w:pPr>
              <w:spacing w:after="0"/>
              <w:jc w:val="left"/>
            </w:pPr>
            <w:r>
              <w:rPr>
                <w:rFonts w:ascii="Aptos" w:hAnsi="Aptos"/>
                <w:color w:val="000000"/>
                <w:sz w:val="18"/>
              </w:rPr>
              <w:t>No aparecía una razón social junto al botón de pago</w:t>
            </w:r>
          </w:p>
        </w:tc>
      </w:tr>
    </w:tbl>
    <w:p>
      <w:pPr>
        <w:spacing w:after="40"/>
      </w:pPr>
    </w:p>
    <w:p>
      <w:pPr>
        <w:keepLines w:val="0"/>
        <w:ind w:left="0" w:firstLine="0"/>
        <w:jc w:val="left"/>
      </w:pPr>
      <w:r>
        <w:rPr>
          <w:rFonts w:ascii="Aptos" w:hAnsi="Aptos"/>
          <w:i w:val="0"/>
          <w:color w:val="000000"/>
          <w:sz w:val="21"/>
        </w:rPr>
        <w:t>La captura no muestra el pie de página completo. El archivo original tiene fecha 20 agosto 2026 19:39 y fue guardado como imagen por el teléfono de Mariana. No hay firma digital independiente ni sello de tiempo externo.</w:t>
      </w:r>
    </w:p>
    <w:p>
      <w:r>
        <w:br w:type="page"/>
      </w:r>
    </w:p>
    <w:p>
      <w:pPr>
        <w:pStyle w:val="Heading1"/>
        <w:keepNext w:val="0"/>
        <w:spacing w:before="260" w:after="120"/>
        <w:ind w:left="0" w:firstLine="0"/>
        <w:jc w:val="left"/>
      </w:pPr>
      <w:r>
        <w:t>Movimiento de pago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243E4E"/>
            <w:tcMar>
              <w:top w:w="90" w:type="dxa"/>
              <w:start w:w="110" w:type="dxa"/>
              <w:bottom w:w="90" w:type="dxa"/>
              <w:end w:w="110" w:type="dxa"/>
            </w:tcMar>
            <w:vAlign w:val="center"/>
          </w:tcPr>
          <w:p>
            <w:pPr>
              <w:jc w:val="center"/>
            </w:pPr>
            <w:r>
              <w:rPr>
                <w:rFonts w:ascii="Aptos" w:hAnsi="Aptos"/>
                <w:b/>
                <w:color w:val="FFFFFF"/>
                <w:sz w:val="18"/>
              </w:rPr>
              <w:t>Campo</w:t>
            </w:r>
          </w:p>
        </w:tc>
        <w:tc>
          <w:tcPr>
            <w:tcW w:type="dxa" w:w="7488"/>
            <w:shd w:fill="243E4E"/>
            <w:tcMar>
              <w:top w:w="90" w:type="dxa"/>
              <w:start w:w="110" w:type="dxa"/>
              <w:bottom w:w="90" w:type="dxa"/>
              <w:end w:w="110" w:type="dxa"/>
            </w:tcMar>
            <w:vAlign w:val="center"/>
          </w:tcPr>
          <w:p>
            <w:pPr>
              <w:jc w:val="center"/>
            </w:pPr>
            <w:r>
              <w:rPr>
                <w:rFonts w:ascii="Aptos" w:hAnsi="Aptos"/>
                <w:b/>
                <w:color w:val="FFFFFF"/>
                <w:sz w:val="18"/>
              </w:rPr>
              <w:t>Registro</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Fecha contable</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20 agosto 2026</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Importe</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$4,200.00 MXN</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Descriptor</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PUENTE DIGITAL ANDINO BOG CO</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Procesador</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PagoNube Latam  referencia PN 663190</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Autorización</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Aprobada  847215</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Titular</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Mariana Soto  números de cuenta omitidos</w:t>
            </w:r>
          </w:p>
        </w:tc>
      </w:tr>
    </w:tbl>
    <w:p>
      <w:pPr>
        <w:spacing w:after="40"/>
      </w:pPr>
    </w:p>
    <w:p>
      <w:pPr>
        <w:pStyle w:val="Heading1"/>
        <w:keepNext w:val="0"/>
        <w:spacing w:before="260" w:after="120"/>
        <w:ind w:left="0" w:firstLine="0"/>
        <w:jc w:val="left"/>
      </w:pPr>
      <w:r>
        <w:t>Etiqueta y constancia de entrega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007A6A"/>
            <w:tcMar>
              <w:top w:w="90" w:type="dxa"/>
              <w:start w:w="110" w:type="dxa"/>
              <w:bottom w:w="90" w:type="dxa"/>
              <w:end w:w="110" w:type="dxa"/>
            </w:tcMar>
            <w:vAlign w:val="center"/>
          </w:tcPr>
          <w:p>
            <w:pPr>
              <w:jc w:val="center"/>
            </w:pPr>
            <w:r>
              <w:rPr>
                <w:rFonts w:ascii="Aptos" w:hAnsi="Aptos"/>
                <w:b/>
                <w:color w:val="FFFFFF"/>
                <w:sz w:val="18"/>
              </w:rPr>
              <w:t>Campo</w:t>
            </w:r>
          </w:p>
        </w:tc>
        <w:tc>
          <w:tcPr>
            <w:tcW w:type="dxa" w:w="7488"/>
            <w:shd w:fill="007A6A"/>
            <w:tcMar>
              <w:top w:w="90" w:type="dxa"/>
              <w:start w:w="110" w:type="dxa"/>
              <w:bottom w:w="90" w:type="dxa"/>
              <w:end w:w="110" w:type="dxa"/>
            </w:tcMar>
            <w:vAlign w:val="center"/>
          </w:tcPr>
          <w:p>
            <w:pPr>
              <w:jc w:val="center"/>
            </w:pPr>
            <w:r>
              <w:rPr>
                <w:rFonts w:ascii="Aptos" w:hAnsi="Aptos"/>
                <w:b/>
                <w:color w:val="FFFFFF"/>
                <w:sz w:val="18"/>
              </w:rPr>
              <w:t>Registro</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Remitente</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Vístula Devices México  S de RL de CV</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Origen</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Centro de reacondicionamiento  Huejotzingo Puebla</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Destinataria</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Mariana Soto  domicilio omitido</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Guía</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MXR 420 881 269</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Entrega</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24 agosto 2026  13:18</w:t>
            </w:r>
          </w:p>
        </w:tc>
      </w:tr>
      <w:tr>
        <w:tc>
          <w:tcPr>
            <w:tcW w:type="dxa" w:w="2232"/>
            <w:shd w:fill="EFF4F5"/>
            <w:tcMar>
              <w:top w:w="90" w:type="dxa"/>
              <w:start w:w="110" w:type="dxa"/>
              <w:bottom w:w="90" w:type="dxa"/>
              <w:end w:w="110" w:type="dxa"/>
            </w:tcMar>
            <w:vAlign w:val="center"/>
          </w:tcPr>
          <w:p>
            <w:pPr>
              <w:spacing w:after="0"/>
              <w:jc w:val="center"/>
            </w:pPr>
            <w:r>
              <w:rPr>
                <w:rFonts w:ascii="Aptos" w:hAnsi="Aptos"/>
                <w:color w:val="000000"/>
                <w:sz w:val="18"/>
              </w:rPr>
              <w:t>Contenido</w:t>
            </w:r>
          </w:p>
        </w:tc>
        <w:tc>
          <w:tcPr>
            <w:tcW w:type="dxa" w:w="7488"/>
            <w:shd w:fill="EFF4F5"/>
            <w:tcMar>
              <w:top w:w="90" w:type="dxa"/>
              <w:start w:w="110" w:type="dxa"/>
              <w:bottom w:w="90" w:type="dxa"/>
              <w:end w:w="110" w:type="dxa"/>
            </w:tcMar>
            <w:vAlign w:val="center"/>
          </w:tcPr>
          <w:p>
            <w:pPr>
              <w:spacing w:after="0"/>
              <w:jc w:val="left"/>
            </w:pPr>
            <w:r>
              <w:rPr>
                <w:rFonts w:ascii="Aptos" w:hAnsi="Aptos"/>
                <w:color w:val="000000"/>
                <w:sz w:val="18"/>
              </w:rPr>
              <w:t>Equipo usado reacondicionado  1 unidad</w:t>
            </w:r>
          </w:p>
        </w:tc>
      </w:tr>
      <w:tr>
        <w:tc>
          <w:tcPr>
            <w:tcW w:type="dxa" w:w="2232"/>
            <w:tcMar>
              <w:top w:w="90" w:type="dxa"/>
              <w:start w:w="110" w:type="dxa"/>
              <w:bottom w:w="90" w:type="dxa"/>
              <w:end w:w="110" w:type="dxa"/>
            </w:tcMar>
            <w:vAlign w:val="center"/>
          </w:tcPr>
          <w:p>
            <w:pPr>
              <w:spacing w:after="0"/>
              <w:jc w:val="center"/>
            </w:pPr>
            <w:r>
              <w:rPr>
                <w:rFonts w:ascii="Aptos" w:hAnsi="Aptos"/>
                <w:color w:val="000000"/>
                <w:sz w:val="18"/>
              </w:rPr>
              <w:t>Serie externa</w:t>
            </w:r>
          </w:p>
        </w:tc>
        <w:tc>
          <w:tcPr>
            <w:tcW w:type="dxa" w:w="7488"/>
            <w:tcMar>
              <w:top w:w="90" w:type="dxa"/>
              <w:start w:w="110" w:type="dxa"/>
              <w:bottom w:w="90" w:type="dxa"/>
              <w:end w:w="110" w:type="dxa"/>
            </w:tcMar>
            <w:vAlign w:val="center"/>
          </w:tcPr>
          <w:p>
            <w:pPr>
              <w:spacing w:after="0"/>
              <w:jc w:val="left"/>
            </w:pPr>
            <w:r>
              <w:rPr>
                <w:rFonts w:ascii="Aptos" w:hAnsi="Aptos"/>
                <w:color w:val="000000"/>
                <w:sz w:val="18"/>
              </w:rPr>
              <w:t>KR14 MX 08317</w:t>
            </w:r>
          </w:p>
        </w:tc>
      </w:tr>
    </w:tbl>
    <w:p>
      <w:pPr>
        <w:spacing w:after="40"/>
      </w:pPr>
    </w:p>
    <w:p>
      <w:pPr>
        <w:pStyle w:val="Heading1"/>
        <w:keepNext w:val="0"/>
        <w:spacing w:before="260" w:after="120"/>
        <w:ind w:left="0" w:firstLine="0"/>
        <w:jc w:val="left"/>
      </w:pPr>
      <w:r>
        <w:t>Hoja incluida en la caja</w:t>
      </w:r>
    </w:p>
    <w:p>
      <w:pPr>
        <w:keepLines w:val="0"/>
        <w:ind w:left="0" w:firstLine="0"/>
        <w:jc w:val="left"/>
      </w:pPr>
      <w:r>
        <w:rPr>
          <w:rFonts w:ascii="Aptos" w:hAnsi="Aptos"/>
          <w:i w:val="0"/>
          <w:color w:val="000000"/>
          <w:sz w:val="21"/>
        </w:rPr>
        <w:t>La caja contenía una tarjeta con la frase Garantía limitada de noventa días  diagnóstico en México. La tarjeta no identifica razón social, domicilio para reclamaciones ni quién cubre el envío. Un código QR dirige a una página que actualmente muestra Error 404.</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352"/>
      <w:gridCol w:w="1512"/>
    </w:tblGrid>
    <w:tr>
      <w:tc>
        <w:tcPr>
          <w:tcW w:type="dxa" w:w="4932"/>
        </w:tcPr>
        <w:p>
          <w:r>
            <w:rPr>
              <w:rFonts w:ascii="Aptos" w:hAnsi="Aptos"/>
              <w:color w:val="555555"/>
              <w:sz w:val="17"/>
            </w:rPr>
            <w:t>Caso ficticio para uso educativo  ·  11 de septiembre de 2026</w:t>
          </w:r>
        </w:p>
      </w:tc>
      <w:tc>
        <w:tcPr>
          <w:tcW w:type="dxa" w:w="4932"/>
        </w:tcPr>
        <w:p>
          <w:pPr>
            <w:jc w:val="right"/>
          </w:pPr>
          <w:r>
            <w:rPr>
              <w:rFonts w:ascii="Aptos" w:hAnsi="Aptos"/>
              <w:color w:val="000000"/>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43E4E"/>
        <w:sz w:val="17"/>
      </w:rPr>
      <w:t>BRISA INTERNACIONAL  D01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260" w:after="120"/>
      <w:ind w:left="0" w:firstLine="0"/>
      <w:jc w:val="left"/>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200" w:after="80"/>
      <w:ind w:left="0" w:firstLine="0"/>
      <w:jc w:val="left"/>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200" w:line="240" w:lineRule="auto" w:before="320"/>
      <w:ind w:left="0" w:firstLine="0"/>
      <w:contextualSpacing/>
      <w:jc w:val="left"/>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 de compra y entrega</dc:title>
  <dc:subject>AI and Access to Justice Innovation Challenge Puebla</dc:subject>
  <dc:creator>Material educativo ficticio</dc:creator>
  <cp:keywords/>
  <dc:description>generated by python-docx</dc:description>
  <cp:lastModifiedBy/>
  <cp:revision>1</cp:revision>
  <dcterms:created xsi:type="dcterms:W3CDTF">2013-12-23T23:15:00Z</dcterms:created>
  <dcterms:modified xsi:type="dcterms:W3CDTF">2013-12-23T23:15:00Z</dcterms:modified>
  <cp:category/>
</cp:coreProperties>
</file>