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Términos de venta conservados</w:t>
      </w:r>
    </w:p>
    <w:p>
      <w:r>
        <w:rPr>
          <w:rFonts w:ascii="Aptos" w:hAnsi="Aptos"/>
          <w:i/>
          <w:color w:val="333333"/>
          <w:sz w:val="23"/>
        </w:rPr>
        <w:t>Documento D02 Versión colombiana entregada después de la reclamación</w:t>
      </w:r>
    </w:p>
    <w:p>
      <w:r>
        <w:rPr>
          <w:rFonts w:ascii="Aptos" w:hAnsi="Aptos"/>
          <w:color w:val="555555"/>
          <w:sz w:val="19"/>
        </w:rPr>
        <w:t>Universidad Icesi y Tecmilenio Puebla  ·  11 de septiembre de 2026</w:t>
      </w:r>
    </w:p>
    <w:p>
      <w:pPr>
        <w:spacing w:after="180"/>
      </w:pPr>
      <w:r>
        <w:rPr>
          <w:rFonts w:ascii="Aptos" w:hAnsi="Aptos"/>
          <w:b/>
          <w:color w:val="000000"/>
          <w:sz w:val="21"/>
        </w:rPr>
        <w:t xml:space="preserve">Propósito  </w:t>
      </w:r>
      <w:r>
        <w:rPr>
          <w:rFonts w:ascii="Aptos" w:hAnsi="Aptos"/>
          <w:color w:val="000000"/>
          <w:sz w:val="21"/>
        </w:rPr>
        <w:t>El proveedor envió este texto a Mariana el 2 de septiembre. El encabezado lo identifica como versión CO 2026 3. El expediente no incluye CO 2026 2, por lo que este documento no demuestra qué versión aceptó Mariana el 20 de agosto.</w:t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Identificación contractual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344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Texto del documento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Vendedor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Puente Digital Andino SAS</w:t>
            </w:r>
          </w:p>
        </w:tc>
      </w:tr>
      <w:tr>
        <w:tc>
          <w:tcPr>
            <w:tcW w:type="dxa" w:w="237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Domicilio</w:t>
            </w:r>
          </w:p>
        </w:tc>
        <w:tc>
          <w:tcPr>
            <w:tcW w:type="dxa" w:w="734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Bogotá Colombia  domicilio ficticio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NIT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900000000 0  identificador ficticio</w:t>
            </w:r>
          </w:p>
        </w:tc>
      </w:tr>
      <w:tr>
        <w:tc>
          <w:tcPr>
            <w:tcW w:type="dxa" w:w="237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Marca del portal</w:t>
            </w:r>
          </w:p>
        </w:tc>
        <w:tc>
          <w:tcPr>
            <w:tcW w:type="dxa" w:w="734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Brisa Tech México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Operador logístico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Vístula Devices México  S de RL de CV</w:t>
            </w:r>
          </w:p>
        </w:tc>
      </w:tr>
      <w:tr>
        <w:tc>
          <w:tcPr>
            <w:tcW w:type="dxa" w:w="237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Fabricante</w:t>
            </w:r>
          </w:p>
        </w:tc>
        <w:tc>
          <w:tcPr>
            <w:tcW w:type="dxa" w:w="734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Vístula Circular Devices sp z oo  Polonia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Versión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 2026 3  publicada 25 agosto 2026</w:t>
            </w:r>
          </w:p>
        </w:tc>
      </w:tr>
    </w:tbl>
    <w:p>
      <w:pPr>
        <w:spacing w:after="40"/>
      </w:pPr>
    </w:p>
    <w:p>
      <w:pPr>
        <w:pStyle w:val="Heading1"/>
        <w:keepNext w:val="0"/>
        <w:spacing w:before="260" w:after="120"/>
        <w:ind w:left="0" w:firstLine="0"/>
        <w:jc w:val="left"/>
      </w:pPr>
      <w:r>
        <w:t>Objeto y aceptación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1  Puente Digital Andino SAS ofrece equipos reacondicionados a través del portal Brisa Tech México. La persona compradora acepta estos términos al marcar la casilla y confirmar el pago.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2  El contrato se considera celebrado en Bogotá Colombia cuando el procesador comunica la autorización del pago al vendedor.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3  La confirmación electrónica y los registros del portal constituyen prueba de la operación. La persona compradora debe conservar su número de pedido.</w:t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Producto y precio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4  Los equipos grado B pueden mostrar señales cosméticas y variaciones normales de componentes. El precio incluye impuestos y logística informados en la pantalla final.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5  El vendedor puede utilizar sociedades relacionadas o terceros para almacenamiento, diagnóstico, entrega, atención y procesamiento de pagos. Esas entidades no sustituyen al vendedor salvo que un documento lo indique expresamente.</w:t>
      </w:r>
    </w:p>
    <w:p>
      <w:r>
        <w:br w:type="page"/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Garantía y devoluciones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6  El vendedor concede una garantía comercial de treinta días desde la entrega para fallas funcionales. La batería se considera consumible y sólo se cubre si impide el encendido durante la inspección inicial.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7  La persona compradora debe informar defectos visibles dentro de cuarenta y ocho horas y otros defectos dentro de cinco días calendario. El vendedor podrá negar solicitudes posteriores.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8  Antes de autorizar reparación, cambio o devolución, el vendedor puede exigir diagnóstico remoto y envío al centro indicado. La persona compradora cubre el transporte inicial. Si el vendedor confirma un defecto cubierto, abonará un envío estándar hasta el límite que comunique soporte.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9  Ninguna reparación, actualización o sustitución procede hasta que soporte emita un número de autorización. El plazo estimado de diagnóstico es de quince días hábiles desde la recepción.</w:t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Datos y soporte automatizado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10  La persona compradora autoriza el tratamiento de sus datos por el vendedor, el fabricante, el operador logístico, proveedores de nube y centros de soporte ubicados en Colombia, México, Polonia u otros países necesarios para cumplir la operación.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11  El asistente automatizado organiza solicitudes y puede sugerir pasos. Sus mensajes no modifican estos términos. Las decisiones sobre garantía requieren validación humana.</w:t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Ley y controversias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12  Estos términos se interpretan conforme a las leyes de Colombia. Cualquier controversia se someterá primero a negociación directa durante treinta días y después a los jueces de Bogotá. La persona compradora renuncia a otro fuero que pudiera corresponderle.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13  Si una cláusula no produce efectos, las restantes continuarán vigentes. La versión en español prevalece sobre cualquier traducción.</w:t>
      </w:r>
    </w:p>
    <w:p>
      <w:r>
        <w:br w:type="page"/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Registro de aceptación entregado por soporte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007A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624"/>
            <w:shd w:fill="007A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Pedido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BTMX 2026 0820 1147</w:t>
            </w:r>
          </w:p>
        </w:tc>
      </w:tr>
      <w:tr>
        <w:tc>
          <w:tcPr>
            <w:tcW w:type="dxa" w:w="309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Marca de tiempo</w:t>
            </w:r>
          </w:p>
        </w:tc>
        <w:tc>
          <w:tcPr>
            <w:tcW w:type="dxa" w:w="662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2026 08 21 01 42 18 UTC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País de la dirección IP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México</w:t>
            </w:r>
          </w:p>
        </w:tc>
      </w:tr>
      <w:tr>
        <w:tc>
          <w:tcPr>
            <w:tcW w:type="dxa" w:w="309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Casilla</w:t>
            </w:r>
          </w:p>
        </w:tc>
        <w:tc>
          <w:tcPr>
            <w:tcW w:type="dxa" w:w="662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terms accepted true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Identificador de términos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 2026 2</w:t>
            </w:r>
          </w:p>
        </w:tc>
      </w:tr>
      <w:tr>
        <w:tc>
          <w:tcPr>
            <w:tcW w:type="dxa" w:w="309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Hash</w:t>
            </w:r>
          </w:p>
        </w:tc>
        <w:tc>
          <w:tcPr>
            <w:tcW w:type="dxa" w:w="662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No incluido en la respuesta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Copia de versión CO 2026 2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No localizada</w:t>
            </w:r>
          </w:p>
        </w:tc>
      </w:tr>
      <w:tr>
        <w:tc>
          <w:tcPr>
            <w:tcW w:type="dxa" w:w="309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Archivo enviado a Mariana</w:t>
            </w:r>
          </w:p>
        </w:tc>
        <w:tc>
          <w:tcPr>
            <w:tcW w:type="dxa" w:w="662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 2026 3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1512"/>
    </w:tblGrid>
    <w:tr>
      <w:tc>
        <w:tcPr>
          <w:tcW w:type="dxa" w:w="4932"/>
        </w:tcPr>
        <w:p>
          <w:r>
            <w:rPr>
              <w:rFonts w:ascii="Aptos" w:hAnsi="Aptos"/>
              <w:color w:val="555555"/>
              <w:sz w:val="17"/>
            </w:rPr>
            <w:t>Caso ficticio para uso educativo  ·  11 de septiembre de 2026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ptos" w:hAnsi="Aptos"/>
              <w:color w:val="000000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43E4E"/>
        <w:sz w:val="17"/>
      </w:rPr>
      <w:t>BRISA INTERNACIONAL  D02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60" w:after="120"/>
      <w:ind w:left="0" w:firstLine="0"/>
      <w:jc w:val="left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00" w:after="80"/>
      <w:ind w:left="0" w:firstLine="0"/>
      <w:jc w:val="left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200" w:line="240" w:lineRule="auto" w:before="320"/>
      <w:ind w:left="0" w:firstLine="0"/>
      <w:contextualSpacing/>
      <w:jc w:val="left"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de venta conservados</dc:title>
  <dc:subject>AI and Access to Justice Innovation Challenge Puebla</dc:subject>
  <dc:creator>Material educativo ficticio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