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Estructura corporativa y operación</w:t>
      </w:r>
    </w:p>
    <w:p>
      <w:r>
        <w:rPr>
          <w:rFonts w:ascii="Aptos" w:hAnsi="Aptos"/>
          <w:i/>
          <w:color w:val="333333"/>
          <w:sz w:val="23"/>
        </w:rPr>
        <w:t>Documento D03 Registros internos de entidades y operación</w:t>
      </w:r>
    </w:p>
    <w:p>
      <w:r>
        <w:rPr>
          <w:rFonts w:ascii="Aptos" w:hAnsi="Aptos"/>
          <w:color w:val="555555"/>
          <w:sz w:val="19"/>
        </w:rPr>
        <w:t>Universidad Icesi y Tecmilenio Puebla  ·  11 de septiembre de 2026</w:t>
      </w:r>
    </w:p>
    <w:p>
      <w:pPr>
        <w:spacing w:after="180"/>
      </w:pPr>
      <w:r>
        <w:rPr>
          <w:rFonts w:ascii="Aptos" w:hAnsi="Aptos"/>
          <w:b/>
          <w:color w:val="000000"/>
          <w:sz w:val="21"/>
        </w:rPr>
        <w:t xml:space="preserve">Propósito  </w:t>
      </w:r>
      <w:r>
        <w:rPr>
          <w:rFonts w:ascii="Aptos" w:hAnsi="Aptos"/>
          <w:color w:val="000000"/>
          <w:sz w:val="21"/>
        </w:rPr>
        <w:t>Este documento muestra cómo se organizó la venta entre las entidades de Polonia, México y Colombia. No prueba por sí solo que una entidad sea jurídicamente responsable; registra funciones declaradas, presentación ante Mariana y problemas de trazabilidad.</w:t>
      </w:r>
    </w:p>
    <w:p>
      <w:pPr>
        <w:pStyle w:val="Heading1"/>
        <w:keepNext w:val="0"/>
        <w:spacing w:before="260" w:after="120"/>
        <w:ind w:left="0" w:firstLine="0"/>
        <w:jc w:val="left"/>
      </w:pPr>
      <w:r>
        <w:t>Entidades ficticias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trPr>
        <w:tc>
          <w:tcPr>
            <w:tcW w:type="dxa" w:w="3024"/>
            <w:shd w:fill="243E4E"/>
            <w:tcMar>
              <w:top w:w="90" w:type="dxa"/>
              <w:start w:w="110" w:type="dxa"/>
              <w:bottom w:w="90" w:type="dxa"/>
              <w:end w:w="110" w:type="dxa"/>
            </w:tcMar>
            <w:vAlign w:val="center"/>
          </w:tcPr>
          <w:p>
            <w:pPr>
              <w:jc w:val="center"/>
            </w:pPr>
            <w:r>
              <w:rPr>
                <w:rFonts w:ascii="Aptos" w:hAnsi="Aptos"/>
                <w:b/>
                <w:color w:val="FFFFFF"/>
                <w:sz w:val="17"/>
              </w:rPr>
              <w:t>Entidad</w:t>
            </w:r>
          </w:p>
        </w:tc>
        <w:tc>
          <w:tcPr>
            <w:tcW w:type="dxa" w:w="1152"/>
            <w:shd w:fill="243E4E"/>
            <w:tcMar>
              <w:top w:w="90" w:type="dxa"/>
              <w:start w:w="110" w:type="dxa"/>
              <w:bottom w:w="90" w:type="dxa"/>
              <w:end w:w="110" w:type="dxa"/>
            </w:tcMar>
            <w:vAlign w:val="center"/>
          </w:tcPr>
          <w:p>
            <w:pPr>
              <w:jc w:val="center"/>
            </w:pPr>
            <w:r>
              <w:rPr>
                <w:rFonts w:ascii="Aptos" w:hAnsi="Aptos"/>
                <w:b/>
                <w:color w:val="FFFFFF"/>
                <w:sz w:val="17"/>
              </w:rPr>
              <w:t>País</w:t>
            </w:r>
          </w:p>
        </w:tc>
        <w:tc>
          <w:tcPr>
            <w:tcW w:type="dxa" w:w="3528"/>
            <w:shd w:fill="243E4E"/>
            <w:tcMar>
              <w:top w:w="90" w:type="dxa"/>
              <w:start w:w="110" w:type="dxa"/>
              <w:bottom w:w="90" w:type="dxa"/>
              <w:end w:w="110" w:type="dxa"/>
            </w:tcMar>
            <w:vAlign w:val="center"/>
          </w:tcPr>
          <w:p>
            <w:pPr>
              <w:jc w:val="left"/>
            </w:pPr>
            <w:r>
              <w:rPr>
                <w:rFonts w:ascii="Aptos" w:hAnsi="Aptos"/>
                <w:b/>
                <w:color w:val="FFFFFF"/>
                <w:sz w:val="17"/>
              </w:rPr>
              <w:t>Función declarada</w:t>
            </w:r>
          </w:p>
        </w:tc>
        <w:tc>
          <w:tcPr>
            <w:tcW w:type="dxa" w:w="2016"/>
            <w:shd w:fill="243E4E"/>
            <w:tcMar>
              <w:top w:w="90" w:type="dxa"/>
              <w:start w:w="110" w:type="dxa"/>
              <w:bottom w:w="90" w:type="dxa"/>
              <w:end w:w="110" w:type="dxa"/>
            </w:tcMar>
            <w:vAlign w:val="center"/>
          </w:tcPr>
          <w:p>
            <w:pPr>
              <w:jc w:val="center"/>
            </w:pPr>
            <w:r>
              <w:rPr>
                <w:rFonts w:ascii="Aptos" w:hAnsi="Aptos"/>
                <w:b/>
                <w:color w:val="FFFFFF"/>
                <w:sz w:val="17"/>
              </w:rPr>
              <w:t>Relación</w:t>
            </w:r>
          </w:p>
        </w:tc>
      </w:tr>
      <w:tr>
        <w:tc>
          <w:tcPr>
            <w:tcW w:type="dxa" w:w="3024"/>
            <w:tcMar>
              <w:top w:w="90" w:type="dxa"/>
              <w:start w:w="110" w:type="dxa"/>
              <w:bottom w:w="90" w:type="dxa"/>
              <w:end w:w="110" w:type="dxa"/>
            </w:tcMar>
            <w:vAlign w:val="center"/>
          </w:tcPr>
          <w:p>
            <w:r>
              <w:t>Vístula Circular Devices sp z oo</w:t>
            </w:r>
          </w:p>
        </w:tc>
        <w:tc>
          <w:tcPr>
            <w:tcW w:type="dxa" w:w="1152"/>
            <w:tcMar>
              <w:top w:w="90" w:type="dxa"/>
              <w:start w:w="110" w:type="dxa"/>
              <w:bottom w:w="90" w:type="dxa"/>
              <w:end w:w="110" w:type="dxa"/>
            </w:tcMar>
            <w:vAlign w:val="center"/>
          </w:tcPr>
          <w:p>
            <w:pPr>
              <w:spacing w:after="0"/>
              <w:jc w:val="left"/>
            </w:pPr>
            <w:r>
              <w:rPr>
                <w:rFonts w:ascii="Aptos" w:hAnsi="Aptos"/>
                <w:color w:val="000000"/>
                <w:sz w:val="17"/>
              </w:rPr>
              <w:t>Polonia</w:t>
            </w:r>
          </w:p>
        </w:tc>
        <w:tc>
          <w:tcPr>
            <w:tcW w:type="dxa" w:w="3528"/>
            <w:tcMar>
              <w:top w:w="90" w:type="dxa"/>
              <w:start w:w="110" w:type="dxa"/>
              <w:bottom w:w="90" w:type="dxa"/>
              <w:end w:w="110" w:type="dxa"/>
            </w:tcMar>
            <w:vAlign w:val="center"/>
          </w:tcPr>
          <w:p>
            <w:pPr>
              <w:spacing w:after="0"/>
              <w:jc w:val="left"/>
            </w:pPr>
            <w:r>
              <w:rPr>
                <w:rFonts w:ascii="Aptos" w:hAnsi="Aptos"/>
                <w:color w:val="000000"/>
                <w:sz w:val="17"/>
              </w:rPr>
              <w:t>Fabricante y plataforma técnica</w:t>
            </w:r>
          </w:p>
        </w:tc>
        <w:tc>
          <w:tcPr>
            <w:tcW w:type="dxa" w:w="2016"/>
            <w:tcMar>
              <w:top w:w="90" w:type="dxa"/>
              <w:start w:w="110" w:type="dxa"/>
              <w:bottom w:w="90" w:type="dxa"/>
              <w:end w:w="110" w:type="dxa"/>
            </w:tcMar>
            <w:vAlign w:val="center"/>
          </w:tcPr>
          <w:p>
            <w:pPr>
              <w:spacing w:after="0"/>
              <w:jc w:val="left"/>
            </w:pPr>
            <w:r>
              <w:rPr>
                <w:rFonts w:ascii="Aptos" w:hAnsi="Aptos"/>
                <w:color w:val="000000"/>
                <w:sz w:val="17"/>
              </w:rPr>
              <w:t>Matriz del grupo</w:t>
            </w:r>
          </w:p>
        </w:tc>
      </w:tr>
      <w:tr>
        <w:tc>
          <w:tcPr>
            <w:tcW w:type="dxa" w:w="3024"/>
            <w:shd w:fill="EFF4F5"/>
            <w:tcMar>
              <w:top w:w="90" w:type="dxa"/>
              <w:start w:w="110" w:type="dxa"/>
              <w:bottom w:w="90" w:type="dxa"/>
              <w:end w:w="110" w:type="dxa"/>
            </w:tcMar>
            <w:vAlign w:val="center"/>
          </w:tcPr>
          <w:p>
            <w:r>
              <w:t>Vístula Devices México S de RL de CV (Vístula México)</w:t>
            </w:r>
          </w:p>
        </w:tc>
        <w:tc>
          <w:tcPr>
            <w:tcW w:type="dxa" w:w="1152"/>
            <w:shd w:fill="EFF4F5"/>
            <w:tcMar>
              <w:top w:w="90" w:type="dxa"/>
              <w:start w:w="110" w:type="dxa"/>
              <w:bottom w:w="90" w:type="dxa"/>
              <w:end w:w="110" w:type="dxa"/>
            </w:tcMar>
            <w:vAlign w:val="center"/>
          </w:tcPr>
          <w:p>
            <w:pPr>
              <w:spacing w:after="0"/>
              <w:jc w:val="left"/>
            </w:pPr>
            <w:r>
              <w:rPr>
                <w:rFonts w:ascii="Aptos" w:hAnsi="Aptos"/>
                <w:color w:val="000000"/>
                <w:sz w:val="17"/>
              </w:rPr>
              <w:t>México</w:t>
            </w:r>
          </w:p>
        </w:tc>
        <w:tc>
          <w:tcPr>
            <w:tcW w:type="dxa" w:w="3528"/>
            <w:shd w:fill="EFF4F5"/>
            <w:tcMar>
              <w:top w:w="90" w:type="dxa"/>
              <w:start w:w="110" w:type="dxa"/>
              <w:bottom w:w="90" w:type="dxa"/>
              <w:end w:w="110" w:type="dxa"/>
            </w:tcMar>
            <w:vAlign w:val="center"/>
          </w:tcPr>
          <w:p>
            <w:pPr>
              <w:spacing w:after="0"/>
              <w:jc w:val="left"/>
            </w:pPr>
            <w:r>
              <w:rPr>
                <w:rFonts w:ascii="Aptos" w:hAnsi="Aptos"/>
                <w:color w:val="000000"/>
                <w:sz w:val="17"/>
              </w:rPr>
              <w:t>Importación logística diagnóstico y entrega</w:t>
            </w:r>
          </w:p>
        </w:tc>
        <w:tc>
          <w:tcPr>
            <w:tcW w:type="dxa" w:w="2016"/>
            <w:shd w:fill="EFF4F5"/>
            <w:tcMar>
              <w:top w:w="90" w:type="dxa"/>
              <w:start w:w="110" w:type="dxa"/>
              <w:bottom w:w="90" w:type="dxa"/>
              <w:end w:w="110" w:type="dxa"/>
            </w:tcMar>
            <w:vAlign w:val="center"/>
          </w:tcPr>
          <w:p>
            <w:pPr>
              <w:spacing w:after="0"/>
              <w:jc w:val="left"/>
            </w:pPr>
            <w:r>
              <w:rPr>
                <w:rFonts w:ascii="Aptos" w:hAnsi="Aptos"/>
                <w:color w:val="000000"/>
                <w:sz w:val="17"/>
              </w:rPr>
              <w:t>Subsidiaria al cien por ciento</w:t>
            </w:r>
          </w:p>
        </w:tc>
      </w:tr>
      <w:tr>
        <w:tc>
          <w:tcPr>
            <w:tcW w:type="dxa" w:w="3024"/>
            <w:tcMar>
              <w:top w:w="90" w:type="dxa"/>
              <w:start w:w="110" w:type="dxa"/>
              <w:bottom w:w="90" w:type="dxa"/>
              <w:end w:w="110" w:type="dxa"/>
            </w:tcMar>
            <w:vAlign w:val="center"/>
          </w:tcPr>
          <w:p>
            <w:r>
              <w:t>Puente Digital Andino SAS (Puente Andino)</w:t>
            </w:r>
          </w:p>
        </w:tc>
        <w:tc>
          <w:tcPr>
            <w:tcW w:type="dxa" w:w="1152"/>
            <w:tcMar>
              <w:top w:w="90" w:type="dxa"/>
              <w:start w:w="110" w:type="dxa"/>
              <w:bottom w:w="90" w:type="dxa"/>
              <w:end w:w="110" w:type="dxa"/>
            </w:tcMar>
            <w:vAlign w:val="center"/>
          </w:tcPr>
          <w:p>
            <w:pPr>
              <w:spacing w:after="0"/>
              <w:jc w:val="left"/>
            </w:pPr>
            <w:r>
              <w:rPr>
                <w:rFonts w:ascii="Aptos" w:hAnsi="Aptos"/>
                <w:color w:val="000000"/>
                <w:sz w:val="17"/>
              </w:rPr>
              <w:t>Colombia</w:t>
            </w:r>
          </w:p>
        </w:tc>
        <w:tc>
          <w:tcPr>
            <w:tcW w:type="dxa" w:w="3528"/>
            <w:tcMar>
              <w:top w:w="90" w:type="dxa"/>
              <w:start w:w="110" w:type="dxa"/>
              <w:bottom w:w="90" w:type="dxa"/>
              <w:end w:w="110" w:type="dxa"/>
            </w:tcMar>
            <w:vAlign w:val="center"/>
          </w:tcPr>
          <w:p>
            <w:pPr>
              <w:spacing w:after="0"/>
              <w:jc w:val="left"/>
            </w:pPr>
            <w:r>
              <w:rPr>
                <w:rFonts w:ascii="Aptos" w:hAnsi="Aptos"/>
                <w:color w:val="000000"/>
                <w:sz w:val="17"/>
              </w:rPr>
              <w:t>Vendedor de registro y cobro</w:t>
            </w:r>
          </w:p>
        </w:tc>
        <w:tc>
          <w:tcPr>
            <w:tcW w:type="dxa" w:w="2016"/>
            <w:tcMar>
              <w:top w:w="90" w:type="dxa"/>
              <w:start w:w="110" w:type="dxa"/>
              <w:bottom w:w="90" w:type="dxa"/>
              <w:end w:w="110" w:type="dxa"/>
            </w:tcMar>
            <w:vAlign w:val="center"/>
          </w:tcPr>
          <w:p>
            <w:r>
              <w:t>Participación del grupo polaco del 70 por ciento según ficha interna</w:t>
            </w:r>
          </w:p>
        </w:tc>
      </w:tr>
      <w:tr>
        <w:tc>
          <w:tcPr>
            <w:tcW w:type="dxa" w:w="3024"/>
            <w:shd w:fill="EFF4F5"/>
            <w:tcMar>
              <w:top w:w="90" w:type="dxa"/>
              <w:start w:w="110" w:type="dxa"/>
              <w:bottom w:w="90" w:type="dxa"/>
              <w:end w:w="110" w:type="dxa"/>
            </w:tcMar>
            <w:vAlign w:val="center"/>
          </w:tcPr>
          <w:p>
            <w:pPr>
              <w:spacing w:after="0"/>
              <w:jc w:val="center"/>
            </w:pPr>
            <w:r>
              <w:rPr>
                <w:rFonts w:ascii="Aptos" w:hAnsi="Aptos"/>
                <w:color w:val="000000"/>
                <w:sz w:val="17"/>
              </w:rPr>
              <w:t>PagoNube Latam</w:t>
            </w:r>
          </w:p>
        </w:tc>
        <w:tc>
          <w:tcPr>
            <w:tcW w:type="dxa" w:w="1152"/>
            <w:shd w:fill="EFF4F5"/>
            <w:tcMar>
              <w:top w:w="90" w:type="dxa"/>
              <w:start w:w="110" w:type="dxa"/>
              <w:bottom w:w="90" w:type="dxa"/>
              <w:end w:w="110" w:type="dxa"/>
            </w:tcMar>
            <w:vAlign w:val="center"/>
          </w:tcPr>
          <w:p>
            <w:pPr>
              <w:spacing w:after="0"/>
              <w:jc w:val="left"/>
            </w:pPr>
            <w:r>
              <w:rPr>
                <w:rFonts w:ascii="Aptos" w:hAnsi="Aptos"/>
                <w:color w:val="000000"/>
                <w:sz w:val="17"/>
              </w:rPr>
              <w:t>Regional</w:t>
            </w:r>
          </w:p>
        </w:tc>
        <w:tc>
          <w:tcPr>
            <w:tcW w:type="dxa" w:w="3528"/>
            <w:shd w:fill="EFF4F5"/>
            <w:tcMar>
              <w:top w:w="90" w:type="dxa"/>
              <w:start w:w="110" w:type="dxa"/>
              <w:bottom w:w="90" w:type="dxa"/>
              <w:end w:w="110" w:type="dxa"/>
            </w:tcMar>
            <w:vAlign w:val="center"/>
          </w:tcPr>
          <w:p>
            <w:pPr>
              <w:spacing w:after="0"/>
              <w:jc w:val="left"/>
            </w:pPr>
            <w:r>
              <w:rPr>
                <w:rFonts w:ascii="Aptos" w:hAnsi="Aptos"/>
                <w:color w:val="000000"/>
                <w:sz w:val="17"/>
              </w:rPr>
              <w:t>Procesamiento de pago</w:t>
            </w:r>
          </w:p>
        </w:tc>
        <w:tc>
          <w:tcPr>
            <w:tcW w:type="dxa" w:w="2016"/>
            <w:shd w:fill="EFF4F5"/>
            <w:tcMar>
              <w:top w:w="90" w:type="dxa"/>
              <w:start w:w="110" w:type="dxa"/>
              <w:bottom w:w="90" w:type="dxa"/>
              <w:end w:w="110" w:type="dxa"/>
            </w:tcMar>
            <w:vAlign w:val="center"/>
          </w:tcPr>
          <w:p>
            <w:pPr>
              <w:spacing w:after="0"/>
              <w:jc w:val="left"/>
            </w:pPr>
            <w:r>
              <w:rPr>
                <w:rFonts w:ascii="Aptos" w:hAnsi="Aptos"/>
                <w:color w:val="000000"/>
                <w:sz w:val="17"/>
              </w:rPr>
              <w:t>Proveedor externo</w:t>
            </w:r>
          </w:p>
        </w:tc>
      </w:tr>
    </w:tbl>
    <w:p>
      <w:pPr>
        <w:spacing w:after="40"/>
      </w:pPr>
    </w:p>
    <w:p>
      <w:pPr>
        <w:pStyle w:val="Heading1"/>
        <w:keepNext w:val="0"/>
        <w:spacing w:before="260" w:after="120"/>
        <w:ind w:left="0" w:firstLine="0"/>
        <w:jc w:val="left"/>
      </w:pPr>
      <w:r>
        <w:t>Nota de lanzamiento</w:t>
      </w:r>
    </w:p>
    <w:p>
      <w:pPr>
        <w:keepLines w:val="0"/>
        <w:ind w:left="0" w:firstLine="0"/>
        <w:jc w:val="left"/>
      </w:pPr>
      <w:r>
        <w:rPr>
          <w:rFonts w:ascii="Aptos" w:hAnsi="Aptos"/>
          <w:i w:val="0"/>
          <w:color w:val="000000"/>
          <w:sz w:val="21"/>
        </w:rPr>
        <w:t>Documento interno  12 agosto 2026  asunto Ruta temporal MX CO PL</w:t>
      </w:r>
    </w:p>
    <w:p>
      <w:pPr>
        <w:spacing w:after="100"/>
        <w:ind w:left="403" w:right="173"/>
      </w:pPr>
      <w:r>
        <w:rPr>
          <w:rFonts w:ascii="Aptos" w:hAnsi="Aptos"/>
          <w:b/>
          <w:color w:val="243E4E"/>
          <w:sz w:val="19"/>
        </w:rPr>
        <w:t xml:space="preserve">Directora de expansión  </w:t>
      </w:r>
      <w:r>
        <w:rPr>
          <w:rFonts w:ascii="Aptos" w:hAnsi="Aptos"/>
          <w:color w:val="000000"/>
          <w:sz w:val="19"/>
        </w:rPr>
        <w:t>La habilitación contractual y fiscal de Vístula Devices México S de RL de CV como vendedora directa no quedará cerrada antes del lanzamiento. Siguen pendientes la ruta de importación del lote reacondicionado, la revisión de etiquetado, el esquema de facturación local y el protocolo de garantía. Para no perder la campaña universitaria, Puente Digital Andino SAS figurará como vendedor de registro. La operación mexicana mantendrá inventario, entrega y diagnóstico. Legal debe revisar la presentación al consumidor antes de escalar.</w:t>
      </w:r>
    </w:p>
    <w:p>
      <w:pPr>
        <w:spacing w:after="100"/>
        <w:ind w:left="403" w:right="173"/>
      </w:pPr>
      <w:r>
        <w:rPr>
          <w:rFonts w:ascii="Aptos" w:hAnsi="Aptos"/>
          <w:b/>
          <w:color w:val="243E4E"/>
          <w:sz w:val="19"/>
        </w:rPr>
        <w:t xml:space="preserve">Responsable comercial  </w:t>
      </w:r>
      <w:r>
        <w:rPr>
          <w:rFonts w:ascii="Aptos" w:hAnsi="Aptos"/>
          <w:color w:val="000000"/>
          <w:sz w:val="19"/>
        </w:rPr>
        <w:t>El sitio seguirá mostrando Brisa Tech México porque el público espera atención local. El nombre de Puente Digital Andino SAS quedará en los términos y en el descriptor de pago.</w:t>
      </w:r>
    </w:p>
    <w:p>
      <w:pPr>
        <w:spacing w:after="100"/>
        <w:ind w:left="403" w:right="173"/>
      </w:pPr>
      <w:r>
        <w:rPr>
          <w:rFonts w:ascii="Aptos" w:hAnsi="Aptos"/>
          <w:b/>
          <w:color w:val="243E4E"/>
          <w:sz w:val="19"/>
        </w:rPr>
        <w:t xml:space="preserve">Asesora de cumplimiento  </w:t>
      </w:r>
      <w:r>
        <w:rPr>
          <w:rFonts w:ascii="Aptos" w:hAnsi="Aptos"/>
          <w:color w:val="000000"/>
          <w:sz w:val="19"/>
        </w:rPr>
        <w:t>No describan la ruta como aprobada. Mi revisión sigue abierta y falta confirmar qué entidad responde las garantías ofrecidas en México.</w:t>
      </w:r>
    </w:p>
    <w:p>
      <w:r>
        <w:br w:type="page"/>
      </w:r>
    </w:p>
    <w:p>
      <w:pPr>
        <w:pStyle w:val="Heading1"/>
        <w:keepNext w:val="0"/>
        <w:spacing w:before="260" w:after="120"/>
        <w:ind w:left="0" w:firstLine="0"/>
        <w:jc w:val="left"/>
      </w:pPr>
      <w:r>
        <w:t>Flujo operativo previsto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800"/>
            <w:shd w:fill="007A6A"/>
            <w:tcMar>
              <w:top w:w="90" w:type="dxa"/>
              <w:start w:w="110" w:type="dxa"/>
              <w:bottom w:w="90" w:type="dxa"/>
              <w:end w:w="110" w:type="dxa"/>
            </w:tcMar>
            <w:vAlign w:val="center"/>
          </w:tcPr>
          <w:p>
            <w:pPr>
              <w:jc w:val="center"/>
            </w:pPr>
            <w:r>
              <w:rPr>
                <w:rFonts w:ascii="Aptos" w:hAnsi="Aptos"/>
                <w:b/>
                <w:color w:val="FFFFFF"/>
                <w:sz w:val="18"/>
              </w:rPr>
              <w:t>Etapa</w:t>
            </w:r>
          </w:p>
        </w:tc>
        <w:tc>
          <w:tcPr>
            <w:tcW w:type="dxa" w:w="3240"/>
            <w:shd w:fill="007A6A"/>
            <w:tcMar>
              <w:top w:w="90" w:type="dxa"/>
              <w:start w:w="110" w:type="dxa"/>
              <w:bottom w:w="90" w:type="dxa"/>
              <w:end w:w="110" w:type="dxa"/>
            </w:tcMar>
            <w:vAlign w:val="center"/>
          </w:tcPr>
          <w:p>
            <w:pPr>
              <w:jc w:val="left"/>
            </w:pPr>
            <w:r>
              <w:rPr>
                <w:rFonts w:ascii="Aptos" w:hAnsi="Aptos"/>
                <w:b/>
                <w:color w:val="FFFFFF"/>
                <w:sz w:val="18"/>
              </w:rPr>
              <w:t>Entidad que ejecuta</w:t>
            </w:r>
          </w:p>
        </w:tc>
        <w:tc>
          <w:tcPr>
            <w:tcW w:type="dxa" w:w="4680"/>
            <w:shd w:fill="007A6A"/>
            <w:tcMar>
              <w:top w:w="90" w:type="dxa"/>
              <w:start w:w="110" w:type="dxa"/>
              <w:bottom w:w="90" w:type="dxa"/>
              <w:end w:w="110" w:type="dxa"/>
            </w:tcMar>
            <w:vAlign w:val="center"/>
          </w:tcPr>
          <w:p>
            <w:pPr>
              <w:jc w:val="center"/>
            </w:pPr>
            <w:r>
              <w:rPr>
                <w:rFonts w:ascii="Aptos" w:hAnsi="Aptos"/>
                <w:b/>
                <w:color w:val="FFFFFF"/>
                <w:sz w:val="18"/>
              </w:rPr>
              <w:t>Registro</w:t>
            </w:r>
          </w:p>
        </w:tc>
      </w:tr>
      <w:tr>
        <w:tc>
          <w:tcPr>
            <w:tcW w:type="dxa" w:w="1800"/>
            <w:tcMar>
              <w:top w:w="90" w:type="dxa"/>
              <w:start w:w="110" w:type="dxa"/>
              <w:bottom w:w="90" w:type="dxa"/>
              <w:end w:w="110" w:type="dxa"/>
            </w:tcMar>
            <w:vAlign w:val="center"/>
          </w:tcPr>
          <w:p>
            <w:pPr>
              <w:spacing w:after="0"/>
              <w:jc w:val="center"/>
            </w:pPr>
            <w:r>
              <w:rPr>
                <w:rFonts w:ascii="Aptos" w:hAnsi="Aptos"/>
                <w:color w:val="000000"/>
                <w:sz w:val="18"/>
              </w:rPr>
              <w:t>Oferta</w:t>
            </w:r>
          </w:p>
        </w:tc>
        <w:tc>
          <w:tcPr>
            <w:tcW w:type="dxa" w:w="3240"/>
            <w:tcMar>
              <w:top w:w="90" w:type="dxa"/>
              <w:start w:w="110" w:type="dxa"/>
              <w:bottom w:w="90" w:type="dxa"/>
              <w:end w:w="110" w:type="dxa"/>
            </w:tcMar>
            <w:vAlign w:val="center"/>
          </w:tcPr>
          <w:p>
            <w:pPr>
              <w:spacing w:after="0"/>
              <w:jc w:val="left"/>
            </w:pPr>
            <w:r>
              <w:rPr>
                <w:rFonts w:ascii="Aptos" w:hAnsi="Aptos"/>
                <w:color w:val="000000"/>
                <w:sz w:val="18"/>
              </w:rPr>
              <w:t>Portal operado desde Polonia</w:t>
            </w:r>
          </w:p>
        </w:tc>
        <w:tc>
          <w:tcPr>
            <w:tcW w:type="dxa" w:w="4680"/>
            <w:tcMar>
              <w:top w:w="90" w:type="dxa"/>
              <w:start w:w="110" w:type="dxa"/>
              <w:bottom w:w="90" w:type="dxa"/>
              <w:end w:w="110" w:type="dxa"/>
            </w:tcMar>
            <w:vAlign w:val="center"/>
          </w:tcPr>
          <w:p>
            <w:pPr>
              <w:spacing w:after="0"/>
              <w:jc w:val="left"/>
            </w:pPr>
            <w:r>
              <w:rPr>
                <w:rFonts w:ascii="Aptos" w:hAnsi="Aptos"/>
                <w:color w:val="000000"/>
                <w:sz w:val="18"/>
              </w:rPr>
              <w:t>Página Brisa Tech México</w:t>
            </w:r>
          </w:p>
        </w:tc>
      </w:tr>
      <w:tr>
        <w:tc>
          <w:tcPr>
            <w:tcW w:type="dxa" w:w="1800"/>
            <w:shd w:fill="EFF4F5"/>
            <w:tcMar>
              <w:top w:w="90" w:type="dxa"/>
              <w:start w:w="110" w:type="dxa"/>
              <w:bottom w:w="90" w:type="dxa"/>
              <w:end w:w="110" w:type="dxa"/>
            </w:tcMar>
            <w:vAlign w:val="center"/>
          </w:tcPr>
          <w:p>
            <w:pPr>
              <w:spacing w:after="0"/>
              <w:jc w:val="center"/>
            </w:pPr>
            <w:r>
              <w:rPr>
                <w:rFonts w:ascii="Aptos" w:hAnsi="Aptos"/>
                <w:color w:val="000000"/>
                <w:sz w:val="18"/>
              </w:rPr>
              <w:t>Contrato y cobro</w:t>
            </w:r>
          </w:p>
        </w:tc>
        <w:tc>
          <w:tcPr>
            <w:tcW w:type="dxa" w:w="3240"/>
            <w:shd w:fill="EFF4F5"/>
            <w:tcMar>
              <w:top w:w="90" w:type="dxa"/>
              <w:start w:w="110" w:type="dxa"/>
              <w:bottom w:w="90" w:type="dxa"/>
              <w:end w:w="110" w:type="dxa"/>
            </w:tcMar>
            <w:vAlign w:val="center"/>
          </w:tcPr>
          <w:p>
            <w:r>
              <w:t>Puente Andino</w:t>
            </w:r>
          </w:p>
        </w:tc>
        <w:tc>
          <w:tcPr>
            <w:tcW w:type="dxa" w:w="4680"/>
            <w:shd w:fill="EFF4F5"/>
            <w:tcMar>
              <w:top w:w="90" w:type="dxa"/>
              <w:start w:w="110" w:type="dxa"/>
              <w:bottom w:w="90" w:type="dxa"/>
              <w:end w:w="110" w:type="dxa"/>
            </w:tcMar>
            <w:vAlign w:val="center"/>
          </w:tcPr>
          <w:p>
            <w:pPr>
              <w:spacing w:after="0"/>
              <w:jc w:val="left"/>
            </w:pPr>
            <w:r>
              <w:rPr>
                <w:rFonts w:ascii="Aptos" w:hAnsi="Aptos"/>
                <w:color w:val="000000"/>
                <w:sz w:val="18"/>
              </w:rPr>
              <w:t>Pedido y pago</w:t>
            </w:r>
          </w:p>
        </w:tc>
      </w:tr>
      <w:tr>
        <w:tc>
          <w:tcPr>
            <w:tcW w:type="dxa" w:w="1800"/>
            <w:tcMar>
              <w:top w:w="90" w:type="dxa"/>
              <w:start w:w="110" w:type="dxa"/>
              <w:bottom w:w="90" w:type="dxa"/>
              <w:end w:w="110" w:type="dxa"/>
            </w:tcMar>
            <w:vAlign w:val="center"/>
          </w:tcPr>
          <w:p>
            <w:pPr>
              <w:spacing w:after="0"/>
              <w:jc w:val="center"/>
            </w:pPr>
            <w:r>
              <w:rPr>
                <w:rFonts w:ascii="Aptos" w:hAnsi="Aptos"/>
                <w:color w:val="000000"/>
                <w:sz w:val="18"/>
              </w:rPr>
              <w:t>Inventario</w:t>
            </w:r>
          </w:p>
        </w:tc>
        <w:tc>
          <w:tcPr>
            <w:tcW w:type="dxa" w:w="3240"/>
            <w:tcMar>
              <w:top w:w="90" w:type="dxa"/>
              <w:start w:w="110" w:type="dxa"/>
              <w:bottom w:w="90" w:type="dxa"/>
              <w:end w:w="110" w:type="dxa"/>
            </w:tcMar>
            <w:vAlign w:val="center"/>
          </w:tcPr>
          <w:p>
            <w:r>
              <w:t>Vístula México</w:t>
            </w:r>
          </w:p>
        </w:tc>
        <w:tc>
          <w:tcPr>
            <w:tcW w:type="dxa" w:w="4680"/>
            <w:tcMar>
              <w:top w:w="90" w:type="dxa"/>
              <w:start w:w="110" w:type="dxa"/>
              <w:bottom w:w="90" w:type="dxa"/>
              <w:end w:w="110" w:type="dxa"/>
            </w:tcMar>
            <w:vAlign w:val="center"/>
          </w:tcPr>
          <w:p>
            <w:pPr>
              <w:spacing w:after="0"/>
              <w:jc w:val="left"/>
            </w:pPr>
            <w:r>
              <w:rPr>
                <w:rFonts w:ascii="Aptos" w:hAnsi="Aptos"/>
                <w:color w:val="000000"/>
                <w:sz w:val="18"/>
              </w:rPr>
              <w:t>Lote MX R14 42</w:t>
            </w:r>
          </w:p>
        </w:tc>
      </w:tr>
      <w:tr>
        <w:tc>
          <w:tcPr>
            <w:tcW w:type="dxa" w:w="1800"/>
            <w:shd w:fill="EFF4F5"/>
            <w:tcMar>
              <w:top w:w="90" w:type="dxa"/>
              <w:start w:w="110" w:type="dxa"/>
              <w:bottom w:w="90" w:type="dxa"/>
              <w:end w:w="110" w:type="dxa"/>
            </w:tcMar>
            <w:vAlign w:val="center"/>
          </w:tcPr>
          <w:p>
            <w:pPr>
              <w:spacing w:after="0"/>
              <w:jc w:val="center"/>
            </w:pPr>
            <w:r>
              <w:rPr>
                <w:rFonts w:ascii="Aptos" w:hAnsi="Aptos"/>
                <w:color w:val="000000"/>
                <w:sz w:val="18"/>
              </w:rPr>
              <w:t>Entrega</w:t>
            </w:r>
          </w:p>
        </w:tc>
        <w:tc>
          <w:tcPr>
            <w:tcW w:type="dxa" w:w="3240"/>
            <w:shd w:fill="EFF4F5"/>
            <w:tcMar>
              <w:top w:w="90" w:type="dxa"/>
              <w:start w:w="110" w:type="dxa"/>
              <w:bottom w:w="90" w:type="dxa"/>
              <w:end w:w="110" w:type="dxa"/>
            </w:tcMar>
            <w:vAlign w:val="center"/>
          </w:tcPr>
          <w:p>
            <w:r>
              <w:t>Vístula México y paquetería</w:t>
            </w:r>
          </w:p>
        </w:tc>
        <w:tc>
          <w:tcPr>
            <w:tcW w:type="dxa" w:w="4680"/>
            <w:shd w:fill="EFF4F5"/>
            <w:tcMar>
              <w:top w:w="90" w:type="dxa"/>
              <w:start w:w="110" w:type="dxa"/>
              <w:bottom w:w="90" w:type="dxa"/>
              <w:end w:w="110" w:type="dxa"/>
            </w:tcMar>
            <w:vAlign w:val="center"/>
          </w:tcPr>
          <w:p>
            <w:pPr>
              <w:spacing w:after="0"/>
              <w:jc w:val="left"/>
            </w:pPr>
            <w:r>
              <w:rPr>
                <w:rFonts w:ascii="Aptos" w:hAnsi="Aptos"/>
                <w:color w:val="000000"/>
                <w:sz w:val="18"/>
              </w:rPr>
              <w:t>Guía MXR</w:t>
            </w:r>
          </w:p>
        </w:tc>
      </w:tr>
      <w:tr>
        <w:tc>
          <w:tcPr>
            <w:tcW w:type="dxa" w:w="1800"/>
            <w:tcMar>
              <w:top w:w="90" w:type="dxa"/>
              <w:start w:w="110" w:type="dxa"/>
              <w:bottom w:w="90" w:type="dxa"/>
              <w:end w:w="110" w:type="dxa"/>
            </w:tcMar>
            <w:vAlign w:val="center"/>
          </w:tcPr>
          <w:p>
            <w:pPr>
              <w:spacing w:after="0"/>
              <w:jc w:val="center"/>
            </w:pPr>
            <w:r>
              <w:rPr>
                <w:rFonts w:ascii="Aptos" w:hAnsi="Aptos"/>
                <w:color w:val="000000"/>
                <w:sz w:val="18"/>
              </w:rPr>
              <w:t>Soporte inicial</w:t>
            </w:r>
          </w:p>
        </w:tc>
        <w:tc>
          <w:tcPr>
            <w:tcW w:type="dxa" w:w="3240"/>
            <w:tcMar>
              <w:top w:w="90" w:type="dxa"/>
              <w:start w:w="110" w:type="dxa"/>
              <w:bottom w:w="90" w:type="dxa"/>
              <w:end w:w="110" w:type="dxa"/>
            </w:tcMar>
            <w:vAlign w:val="center"/>
          </w:tcPr>
          <w:p>
            <w:pPr>
              <w:spacing w:after="0"/>
              <w:jc w:val="left"/>
            </w:pPr>
            <w:r>
              <w:rPr>
                <w:rFonts w:ascii="Aptos" w:hAnsi="Aptos"/>
                <w:color w:val="000000"/>
                <w:sz w:val="18"/>
              </w:rPr>
              <w:t>Bot alojado en Polonia</w:t>
            </w:r>
          </w:p>
        </w:tc>
        <w:tc>
          <w:tcPr>
            <w:tcW w:type="dxa" w:w="4680"/>
            <w:tcMar>
              <w:top w:w="90" w:type="dxa"/>
              <w:start w:w="110" w:type="dxa"/>
              <w:bottom w:w="90" w:type="dxa"/>
              <w:end w:w="110" w:type="dxa"/>
            </w:tcMar>
            <w:vAlign w:val="center"/>
          </w:tcPr>
          <w:p>
            <w:pPr>
              <w:spacing w:after="0"/>
              <w:jc w:val="left"/>
            </w:pPr>
            <w:r>
              <w:rPr>
                <w:rFonts w:ascii="Aptos" w:hAnsi="Aptos"/>
                <w:color w:val="000000"/>
                <w:sz w:val="18"/>
              </w:rPr>
              <w:t>Conversación LIA</w:t>
            </w:r>
          </w:p>
        </w:tc>
      </w:tr>
      <w:tr>
        <w:tc>
          <w:tcPr>
            <w:tcW w:type="dxa" w:w="1800"/>
            <w:shd w:fill="EFF4F5"/>
            <w:tcMar>
              <w:top w:w="90" w:type="dxa"/>
              <w:start w:w="110" w:type="dxa"/>
              <w:bottom w:w="90" w:type="dxa"/>
              <w:end w:w="110" w:type="dxa"/>
            </w:tcMar>
            <w:vAlign w:val="center"/>
          </w:tcPr>
          <w:p>
            <w:pPr>
              <w:spacing w:after="0"/>
              <w:jc w:val="left"/>
            </w:pPr>
            <w:r>
              <w:rPr>
                <w:rFonts w:ascii="Aptos" w:hAnsi="Aptos"/>
                <w:color w:val="000000"/>
                <w:sz w:val="18"/>
              </w:rPr>
              <w:t>Decisión de garantía</w:t>
            </w:r>
          </w:p>
        </w:tc>
        <w:tc>
          <w:tcPr>
            <w:tcW w:type="dxa" w:w="3240"/>
            <w:shd w:fill="EFF4F5"/>
            <w:tcMar>
              <w:top w:w="90" w:type="dxa"/>
              <w:start w:w="110" w:type="dxa"/>
              <w:bottom w:w="90" w:type="dxa"/>
              <w:end w:w="110" w:type="dxa"/>
            </w:tcMar>
            <w:vAlign w:val="center"/>
          </w:tcPr>
          <w:p>
            <w:r>
              <w:t>Puente Andino con informe de México</w:t>
            </w:r>
          </w:p>
        </w:tc>
        <w:tc>
          <w:tcPr>
            <w:tcW w:type="dxa" w:w="4680"/>
            <w:shd w:fill="EFF4F5"/>
            <w:tcMar>
              <w:top w:w="90" w:type="dxa"/>
              <w:start w:w="110" w:type="dxa"/>
              <w:bottom w:w="90" w:type="dxa"/>
              <w:end w:w="110" w:type="dxa"/>
            </w:tcMar>
            <w:vAlign w:val="center"/>
          </w:tcPr>
          <w:p>
            <w:pPr>
              <w:spacing w:after="0"/>
              <w:jc w:val="left"/>
            </w:pPr>
            <w:r>
              <w:rPr>
                <w:rFonts w:ascii="Aptos" w:hAnsi="Aptos"/>
                <w:color w:val="000000"/>
                <w:sz w:val="18"/>
              </w:rPr>
              <w:t>Ticket y autorización</w:t>
            </w:r>
          </w:p>
        </w:tc>
      </w:tr>
    </w:tbl>
    <w:p>
      <w:pPr>
        <w:spacing w:after="40"/>
      </w:pPr>
    </w:p>
    <w:p>
      <w:pPr>
        <w:pStyle w:val="Heading1"/>
        <w:keepNext w:val="0"/>
        <w:spacing w:before="260" w:after="120"/>
        <w:ind w:left="0" w:firstLine="0"/>
        <w:jc w:val="left"/>
      </w:pPr>
      <w:r>
        <w:t>Intercambio previo a la venta</w:t>
      </w:r>
    </w:p>
    <w:p>
      <w:pPr>
        <w:spacing w:after="100"/>
        <w:ind w:left="403" w:right="173"/>
      </w:pPr>
      <w:r>
        <w:rPr>
          <w:rFonts w:ascii="Aptos" w:hAnsi="Aptos"/>
          <w:b/>
          <w:color w:val="243E4E"/>
          <w:sz w:val="19"/>
        </w:rPr>
        <w:t xml:space="preserve">Operaciones México  </w:t>
      </w:r>
      <w:r>
        <w:rPr>
          <w:rFonts w:ascii="Aptos" w:hAnsi="Aptos"/>
          <w:color w:val="000000"/>
          <w:sz w:val="19"/>
        </w:rPr>
        <w:t>El lote 42 ya está en Huejotzingo. Podemos despachar, pero el tablero todavía no separa serie externa, serie de placa y serie de batería. Fecha 14 agosto 2026.</w:t>
      </w:r>
    </w:p>
    <w:p>
      <w:pPr>
        <w:spacing w:after="100"/>
        <w:ind w:left="403" w:right="173"/>
      </w:pPr>
      <w:r>
        <w:rPr>
          <w:rFonts w:ascii="Aptos" w:hAnsi="Aptos"/>
          <w:b/>
          <w:color w:val="243E4E"/>
          <w:sz w:val="19"/>
        </w:rPr>
        <w:t xml:space="preserve">Calidad Polonia  </w:t>
      </w:r>
      <w:r>
        <w:rPr>
          <w:rFonts w:ascii="Aptos" w:hAnsi="Aptos"/>
          <w:color w:val="000000"/>
          <w:sz w:val="19"/>
        </w:rPr>
        <w:t>La especificación de grado B exige batería con capacidad útil mínima del setenta por ciento al liberar el equipo. Si el archivo no trae el porcentaje, el sistema usa el valor predeterminado. Fecha 15 agosto 2026.</w:t>
      </w:r>
    </w:p>
    <w:p>
      <w:pPr>
        <w:spacing w:after="100"/>
        <w:ind w:left="403" w:right="173"/>
      </w:pPr>
      <w:r>
        <w:rPr>
          <w:rFonts w:ascii="Aptos" w:hAnsi="Aptos"/>
          <w:b/>
          <w:color w:val="243E4E"/>
          <w:sz w:val="19"/>
        </w:rPr>
        <w:t xml:space="preserve">Tecnología Colombia  </w:t>
      </w:r>
      <w:r>
        <w:rPr>
          <w:rFonts w:ascii="Aptos" w:hAnsi="Aptos"/>
          <w:color w:val="000000"/>
          <w:sz w:val="19"/>
        </w:rPr>
        <w:t>El comercio puede abrir con términos CO 2026 2. México debe insertar el enlace antes del pago y conservar el identificador de versión. Fecha 17 agosto 2026.</w:t>
      </w:r>
    </w:p>
    <w:p>
      <w:pPr>
        <w:spacing w:after="100"/>
        <w:ind w:left="403" w:right="173"/>
      </w:pPr>
      <w:r>
        <w:rPr>
          <w:rFonts w:ascii="Aptos" w:hAnsi="Aptos"/>
          <w:b/>
          <w:color w:val="243E4E"/>
          <w:sz w:val="19"/>
        </w:rPr>
        <w:t xml:space="preserve">Operaciones México  </w:t>
      </w:r>
      <w:r>
        <w:rPr>
          <w:rFonts w:ascii="Aptos" w:hAnsi="Aptos"/>
          <w:color w:val="000000"/>
          <w:sz w:val="19"/>
        </w:rPr>
        <w:t>Veo el identificador en el evento de aceptación, pero no puedo abrir el archivo CO 2026 2 desde el repositorio. Ya pedí restauración. Fecha 26 agosto 2026.</w:t>
      </w:r>
    </w:p>
    <w:p>
      <w:pPr>
        <w:pStyle w:val="Heading1"/>
        <w:keepNext w:val="0"/>
        <w:spacing w:before="260" w:after="120"/>
        <w:ind w:left="0" w:firstLine="0"/>
        <w:jc w:val="left"/>
      </w:pPr>
      <w:r>
        <w:t>Orden de despacho del pedido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736"/>
            <w:shd w:fill="243E4E"/>
            <w:tcMar>
              <w:top w:w="90" w:type="dxa"/>
              <w:start w:w="110" w:type="dxa"/>
              <w:bottom w:w="90" w:type="dxa"/>
              <w:end w:w="110" w:type="dxa"/>
            </w:tcMar>
            <w:vAlign w:val="center"/>
          </w:tcPr>
          <w:p>
            <w:pPr>
              <w:jc w:val="center"/>
            </w:pPr>
            <w:r>
              <w:rPr>
                <w:rFonts w:ascii="Aptos" w:hAnsi="Aptos"/>
                <w:b/>
                <w:color w:val="FFFFFF"/>
                <w:sz w:val="18"/>
              </w:rPr>
              <w:t>Campo</w:t>
            </w:r>
          </w:p>
        </w:tc>
        <w:tc>
          <w:tcPr>
            <w:tcW w:type="dxa" w:w="6984"/>
            <w:shd w:fill="243E4E"/>
            <w:tcMar>
              <w:top w:w="90" w:type="dxa"/>
              <w:start w:w="110" w:type="dxa"/>
              <w:bottom w:w="90" w:type="dxa"/>
              <w:end w:w="110" w:type="dxa"/>
            </w:tcMar>
            <w:vAlign w:val="center"/>
          </w:tcPr>
          <w:p>
            <w:pPr>
              <w:jc w:val="center"/>
            </w:pPr>
            <w:r>
              <w:rPr>
                <w:rFonts w:ascii="Aptos" w:hAnsi="Aptos"/>
                <w:b/>
                <w:color w:val="FFFFFF"/>
                <w:sz w:val="18"/>
              </w:rPr>
              <w:t>Valor</w:t>
            </w:r>
          </w:p>
        </w:tc>
      </w:tr>
      <w:tr>
        <w:tc>
          <w:tcPr>
            <w:tcW w:type="dxa" w:w="2736"/>
            <w:tcMar>
              <w:top w:w="90" w:type="dxa"/>
              <w:start w:w="110" w:type="dxa"/>
              <w:bottom w:w="90" w:type="dxa"/>
              <w:end w:w="110" w:type="dxa"/>
            </w:tcMar>
            <w:vAlign w:val="center"/>
          </w:tcPr>
          <w:p>
            <w:pPr>
              <w:spacing w:after="0"/>
              <w:jc w:val="center"/>
            </w:pPr>
            <w:r>
              <w:rPr>
                <w:rFonts w:ascii="Aptos" w:hAnsi="Aptos"/>
                <w:color w:val="000000"/>
                <w:sz w:val="18"/>
              </w:rPr>
              <w:t>Pedido</w:t>
            </w:r>
          </w:p>
        </w:tc>
        <w:tc>
          <w:tcPr>
            <w:tcW w:type="dxa" w:w="6984"/>
            <w:tcMar>
              <w:top w:w="90" w:type="dxa"/>
              <w:start w:w="110" w:type="dxa"/>
              <w:bottom w:w="90" w:type="dxa"/>
              <w:end w:w="110" w:type="dxa"/>
            </w:tcMar>
            <w:vAlign w:val="center"/>
          </w:tcPr>
          <w:p>
            <w:pPr>
              <w:spacing w:after="0"/>
              <w:jc w:val="left"/>
            </w:pPr>
            <w:r>
              <w:rPr>
                <w:rFonts w:ascii="Aptos" w:hAnsi="Aptos"/>
                <w:color w:val="000000"/>
                <w:sz w:val="18"/>
              </w:rPr>
              <w:t>BTMX 2026 0820 1147</w:t>
            </w:r>
          </w:p>
        </w:tc>
      </w:tr>
      <w:tr>
        <w:tc>
          <w:tcPr>
            <w:tcW w:type="dxa" w:w="2736"/>
            <w:shd w:fill="EFF4F5"/>
            <w:tcMar>
              <w:top w:w="90" w:type="dxa"/>
              <w:start w:w="110" w:type="dxa"/>
              <w:bottom w:w="90" w:type="dxa"/>
              <w:end w:w="110" w:type="dxa"/>
            </w:tcMar>
            <w:vAlign w:val="center"/>
          </w:tcPr>
          <w:p>
            <w:pPr>
              <w:spacing w:after="0"/>
              <w:jc w:val="center"/>
            </w:pPr>
            <w:r>
              <w:rPr>
                <w:rFonts w:ascii="Aptos" w:hAnsi="Aptos"/>
                <w:color w:val="000000"/>
                <w:sz w:val="18"/>
              </w:rPr>
              <w:t>Lote</w:t>
            </w:r>
          </w:p>
        </w:tc>
        <w:tc>
          <w:tcPr>
            <w:tcW w:type="dxa" w:w="6984"/>
            <w:shd w:fill="EFF4F5"/>
            <w:tcMar>
              <w:top w:w="90" w:type="dxa"/>
              <w:start w:w="110" w:type="dxa"/>
              <w:bottom w:w="90" w:type="dxa"/>
              <w:end w:w="110" w:type="dxa"/>
            </w:tcMar>
            <w:vAlign w:val="center"/>
          </w:tcPr>
          <w:p>
            <w:pPr>
              <w:spacing w:after="0"/>
              <w:jc w:val="left"/>
            </w:pPr>
            <w:r>
              <w:rPr>
                <w:rFonts w:ascii="Aptos" w:hAnsi="Aptos"/>
                <w:color w:val="000000"/>
                <w:sz w:val="18"/>
              </w:rPr>
              <w:t>MX R14 42</w:t>
            </w:r>
          </w:p>
        </w:tc>
      </w:tr>
      <w:tr>
        <w:tc>
          <w:tcPr>
            <w:tcW w:type="dxa" w:w="2736"/>
            <w:tcMar>
              <w:top w:w="90" w:type="dxa"/>
              <w:start w:w="110" w:type="dxa"/>
              <w:bottom w:w="90" w:type="dxa"/>
              <w:end w:w="110" w:type="dxa"/>
            </w:tcMar>
            <w:vAlign w:val="center"/>
          </w:tcPr>
          <w:p>
            <w:pPr>
              <w:spacing w:after="0"/>
              <w:jc w:val="left"/>
            </w:pPr>
            <w:r>
              <w:rPr>
                <w:rFonts w:ascii="Aptos" w:hAnsi="Aptos"/>
                <w:color w:val="000000"/>
                <w:sz w:val="18"/>
              </w:rPr>
              <w:t>Serie escaneada en caja</w:t>
            </w:r>
          </w:p>
        </w:tc>
        <w:tc>
          <w:tcPr>
            <w:tcW w:type="dxa" w:w="6984"/>
            <w:tcMar>
              <w:top w:w="90" w:type="dxa"/>
              <w:start w:w="110" w:type="dxa"/>
              <w:bottom w:w="90" w:type="dxa"/>
              <w:end w:w="110" w:type="dxa"/>
            </w:tcMar>
            <w:vAlign w:val="center"/>
          </w:tcPr>
          <w:p>
            <w:pPr>
              <w:spacing w:after="0"/>
              <w:jc w:val="left"/>
            </w:pPr>
            <w:r>
              <w:rPr>
                <w:rFonts w:ascii="Aptos" w:hAnsi="Aptos"/>
                <w:color w:val="000000"/>
                <w:sz w:val="18"/>
              </w:rPr>
              <w:t>KR14 MX 08317</w:t>
            </w:r>
          </w:p>
        </w:tc>
      </w:tr>
      <w:tr>
        <w:tc>
          <w:tcPr>
            <w:tcW w:type="dxa" w:w="2736"/>
            <w:shd w:fill="EFF4F5"/>
            <w:tcMar>
              <w:top w:w="90" w:type="dxa"/>
              <w:start w:w="110" w:type="dxa"/>
              <w:bottom w:w="90" w:type="dxa"/>
              <w:end w:w="110" w:type="dxa"/>
            </w:tcMar>
            <w:vAlign w:val="center"/>
          </w:tcPr>
          <w:p>
            <w:pPr>
              <w:spacing w:after="0"/>
              <w:jc w:val="left"/>
            </w:pPr>
            <w:r>
              <w:rPr>
                <w:rFonts w:ascii="Aptos" w:hAnsi="Aptos"/>
                <w:color w:val="000000"/>
                <w:sz w:val="18"/>
              </w:rPr>
              <w:t>Control de batería</w:t>
            </w:r>
          </w:p>
        </w:tc>
        <w:tc>
          <w:tcPr>
            <w:tcW w:type="dxa" w:w="6984"/>
            <w:shd w:fill="EFF4F5"/>
            <w:tcMar>
              <w:top w:w="90" w:type="dxa"/>
              <w:start w:w="110" w:type="dxa"/>
              <w:bottom w:w="90" w:type="dxa"/>
              <w:end w:w="110" w:type="dxa"/>
            </w:tcMar>
            <w:vAlign w:val="center"/>
          </w:tcPr>
          <w:p>
            <w:pPr>
              <w:spacing w:after="0"/>
              <w:jc w:val="left"/>
            </w:pPr>
            <w:r>
              <w:rPr>
                <w:rFonts w:ascii="Aptos" w:hAnsi="Aptos"/>
                <w:color w:val="000000"/>
                <w:sz w:val="18"/>
              </w:rPr>
              <w:t>Aprobado por archivo automático</w:t>
            </w:r>
          </w:p>
        </w:tc>
      </w:tr>
      <w:tr>
        <w:tc>
          <w:tcPr>
            <w:tcW w:type="dxa" w:w="2736"/>
            <w:tcMar>
              <w:top w:w="90" w:type="dxa"/>
              <w:start w:w="110" w:type="dxa"/>
              <w:bottom w:w="90" w:type="dxa"/>
              <w:end w:w="110" w:type="dxa"/>
            </w:tcMar>
            <w:vAlign w:val="center"/>
          </w:tcPr>
          <w:p>
            <w:pPr>
              <w:spacing w:after="0"/>
              <w:jc w:val="center"/>
            </w:pPr>
            <w:r>
              <w:rPr>
                <w:rFonts w:ascii="Aptos" w:hAnsi="Aptos"/>
                <w:color w:val="000000"/>
                <w:sz w:val="18"/>
              </w:rPr>
              <w:t>Inspector</w:t>
            </w:r>
          </w:p>
        </w:tc>
        <w:tc>
          <w:tcPr>
            <w:tcW w:type="dxa" w:w="6984"/>
            <w:tcMar>
              <w:top w:w="90" w:type="dxa"/>
              <w:start w:w="110" w:type="dxa"/>
              <w:bottom w:w="90" w:type="dxa"/>
              <w:end w:w="110" w:type="dxa"/>
            </w:tcMar>
            <w:vAlign w:val="center"/>
          </w:tcPr>
          <w:p>
            <w:pPr>
              <w:spacing w:after="0"/>
              <w:jc w:val="left"/>
            </w:pPr>
            <w:r>
              <w:rPr>
                <w:rFonts w:ascii="Aptos" w:hAnsi="Aptos"/>
                <w:color w:val="000000"/>
                <w:sz w:val="18"/>
              </w:rPr>
              <w:t>Estación QA 03  usuario operador 17</w:t>
            </w:r>
          </w:p>
        </w:tc>
      </w:tr>
      <w:tr>
        <w:tc>
          <w:tcPr>
            <w:tcW w:type="dxa" w:w="2736"/>
            <w:shd w:fill="EFF4F5"/>
            <w:tcMar>
              <w:top w:w="90" w:type="dxa"/>
              <w:start w:w="110" w:type="dxa"/>
              <w:bottom w:w="90" w:type="dxa"/>
              <w:end w:w="110" w:type="dxa"/>
            </w:tcMar>
            <w:vAlign w:val="center"/>
          </w:tcPr>
          <w:p>
            <w:pPr>
              <w:spacing w:after="0"/>
              <w:jc w:val="center"/>
            </w:pPr>
            <w:r>
              <w:rPr>
                <w:rFonts w:ascii="Aptos" w:hAnsi="Aptos"/>
                <w:color w:val="000000"/>
                <w:sz w:val="18"/>
              </w:rPr>
              <w:t>Destino</w:t>
            </w:r>
          </w:p>
        </w:tc>
        <w:tc>
          <w:tcPr>
            <w:tcW w:type="dxa" w:w="6984"/>
            <w:shd w:fill="EFF4F5"/>
            <w:tcMar>
              <w:top w:w="90" w:type="dxa"/>
              <w:start w:w="110" w:type="dxa"/>
              <w:bottom w:w="90" w:type="dxa"/>
              <w:end w:w="110" w:type="dxa"/>
            </w:tcMar>
            <w:vAlign w:val="center"/>
          </w:tcPr>
          <w:p>
            <w:pPr>
              <w:spacing w:after="0"/>
              <w:jc w:val="left"/>
            </w:pPr>
            <w:r>
              <w:rPr>
                <w:rFonts w:ascii="Aptos" w:hAnsi="Aptos"/>
                <w:color w:val="000000"/>
                <w:sz w:val="18"/>
              </w:rPr>
              <w:t>Puebla México</w:t>
            </w:r>
          </w:p>
        </w:tc>
      </w:tr>
      <w:tr>
        <w:tc>
          <w:tcPr>
            <w:tcW w:type="dxa" w:w="2736"/>
            <w:tcMar>
              <w:top w:w="90" w:type="dxa"/>
              <w:start w:w="110" w:type="dxa"/>
              <w:bottom w:w="90" w:type="dxa"/>
              <w:end w:w="110" w:type="dxa"/>
            </w:tcMar>
            <w:vAlign w:val="center"/>
          </w:tcPr>
          <w:p>
            <w:pPr>
              <w:spacing w:after="0"/>
              <w:jc w:val="left"/>
            </w:pPr>
            <w:r>
              <w:rPr>
                <w:rFonts w:ascii="Aptos" w:hAnsi="Aptos"/>
                <w:color w:val="000000"/>
                <w:sz w:val="18"/>
              </w:rPr>
              <w:t>Documento fiscal mexicano</w:t>
            </w:r>
          </w:p>
        </w:tc>
        <w:tc>
          <w:tcPr>
            <w:tcW w:type="dxa" w:w="6984"/>
            <w:tcMar>
              <w:top w:w="90" w:type="dxa"/>
              <w:start w:w="110" w:type="dxa"/>
              <w:bottom w:w="90" w:type="dxa"/>
              <w:end w:w="110" w:type="dxa"/>
            </w:tcMar>
            <w:vAlign w:val="center"/>
          </w:tcPr>
          <w:p>
            <w:pPr>
              <w:spacing w:after="0"/>
              <w:jc w:val="left"/>
            </w:pPr>
            <w:r>
              <w:rPr>
                <w:rFonts w:ascii="Aptos" w:hAnsi="Aptos"/>
                <w:color w:val="000000"/>
                <w:sz w:val="18"/>
              </w:rPr>
              <w:t>No asociado al pedido</w:t>
            </w:r>
          </w:p>
        </w:tc>
      </w:tr>
    </w:tbl>
    <w:p>
      <w:pPr>
        <w:pStyle w:val="Heading1"/>
        <w:keepNext w:val="0"/>
        <w:spacing w:before="80" w:after="80"/>
        <w:ind w:left="0" w:firstLine="0"/>
        <w:jc w:val="left"/>
      </w:pPr>
      <w:r>
        <w:t>Límites de este documento</w:t>
      </w:r>
    </w:p>
    <w:p>
      <w:pPr>
        <w:keepLines w:val="0"/>
        <w:ind w:left="0" w:firstLine="0"/>
        <w:jc w:val="left"/>
      </w:pPr>
      <w:r>
        <w:rPr>
          <w:rFonts w:ascii="Aptos" w:hAnsi="Aptos"/>
          <w:i w:val="0"/>
          <w:color w:val="000000"/>
          <w:sz w:val="21"/>
        </w:rPr>
        <w:t>Los correos fueron seleccionados para el expediente y carecen de firmas criptográficas. La tabla societaria procede de una ficha interna, no de registros mercantiles, por lo que las relaciones corporativas declaradas no equivalen a una verificación ante una autoridad o registro público.</w:t>
      </w:r>
    </w:p>
    <w:sectPr w:rsidR="00FC693F" w:rsidRPr="0006063C" w:rsidSect="00034616">
      <w:headerReference w:type="default" r:id="rId9"/>
      <w:footerReference w:type="default" r:id="rId10"/>
      <w:pgSz w:w="12240" w:h="15840"/>
      <w:pgMar w:top="1037" w:right="1123" w:bottom="1037"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8352"/>
      <w:gridCol w:w="1512"/>
    </w:tblGrid>
    <w:tr>
      <w:tc>
        <w:tcPr>
          <w:tcW w:type="dxa" w:w="4932"/>
        </w:tcPr>
        <w:p>
          <w:r>
            <w:rPr>
              <w:rFonts w:ascii="Aptos" w:hAnsi="Aptos"/>
              <w:color w:val="555555"/>
              <w:sz w:val="17"/>
            </w:rPr>
            <w:t>Caso ficticio para uso educativo  ·  11 de septiembre de 2026</w:t>
          </w:r>
        </w:p>
      </w:tc>
      <w:tc>
        <w:tcPr>
          <w:tcW w:type="dxa" w:w="4932"/>
        </w:tcPr>
        <w:p>
          <w:pPr>
            <w:jc w:val="right"/>
          </w:pPr>
          <w:r>
            <w:rPr>
              <w:rFonts w:ascii="Aptos" w:hAnsi="Aptos"/>
              <w:color w:val="000000"/>
              <w:sz w:val="18"/>
            </w:rP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43E4E"/>
        <w:sz w:val="17"/>
      </w:rPr>
      <w:t>BRISA INTERNACIONAL  D03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spacing w:before="260" w:after="120"/>
      <w:ind w:left="0" w:firstLine="0"/>
      <w:jc w:val="left"/>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val="0"/>
      <w:keepLines/>
      <w:spacing w:before="200" w:after="80"/>
      <w:ind w:left="0" w:firstLine="0"/>
      <w:jc w:val="left"/>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200" w:line="240" w:lineRule="auto" w:before="320"/>
      <w:ind w:left="0" w:firstLine="0"/>
      <w:contextualSpacing/>
      <w:jc w:val="left"/>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Estructura corporativa y operación</dc:title>
  <dc:subject>AI and Access to Justice Innovation Challenge Puebla</dc:subject>
  <dc:creator>Material educativo ficticio</dc:creator>
  <cp:keywords/>
  <dc:description>generated by python-docx</dc:description>
  <cp:lastModifiedBy/>
  <cp:revision>1</cp:revision>
  <dcterms:created xsi:type="dcterms:W3CDTF">2013-12-23T23:15:00Z</dcterms:created>
  <dcterms:modified xsi:type="dcterms:W3CDTF">2013-12-23T23:15:00Z</dcterms:modified>
  <cp:category/>
</cp:coreProperties>
</file>