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Privacidad y flujo de datos</w:t>
      </w:r>
    </w:p>
    <w:p>
      <w:r>
        <w:rPr>
          <w:rFonts w:ascii="Aptos" w:hAnsi="Aptos"/>
          <w:i/>
          <w:color w:val="333333"/>
          <w:sz w:val="23"/>
        </w:rPr>
        <w:t>Documento D06 Aviso visible y registro interno</w:t>
      </w:r>
    </w:p>
    <w:p>
      <w:r>
        <w:rPr>
          <w:rFonts w:ascii="Aptos" w:hAnsi="Aptos"/>
          <w:color w:val="555555"/>
          <w:sz w:val="19"/>
        </w:rPr>
        <w:t>Universidad Icesi y Tecmilenio Puebla  ·  11 de septiembre de 2026</w:t>
      </w:r>
    </w:p>
    <w:p>
      <w:pPr>
        <w:spacing w:after="180"/>
      </w:pPr>
      <w:r>
        <w:rPr>
          <w:rFonts w:ascii="Aptos" w:hAnsi="Aptos"/>
          <w:b/>
          <w:color w:val="000000"/>
          <w:sz w:val="21"/>
        </w:rPr>
        <w:t xml:space="preserve">Propósito  </w:t>
      </w:r>
      <w:r>
        <w:rPr>
          <w:rFonts w:ascii="Aptos" w:hAnsi="Aptos"/>
          <w:color w:val="000000"/>
          <w:sz w:val="21"/>
        </w:rPr>
        <w:t>Este documento permite comparar lo informado a Mariana con el recorrido técnico de sus datos. El registro contiene información sobre identidad del responsable, finalidades, datos solicitados, destinatarios y conservación.</w:t>
      </w:r>
    </w:p>
    <w:p>
      <w:pPr>
        <w:pStyle w:val="Heading1"/>
        <w:keepNext w:val="0"/>
        <w:spacing w:before="260" w:after="120"/>
        <w:ind w:left="0" w:firstLine="0"/>
        <w:jc w:val="left"/>
      </w:pPr>
      <w:r>
        <w:t>Aviso corto mostrado en el portal</w:t>
      </w:r>
    </w:p>
    <w:p>
      <w:pPr>
        <w:keepLines w:val="0"/>
        <w:ind w:left="0" w:firstLine="0"/>
        <w:jc w:val="left"/>
      </w:pPr>
      <w:r>
        <w:rPr>
          <w:rFonts w:ascii="Aptos" w:hAnsi="Aptos"/>
          <w:i w:val="0"/>
          <w:color w:val="000000"/>
          <w:sz w:val="21"/>
        </w:rPr>
        <w:t>Vístula Devices México S de RL de CV trata los datos para procesar compras, entregar productos, prestar soporte, prevenir fraude y mejorar el servicio. Puede compartir información con proveedores que apoyan estas finalidades. La persona puede ejercer sus derechos escribiendo a privacidad arroba brisa punto example. La versión completa está disponible en el enlace Política de privacidad.</w:t>
      </w:r>
    </w:p>
    <w:p>
      <w:pPr>
        <w:keepLines w:val="0"/>
        <w:ind w:left="0" w:firstLine="0"/>
        <w:jc w:val="left"/>
      </w:pPr>
      <w:r>
        <w:rPr>
          <w:rFonts w:ascii="Aptos" w:hAnsi="Aptos"/>
          <w:i w:val="0"/>
          <w:color w:val="000000"/>
          <w:sz w:val="21"/>
        </w:rPr>
        <w:t>En la captura de Mariana, el enlace de la versión completa devuelve una página sin contenido. El aviso corto no enumera países, plazos de conservación ni la participación de Puente Digital Andino SAS.</w:t>
      </w:r>
    </w:p>
    <w:p>
      <w:pPr>
        <w:pStyle w:val="Heading1"/>
        <w:keepNext w:val="0"/>
        <w:spacing w:before="260" w:after="120"/>
        <w:ind w:left="0" w:firstLine="0"/>
        <w:jc w:val="left"/>
      </w:pPr>
      <w:r>
        <w:t>Datos solicitados en soporte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664"/>
            <w:shd w:fill="007A6A"/>
            <w:tcMar>
              <w:top w:w="90" w:type="dxa"/>
              <w:start w:w="110" w:type="dxa"/>
              <w:bottom w:w="90" w:type="dxa"/>
              <w:end w:w="110" w:type="dxa"/>
            </w:tcMar>
            <w:vAlign w:val="center"/>
          </w:tcPr>
          <w:p>
            <w:pPr>
              <w:jc w:val="center"/>
            </w:pPr>
            <w:r>
              <w:rPr>
                <w:rFonts w:ascii="Aptos" w:hAnsi="Aptos"/>
                <w:b/>
                <w:color w:val="FFFFFF"/>
                <w:sz w:val="18"/>
              </w:rPr>
              <w:t>Dato</w:t>
            </w:r>
          </w:p>
        </w:tc>
        <w:tc>
          <w:tcPr>
            <w:tcW w:type="dxa" w:w="3312"/>
            <w:shd w:fill="007A6A"/>
            <w:tcMar>
              <w:top w:w="90" w:type="dxa"/>
              <w:start w:w="110" w:type="dxa"/>
              <w:bottom w:w="90" w:type="dxa"/>
              <w:end w:w="110" w:type="dxa"/>
            </w:tcMar>
            <w:vAlign w:val="center"/>
          </w:tcPr>
          <w:p>
            <w:pPr>
              <w:jc w:val="left"/>
            </w:pPr>
            <w:r>
              <w:rPr>
                <w:rFonts w:ascii="Aptos" w:hAnsi="Aptos"/>
                <w:b/>
                <w:color w:val="FFFFFF"/>
                <w:sz w:val="18"/>
              </w:rPr>
              <w:t>Finalidad registrada</w:t>
            </w:r>
          </w:p>
        </w:tc>
        <w:tc>
          <w:tcPr>
            <w:tcW w:type="dxa" w:w="3744"/>
            <w:shd w:fill="007A6A"/>
            <w:tcMar>
              <w:top w:w="90" w:type="dxa"/>
              <w:start w:w="110" w:type="dxa"/>
              <w:bottom w:w="90" w:type="dxa"/>
              <w:end w:w="110" w:type="dxa"/>
            </w:tcMar>
            <w:vAlign w:val="center"/>
          </w:tcPr>
          <w:p>
            <w:r>
              <w:rPr>
                <w:rFonts w:ascii="Aptos" w:hAnsi="Aptos"/>
                <w:b/>
                <w:color w:val="FFFFFF"/>
                <w:sz w:val="18"/>
              </w:rPr>
              <w:t>Dato efectivamente aportado</w:t>
            </w:r>
          </w:p>
        </w:tc>
      </w:tr>
      <w:tr>
        <w:tc>
          <w:tcPr>
            <w:tcW w:type="dxa" w:w="2664"/>
            <w:tcMar>
              <w:top w:w="90" w:type="dxa"/>
              <w:start w:w="110" w:type="dxa"/>
              <w:bottom w:w="90" w:type="dxa"/>
              <w:end w:w="110" w:type="dxa"/>
            </w:tcMar>
            <w:vAlign w:val="center"/>
          </w:tcPr>
          <w:p>
            <w:pPr>
              <w:spacing w:after="0"/>
              <w:jc w:val="left"/>
            </w:pPr>
            <w:r>
              <w:rPr>
                <w:rFonts w:ascii="Aptos" w:hAnsi="Aptos"/>
                <w:color w:val="000000"/>
                <w:sz w:val="18"/>
              </w:rPr>
              <w:t>Identificación por ambos lados</w:t>
            </w:r>
          </w:p>
        </w:tc>
        <w:tc>
          <w:tcPr>
            <w:tcW w:type="dxa" w:w="3312"/>
            <w:tcMar>
              <w:top w:w="90" w:type="dxa"/>
              <w:start w:w="110" w:type="dxa"/>
              <w:bottom w:w="90" w:type="dxa"/>
              <w:end w:w="110" w:type="dxa"/>
            </w:tcMar>
            <w:vAlign w:val="center"/>
          </w:tcPr>
          <w:p>
            <w:pPr>
              <w:spacing w:after="0"/>
              <w:jc w:val="left"/>
            </w:pPr>
            <w:r>
              <w:rPr>
                <w:rFonts w:ascii="Aptos" w:hAnsi="Aptos"/>
                <w:color w:val="000000"/>
                <w:sz w:val="18"/>
              </w:rPr>
              <w:t>Validar titular</w:t>
            </w:r>
          </w:p>
        </w:tc>
        <w:tc>
          <w:tcPr>
            <w:tcW w:type="dxa" w:w="3744"/>
            <w:tcMar>
              <w:top w:w="90" w:type="dxa"/>
              <w:start w:w="110" w:type="dxa"/>
              <w:bottom w:w="90" w:type="dxa"/>
              <w:end w:w="110" w:type="dxa"/>
            </w:tcMar>
            <w:vAlign w:val="center"/>
          </w:tcPr>
          <w:p>
            <w:r>
              <w:rPr>
                <w:rFonts w:ascii="Aptos" w:hAnsi="Aptos"/>
                <w:color w:val="000000"/>
                <w:sz w:val="18"/>
              </w:rPr>
              <w:t>No; ofreció una versión con datos no necesarios ocultos</w:t>
            </w:r>
          </w:p>
        </w:tc>
      </w:tr>
      <w:tr>
        <w:tc>
          <w:tcPr>
            <w:tcW w:type="dxa" w:w="2664"/>
            <w:shd w:fill="EFF4F5"/>
            <w:tcMar>
              <w:top w:w="90" w:type="dxa"/>
              <w:start w:w="110" w:type="dxa"/>
              <w:bottom w:w="90" w:type="dxa"/>
              <w:end w:w="110" w:type="dxa"/>
            </w:tcMar>
            <w:vAlign w:val="center"/>
          </w:tcPr>
          <w:p>
            <w:pPr>
              <w:spacing w:after="0"/>
              <w:jc w:val="left"/>
            </w:pPr>
            <w:r>
              <w:rPr>
                <w:rFonts w:ascii="Aptos" w:hAnsi="Aptos"/>
                <w:color w:val="000000"/>
                <w:sz w:val="18"/>
              </w:rPr>
              <w:t>Estado de cuenta completo</w:t>
            </w:r>
          </w:p>
        </w:tc>
        <w:tc>
          <w:tcPr>
            <w:tcW w:type="dxa" w:w="3312"/>
            <w:shd w:fill="EFF4F5"/>
            <w:tcMar>
              <w:top w:w="90" w:type="dxa"/>
              <w:start w:w="110" w:type="dxa"/>
              <w:bottom w:w="90" w:type="dxa"/>
              <w:end w:w="110" w:type="dxa"/>
            </w:tcMar>
            <w:vAlign w:val="center"/>
          </w:tcPr>
          <w:p>
            <w:pPr>
              <w:spacing w:after="0"/>
              <w:jc w:val="left"/>
            </w:pPr>
            <w:r>
              <w:rPr>
                <w:rFonts w:ascii="Aptos" w:hAnsi="Aptos"/>
                <w:color w:val="000000"/>
                <w:sz w:val="18"/>
              </w:rPr>
              <w:t>Comprobar pago</w:t>
            </w:r>
          </w:p>
        </w:tc>
        <w:tc>
          <w:tcPr>
            <w:tcW w:type="dxa" w:w="3744"/>
            <w:shd w:fill="EFF4F5"/>
            <w:tcMar>
              <w:top w:w="90" w:type="dxa"/>
              <w:start w:w="110" w:type="dxa"/>
              <w:bottom w:w="90" w:type="dxa"/>
              <w:end w:w="110" w:type="dxa"/>
            </w:tcMar>
            <w:vAlign w:val="center"/>
          </w:tcPr>
          <w:p>
            <w:r>
              <w:rPr>
                <w:rFonts w:ascii="Aptos" w:hAnsi="Aptos"/>
                <w:color w:val="000000"/>
                <w:sz w:val="18"/>
              </w:rPr>
              <w:t>No; envió sólo el movimiento de pago</w:t>
            </w:r>
          </w:p>
        </w:tc>
      </w:tr>
      <w:tr>
        <w:tc>
          <w:tcPr>
            <w:tcW w:type="dxa" w:w="2664"/>
            <w:tcMar>
              <w:top w:w="90" w:type="dxa"/>
              <w:start w:w="110" w:type="dxa"/>
              <w:bottom w:w="90" w:type="dxa"/>
              <w:end w:w="110" w:type="dxa"/>
            </w:tcMar>
            <w:vAlign w:val="center"/>
          </w:tcPr>
          <w:p>
            <w:pPr>
              <w:spacing w:after="0"/>
              <w:jc w:val="center"/>
            </w:pPr>
            <w:r>
              <w:rPr>
                <w:rFonts w:ascii="Aptos" w:hAnsi="Aptos"/>
                <w:color w:val="000000"/>
                <w:sz w:val="18"/>
              </w:rPr>
              <w:t>Video del fallo</w:t>
            </w:r>
          </w:p>
        </w:tc>
        <w:tc>
          <w:tcPr>
            <w:tcW w:type="dxa" w:w="3312"/>
            <w:tcMar>
              <w:top w:w="90" w:type="dxa"/>
              <w:start w:w="110" w:type="dxa"/>
              <w:bottom w:w="90" w:type="dxa"/>
              <w:end w:w="110" w:type="dxa"/>
            </w:tcMar>
            <w:vAlign w:val="center"/>
          </w:tcPr>
          <w:p>
            <w:pPr>
              <w:spacing w:after="0"/>
              <w:jc w:val="left"/>
            </w:pPr>
            <w:r>
              <w:rPr>
                <w:rFonts w:ascii="Aptos" w:hAnsi="Aptos"/>
                <w:color w:val="000000"/>
                <w:sz w:val="18"/>
              </w:rPr>
              <w:t>Clasificar defecto</w:t>
            </w:r>
          </w:p>
        </w:tc>
        <w:tc>
          <w:tcPr>
            <w:tcW w:type="dxa" w:w="3744"/>
            <w:tcMar>
              <w:top w:w="90" w:type="dxa"/>
              <w:start w:w="110" w:type="dxa"/>
              <w:bottom w:w="90" w:type="dxa"/>
              <w:end w:w="110" w:type="dxa"/>
            </w:tcMar>
            <w:vAlign w:val="center"/>
          </w:tcPr>
          <w:p>
            <w:r>
              <w:rPr>
                <w:rFonts w:ascii="Aptos" w:hAnsi="Aptos"/>
                <w:color w:val="000000"/>
                <w:sz w:val="18"/>
              </w:rPr>
              <w:t>Sí; video de 18 segundos sin metadatos preservados</w:t>
            </w:r>
          </w:p>
        </w:tc>
      </w:tr>
      <w:tr>
        <w:tc>
          <w:tcPr>
            <w:tcW w:type="dxa" w:w="2664"/>
            <w:shd w:fill="EFF4F5"/>
            <w:tcMar>
              <w:top w:w="90" w:type="dxa"/>
              <w:start w:w="110" w:type="dxa"/>
              <w:bottom w:w="90" w:type="dxa"/>
              <w:end w:w="110" w:type="dxa"/>
            </w:tcMar>
            <w:vAlign w:val="center"/>
          </w:tcPr>
          <w:p>
            <w:pPr>
              <w:spacing w:after="0"/>
              <w:jc w:val="left"/>
            </w:pPr>
            <w:r>
              <w:rPr>
                <w:rFonts w:ascii="Aptos" w:hAnsi="Aptos"/>
                <w:color w:val="000000"/>
                <w:sz w:val="18"/>
              </w:rPr>
              <w:t>Informe de batería</w:t>
            </w:r>
          </w:p>
        </w:tc>
        <w:tc>
          <w:tcPr>
            <w:tcW w:type="dxa" w:w="3312"/>
            <w:shd w:fill="EFF4F5"/>
            <w:tcMar>
              <w:top w:w="90" w:type="dxa"/>
              <w:start w:w="110" w:type="dxa"/>
              <w:bottom w:w="90" w:type="dxa"/>
              <w:end w:w="110" w:type="dxa"/>
            </w:tcMar>
            <w:vAlign w:val="center"/>
          </w:tcPr>
          <w:p>
            <w:pPr>
              <w:spacing w:after="0"/>
              <w:jc w:val="left"/>
            </w:pPr>
            <w:r>
              <w:rPr>
                <w:rFonts w:ascii="Aptos" w:hAnsi="Aptos"/>
                <w:color w:val="000000"/>
                <w:sz w:val="18"/>
              </w:rPr>
              <w:t>Diagnóstico</w:t>
            </w:r>
          </w:p>
        </w:tc>
        <w:tc>
          <w:tcPr>
            <w:tcW w:type="dxa" w:w="3744"/>
            <w:shd w:fill="EFF4F5"/>
            <w:tcMar>
              <w:top w:w="90" w:type="dxa"/>
              <w:start w:w="110" w:type="dxa"/>
              <w:bottom w:w="90" w:type="dxa"/>
              <w:end w:w="110" w:type="dxa"/>
            </w:tcMar>
            <w:vAlign w:val="center"/>
          </w:tcPr>
          <w:p>
            <w:r>
              <w:rPr>
                <w:rFonts w:ascii="Aptos" w:hAnsi="Aptos"/>
                <w:color w:val="000000"/>
                <w:sz w:val="18"/>
              </w:rPr>
              <w:t>Sí; exportación generada por el sistema operativo</w:t>
            </w:r>
          </w:p>
        </w:tc>
      </w:tr>
      <w:tr>
        <w:tc>
          <w:tcPr>
            <w:tcW w:type="dxa" w:w="2664"/>
            <w:tcMar>
              <w:top w:w="90" w:type="dxa"/>
              <w:start w:w="110" w:type="dxa"/>
              <w:bottom w:w="90" w:type="dxa"/>
              <w:end w:w="110" w:type="dxa"/>
            </w:tcMar>
            <w:vAlign w:val="center"/>
          </w:tcPr>
          <w:p>
            <w:pPr>
              <w:spacing w:after="0"/>
              <w:jc w:val="center"/>
            </w:pPr>
            <w:r>
              <w:rPr>
                <w:rFonts w:ascii="Aptos" w:hAnsi="Aptos"/>
                <w:color w:val="000000"/>
                <w:sz w:val="18"/>
              </w:rPr>
              <w:t>Dirección</w:t>
            </w:r>
          </w:p>
        </w:tc>
        <w:tc>
          <w:tcPr>
            <w:tcW w:type="dxa" w:w="3312"/>
            <w:tcMar>
              <w:top w:w="90" w:type="dxa"/>
              <w:start w:w="110" w:type="dxa"/>
              <w:bottom w:w="90" w:type="dxa"/>
              <w:end w:w="110" w:type="dxa"/>
            </w:tcMar>
            <w:vAlign w:val="center"/>
          </w:tcPr>
          <w:p>
            <w:pPr>
              <w:spacing w:after="0"/>
              <w:jc w:val="left"/>
            </w:pPr>
            <w:r>
              <w:rPr>
                <w:rFonts w:ascii="Aptos" w:hAnsi="Aptos"/>
                <w:color w:val="000000"/>
                <w:sz w:val="18"/>
              </w:rPr>
              <w:t>Envío y devolución</w:t>
            </w:r>
          </w:p>
        </w:tc>
        <w:tc>
          <w:tcPr>
            <w:tcW w:type="dxa" w:w="3744"/>
            <w:tcMar>
              <w:top w:w="90" w:type="dxa"/>
              <w:start w:w="110" w:type="dxa"/>
              <w:bottom w:w="90" w:type="dxa"/>
              <w:end w:w="110" w:type="dxa"/>
            </w:tcMar>
            <w:vAlign w:val="center"/>
          </w:tcPr>
          <w:p>
            <w:r>
              <w:rPr>
                <w:rFonts w:ascii="Aptos" w:hAnsi="Aptos"/>
                <w:color w:val="000000"/>
                <w:sz w:val="18"/>
              </w:rPr>
              <w:t>Ya constaba para la entrega; no se pidió nuevamente</w:t>
            </w:r>
          </w:p>
        </w:tc>
      </w:tr>
    </w:tbl>
    <w:p>
      <w:pPr>
        <w:spacing w:after="40"/>
      </w:pPr>
    </w:p>
    <w:p>
      <w:r>
        <w:br w:type="page"/>
      </w:r>
    </w:p>
    <w:p>
      <w:pPr>
        <w:pStyle w:val="Heading1"/>
        <w:keepNext w:val="0"/>
        <w:spacing w:before="260" w:after="120"/>
        <w:ind w:left="0" w:firstLine="0"/>
        <w:jc w:val="left"/>
      </w:pPr>
      <w:r>
        <w:t>Recorrido técnico registrado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800"/>
            <w:shd w:fill="243E4E"/>
            <w:tcMar>
              <w:top w:w="90" w:type="dxa"/>
              <w:start w:w="110" w:type="dxa"/>
              <w:bottom w:w="90" w:type="dxa"/>
              <w:end w:w="110" w:type="dxa"/>
            </w:tcMar>
            <w:vAlign w:val="center"/>
          </w:tcPr>
          <w:p>
            <w:pPr>
              <w:jc w:val="center"/>
            </w:pPr>
            <w:r>
              <w:rPr>
                <w:rFonts w:ascii="Aptos" w:hAnsi="Aptos"/>
                <w:b/>
                <w:color w:val="FFFFFF"/>
                <w:sz w:val="17"/>
              </w:rPr>
              <w:t>Sistema</w:t>
            </w:r>
          </w:p>
        </w:tc>
        <w:tc>
          <w:tcPr>
            <w:tcW w:type="dxa" w:w="1224"/>
            <w:shd w:fill="243E4E"/>
            <w:tcMar>
              <w:top w:w="90" w:type="dxa"/>
              <w:start w:w="110" w:type="dxa"/>
              <w:bottom w:w="90" w:type="dxa"/>
              <w:end w:w="110" w:type="dxa"/>
            </w:tcMar>
            <w:vAlign w:val="center"/>
          </w:tcPr>
          <w:p>
            <w:pPr>
              <w:jc w:val="center"/>
            </w:pPr>
            <w:r>
              <w:rPr>
                <w:rFonts w:ascii="Aptos" w:hAnsi="Aptos"/>
                <w:b/>
                <w:color w:val="FFFFFF"/>
                <w:sz w:val="17"/>
              </w:rPr>
              <w:t>Ubicación</w:t>
            </w:r>
          </w:p>
        </w:tc>
        <w:tc>
          <w:tcPr>
            <w:tcW w:type="dxa" w:w="4032"/>
            <w:shd w:fill="243E4E"/>
            <w:tcMar>
              <w:top w:w="90" w:type="dxa"/>
              <w:start w:w="110" w:type="dxa"/>
              <w:bottom w:w="90" w:type="dxa"/>
              <w:end w:w="110" w:type="dxa"/>
            </w:tcMar>
            <w:vAlign w:val="center"/>
          </w:tcPr>
          <w:p>
            <w:pPr>
              <w:jc w:val="center"/>
            </w:pPr>
            <w:r>
              <w:rPr>
                <w:rFonts w:ascii="Aptos" w:hAnsi="Aptos"/>
                <w:b/>
                <w:color w:val="FFFFFF"/>
                <w:sz w:val="17"/>
              </w:rPr>
              <w:t>Datos</w:t>
            </w:r>
          </w:p>
        </w:tc>
        <w:tc>
          <w:tcPr>
            <w:tcW w:type="dxa" w:w="2664"/>
            <w:shd w:fill="243E4E"/>
            <w:tcMar>
              <w:top w:w="90" w:type="dxa"/>
              <w:start w:w="110" w:type="dxa"/>
              <w:bottom w:w="90" w:type="dxa"/>
              <w:end w:w="110" w:type="dxa"/>
            </w:tcMar>
            <w:vAlign w:val="center"/>
          </w:tcPr>
          <w:p>
            <w:pPr>
              <w:jc w:val="left"/>
            </w:pPr>
            <w:r>
              <w:rPr>
                <w:rFonts w:ascii="Aptos" w:hAnsi="Aptos"/>
                <w:b/>
                <w:color w:val="FFFFFF"/>
                <w:sz w:val="17"/>
              </w:rPr>
              <w:t>Conservación declarada</w:t>
            </w:r>
          </w:p>
        </w:tc>
      </w:tr>
      <w:tr>
        <w:tc>
          <w:tcPr>
            <w:tcW w:type="dxa" w:w="1800"/>
            <w:tcMar>
              <w:top w:w="90" w:type="dxa"/>
              <w:start w:w="110" w:type="dxa"/>
              <w:bottom w:w="90" w:type="dxa"/>
              <w:end w:w="110" w:type="dxa"/>
            </w:tcMar>
            <w:vAlign w:val="center"/>
          </w:tcPr>
          <w:p>
            <w:pPr>
              <w:spacing w:after="0"/>
              <w:jc w:val="center"/>
            </w:pPr>
            <w:r>
              <w:rPr>
                <w:rFonts w:ascii="Aptos" w:hAnsi="Aptos"/>
                <w:color w:val="000000"/>
                <w:sz w:val="17"/>
              </w:rPr>
              <w:t>Portal Brisa</w:t>
            </w:r>
          </w:p>
        </w:tc>
        <w:tc>
          <w:tcPr>
            <w:tcW w:type="dxa" w:w="1224"/>
            <w:tcMar>
              <w:top w:w="90" w:type="dxa"/>
              <w:start w:w="110" w:type="dxa"/>
              <w:bottom w:w="90" w:type="dxa"/>
              <w:end w:w="110" w:type="dxa"/>
            </w:tcMar>
            <w:vAlign w:val="center"/>
          </w:tcPr>
          <w:p>
            <w:pPr>
              <w:spacing w:after="0"/>
              <w:jc w:val="left"/>
            </w:pPr>
            <w:r>
              <w:rPr>
                <w:rFonts w:ascii="Aptos" w:hAnsi="Aptos"/>
                <w:color w:val="000000"/>
                <w:sz w:val="17"/>
              </w:rPr>
              <w:t>Polonia</w:t>
            </w:r>
          </w:p>
        </w:tc>
        <w:tc>
          <w:tcPr>
            <w:tcW w:type="dxa" w:w="4032"/>
            <w:tcMar>
              <w:top w:w="90" w:type="dxa"/>
              <w:start w:w="110" w:type="dxa"/>
              <w:bottom w:w="90" w:type="dxa"/>
              <w:end w:w="110" w:type="dxa"/>
            </w:tcMar>
            <w:vAlign w:val="center"/>
          </w:tcPr>
          <w:p>
            <w:pPr>
              <w:spacing w:after="0"/>
              <w:jc w:val="left"/>
            </w:pPr>
            <w:r>
              <w:rPr>
                <w:rFonts w:ascii="Aptos" w:hAnsi="Aptos"/>
                <w:color w:val="000000"/>
                <w:sz w:val="17"/>
              </w:rPr>
              <w:t>Cuenta pedido IP y eventos</w:t>
            </w:r>
          </w:p>
        </w:tc>
        <w:tc>
          <w:tcPr>
            <w:tcW w:type="dxa" w:w="2664"/>
            <w:tcMar>
              <w:top w:w="90" w:type="dxa"/>
              <w:start w:w="110" w:type="dxa"/>
              <w:bottom w:w="90" w:type="dxa"/>
              <w:end w:w="110" w:type="dxa"/>
            </w:tcMar>
            <w:vAlign w:val="center"/>
          </w:tcPr>
          <w:p>
            <w:pPr>
              <w:spacing w:after="0"/>
              <w:jc w:val="left"/>
            </w:pPr>
            <w:r>
              <w:rPr>
                <w:rFonts w:ascii="Aptos" w:hAnsi="Aptos"/>
                <w:color w:val="000000"/>
                <w:sz w:val="17"/>
              </w:rPr>
              <w:t>24 meses</w:t>
            </w:r>
          </w:p>
        </w:tc>
      </w:tr>
      <w:tr>
        <w:tc>
          <w:tcPr>
            <w:tcW w:type="dxa" w:w="1800"/>
            <w:shd w:fill="EFF4F5"/>
            <w:tcMar>
              <w:top w:w="90" w:type="dxa"/>
              <w:start w:w="110" w:type="dxa"/>
              <w:bottom w:w="90" w:type="dxa"/>
              <w:end w:w="110" w:type="dxa"/>
            </w:tcMar>
            <w:vAlign w:val="center"/>
          </w:tcPr>
          <w:p>
            <w:pPr>
              <w:spacing w:after="0"/>
              <w:jc w:val="center"/>
            </w:pPr>
            <w:r>
              <w:rPr>
                <w:rFonts w:ascii="Aptos" w:hAnsi="Aptos"/>
                <w:color w:val="000000"/>
                <w:sz w:val="17"/>
              </w:rPr>
              <w:t>PagoNube</w:t>
            </w:r>
          </w:p>
        </w:tc>
        <w:tc>
          <w:tcPr>
            <w:tcW w:type="dxa" w:w="1224"/>
            <w:shd w:fill="EFF4F5"/>
            <w:tcMar>
              <w:top w:w="90" w:type="dxa"/>
              <w:start w:w="110" w:type="dxa"/>
              <w:bottom w:w="90" w:type="dxa"/>
              <w:end w:w="110" w:type="dxa"/>
            </w:tcMar>
            <w:vAlign w:val="center"/>
          </w:tcPr>
          <w:p>
            <w:r>
              <w:t>No indicada en el registro</w:t>
            </w:r>
          </w:p>
        </w:tc>
        <w:tc>
          <w:tcPr>
            <w:tcW w:type="dxa" w:w="4032"/>
            <w:shd w:fill="EFF4F5"/>
            <w:tcMar>
              <w:top w:w="90" w:type="dxa"/>
              <w:start w:w="110" w:type="dxa"/>
              <w:bottom w:w="90" w:type="dxa"/>
              <w:end w:w="110" w:type="dxa"/>
            </w:tcMar>
            <w:vAlign w:val="center"/>
          </w:tcPr>
          <w:p>
            <w:pPr>
              <w:spacing w:after="0"/>
              <w:jc w:val="left"/>
            </w:pPr>
            <w:r>
              <w:rPr>
                <w:rFonts w:ascii="Aptos" w:hAnsi="Aptos"/>
                <w:color w:val="000000"/>
                <w:sz w:val="17"/>
              </w:rPr>
              <w:t>Token de pago importe y referencia</w:t>
            </w:r>
          </w:p>
        </w:tc>
        <w:tc>
          <w:tcPr>
            <w:tcW w:type="dxa" w:w="2664"/>
            <w:shd w:fill="EFF4F5"/>
            <w:tcMar>
              <w:top w:w="90" w:type="dxa"/>
              <w:start w:w="110" w:type="dxa"/>
              <w:bottom w:w="90" w:type="dxa"/>
              <w:end w:w="110" w:type="dxa"/>
            </w:tcMar>
            <w:vAlign w:val="center"/>
          </w:tcPr>
          <w:p>
            <w:pPr>
              <w:spacing w:after="0"/>
              <w:jc w:val="left"/>
            </w:pPr>
            <w:r>
              <w:rPr>
                <w:rFonts w:ascii="Aptos" w:hAnsi="Aptos"/>
                <w:color w:val="000000"/>
                <w:sz w:val="17"/>
              </w:rPr>
              <w:t>Según contrato del procesador</w:t>
            </w:r>
          </w:p>
        </w:tc>
      </w:tr>
      <w:tr>
        <w:tc>
          <w:tcPr>
            <w:tcW w:type="dxa" w:w="1800"/>
            <w:tcMar>
              <w:top w:w="90" w:type="dxa"/>
              <w:start w:w="110" w:type="dxa"/>
              <w:bottom w:w="90" w:type="dxa"/>
              <w:end w:w="110" w:type="dxa"/>
            </w:tcMar>
            <w:vAlign w:val="center"/>
          </w:tcPr>
          <w:p>
            <w:r>
              <w:t>Puente Digital Andino SAS CRM</w:t>
            </w:r>
          </w:p>
        </w:tc>
        <w:tc>
          <w:tcPr>
            <w:tcW w:type="dxa" w:w="1224"/>
            <w:tcMar>
              <w:top w:w="90" w:type="dxa"/>
              <w:start w:w="110" w:type="dxa"/>
              <w:bottom w:w="90" w:type="dxa"/>
              <w:end w:w="110" w:type="dxa"/>
            </w:tcMar>
            <w:vAlign w:val="center"/>
          </w:tcPr>
          <w:p>
            <w:pPr>
              <w:spacing w:after="0"/>
              <w:jc w:val="left"/>
            </w:pPr>
            <w:r>
              <w:rPr>
                <w:rFonts w:ascii="Aptos" w:hAnsi="Aptos"/>
                <w:color w:val="000000"/>
                <w:sz w:val="17"/>
              </w:rPr>
              <w:t>Colombia</w:t>
            </w:r>
          </w:p>
        </w:tc>
        <w:tc>
          <w:tcPr>
            <w:tcW w:type="dxa" w:w="4032"/>
            <w:tcMar>
              <w:top w:w="90" w:type="dxa"/>
              <w:start w:w="110" w:type="dxa"/>
              <w:bottom w:w="90" w:type="dxa"/>
              <w:end w:w="110" w:type="dxa"/>
            </w:tcMar>
            <w:vAlign w:val="center"/>
          </w:tcPr>
          <w:p>
            <w:pPr>
              <w:spacing w:after="0"/>
              <w:jc w:val="left"/>
            </w:pPr>
            <w:r>
              <w:rPr>
                <w:rFonts w:ascii="Aptos" w:hAnsi="Aptos"/>
                <w:color w:val="000000"/>
                <w:sz w:val="17"/>
              </w:rPr>
              <w:t>Pedido reclamación y decisión</w:t>
            </w:r>
          </w:p>
        </w:tc>
        <w:tc>
          <w:tcPr>
            <w:tcW w:type="dxa" w:w="2664"/>
            <w:tcMar>
              <w:top w:w="90" w:type="dxa"/>
              <w:start w:w="110" w:type="dxa"/>
              <w:bottom w:w="90" w:type="dxa"/>
              <w:end w:w="110" w:type="dxa"/>
            </w:tcMar>
            <w:vAlign w:val="center"/>
          </w:tcPr>
          <w:p>
            <w:pPr>
              <w:spacing w:after="0"/>
              <w:jc w:val="left"/>
            </w:pPr>
            <w:r>
              <w:rPr>
                <w:rFonts w:ascii="Aptos" w:hAnsi="Aptos"/>
                <w:color w:val="000000"/>
                <w:sz w:val="17"/>
              </w:rPr>
              <w:t>5 años</w:t>
            </w:r>
          </w:p>
        </w:tc>
      </w:tr>
      <w:tr>
        <w:tc>
          <w:tcPr>
            <w:tcW w:type="dxa" w:w="1800"/>
            <w:shd w:fill="EFF4F5"/>
            <w:tcMar>
              <w:top w:w="90" w:type="dxa"/>
              <w:start w:w="110" w:type="dxa"/>
              <w:bottom w:w="90" w:type="dxa"/>
              <w:end w:w="110" w:type="dxa"/>
            </w:tcMar>
            <w:vAlign w:val="center"/>
          </w:tcPr>
          <w:p>
            <w:pPr>
              <w:spacing w:after="0"/>
              <w:jc w:val="center"/>
            </w:pPr>
            <w:r>
              <w:rPr>
                <w:rFonts w:ascii="Aptos" w:hAnsi="Aptos"/>
                <w:color w:val="000000"/>
                <w:sz w:val="17"/>
              </w:rPr>
              <w:t>Mesa México</w:t>
            </w:r>
          </w:p>
        </w:tc>
        <w:tc>
          <w:tcPr>
            <w:tcW w:type="dxa" w:w="1224"/>
            <w:shd w:fill="EFF4F5"/>
            <w:tcMar>
              <w:top w:w="90" w:type="dxa"/>
              <w:start w:w="110" w:type="dxa"/>
              <w:bottom w:w="90" w:type="dxa"/>
              <w:end w:w="110" w:type="dxa"/>
            </w:tcMar>
            <w:vAlign w:val="center"/>
          </w:tcPr>
          <w:p>
            <w:pPr>
              <w:spacing w:after="0"/>
              <w:jc w:val="left"/>
            </w:pPr>
            <w:r>
              <w:rPr>
                <w:rFonts w:ascii="Aptos" w:hAnsi="Aptos"/>
                <w:color w:val="000000"/>
                <w:sz w:val="17"/>
              </w:rPr>
              <w:t>México</w:t>
            </w:r>
          </w:p>
        </w:tc>
        <w:tc>
          <w:tcPr>
            <w:tcW w:type="dxa" w:w="4032"/>
            <w:shd w:fill="EFF4F5"/>
            <w:tcMar>
              <w:top w:w="90" w:type="dxa"/>
              <w:start w:w="110" w:type="dxa"/>
              <w:bottom w:w="90" w:type="dxa"/>
              <w:end w:w="110" w:type="dxa"/>
            </w:tcMar>
            <w:vAlign w:val="center"/>
          </w:tcPr>
          <w:p>
            <w:pPr>
              <w:spacing w:after="0"/>
              <w:jc w:val="left"/>
            </w:pPr>
            <w:r>
              <w:rPr>
                <w:rFonts w:ascii="Aptos" w:hAnsi="Aptos"/>
                <w:color w:val="000000"/>
                <w:sz w:val="17"/>
              </w:rPr>
              <w:t>Guía fotos series y diagnóstico</w:t>
            </w:r>
          </w:p>
        </w:tc>
        <w:tc>
          <w:tcPr>
            <w:tcW w:type="dxa" w:w="2664"/>
            <w:shd w:fill="EFF4F5"/>
            <w:tcMar>
              <w:top w:w="90" w:type="dxa"/>
              <w:start w:w="110" w:type="dxa"/>
              <w:bottom w:w="90" w:type="dxa"/>
              <w:end w:w="110" w:type="dxa"/>
            </w:tcMar>
            <w:vAlign w:val="center"/>
          </w:tcPr>
          <w:p>
            <w:pPr>
              <w:spacing w:after="0"/>
              <w:jc w:val="left"/>
            </w:pPr>
            <w:r>
              <w:rPr>
                <w:rFonts w:ascii="Aptos" w:hAnsi="Aptos"/>
                <w:color w:val="000000"/>
                <w:sz w:val="17"/>
              </w:rPr>
              <w:t>Sin plazo configurado</w:t>
            </w:r>
          </w:p>
        </w:tc>
      </w:tr>
      <w:tr>
        <w:tc>
          <w:tcPr>
            <w:tcW w:type="dxa" w:w="1800"/>
            <w:tcMar>
              <w:top w:w="90" w:type="dxa"/>
              <w:start w:w="110" w:type="dxa"/>
              <w:bottom w:w="90" w:type="dxa"/>
              <w:end w:w="110" w:type="dxa"/>
            </w:tcMar>
            <w:vAlign w:val="center"/>
          </w:tcPr>
          <w:p>
            <w:pPr>
              <w:spacing w:after="0"/>
              <w:jc w:val="center"/>
            </w:pPr>
            <w:r>
              <w:rPr>
                <w:rFonts w:ascii="Aptos" w:hAnsi="Aptos"/>
                <w:color w:val="000000"/>
                <w:sz w:val="17"/>
              </w:rPr>
              <w:t>Motor LIA</w:t>
            </w:r>
          </w:p>
        </w:tc>
        <w:tc>
          <w:tcPr>
            <w:tcW w:type="dxa" w:w="1224"/>
            <w:tcMar>
              <w:top w:w="90" w:type="dxa"/>
              <w:start w:w="110" w:type="dxa"/>
              <w:bottom w:w="90" w:type="dxa"/>
              <w:end w:w="110" w:type="dxa"/>
            </w:tcMar>
            <w:vAlign w:val="center"/>
          </w:tcPr>
          <w:p>
            <w:pPr>
              <w:spacing w:after="0"/>
              <w:jc w:val="left"/>
            </w:pPr>
            <w:r>
              <w:rPr>
                <w:rFonts w:ascii="Aptos" w:hAnsi="Aptos"/>
                <w:color w:val="000000"/>
                <w:sz w:val="17"/>
              </w:rPr>
              <w:t>Polonia</w:t>
            </w:r>
          </w:p>
        </w:tc>
        <w:tc>
          <w:tcPr>
            <w:tcW w:type="dxa" w:w="4032"/>
            <w:tcMar>
              <w:top w:w="90" w:type="dxa"/>
              <w:start w:w="110" w:type="dxa"/>
              <w:bottom w:w="90" w:type="dxa"/>
              <w:end w:w="110" w:type="dxa"/>
            </w:tcMar>
            <w:vAlign w:val="center"/>
          </w:tcPr>
          <w:p>
            <w:pPr>
              <w:spacing w:after="0"/>
              <w:jc w:val="left"/>
            </w:pPr>
            <w:r>
              <w:rPr>
                <w:rFonts w:ascii="Aptos" w:hAnsi="Aptos"/>
                <w:color w:val="000000"/>
                <w:sz w:val="17"/>
              </w:rPr>
              <w:t>Mensajes archivos y clasificación</w:t>
            </w:r>
          </w:p>
        </w:tc>
        <w:tc>
          <w:tcPr>
            <w:tcW w:type="dxa" w:w="2664"/>
            <w:tcMar>
              <w:top w:w="90" w:type="dxa"/>
              <w:start w:w="110" w:type="dxa"/>
              <w:bottom w:w="90" w:type="dxa"/>
              <w:end w:w="110" w:type="dxa"/>
            </w:tcMar>
            <w:vAlign w:val="center"/>
          </w:tcPr>
          <w:p>
            <w:pPr>
              <w:spacing w:after="0"/>
              <w:jc w:val="left"/>
            </w:pPr>
            <w:r>
              <w:rPr>
                <w:rFonts w:ascii="Aptos" w:hAnsi="Aptos"/>
                <w:color w:val="000000"/>
                <w:sz w:val="17"/>
              </w:rPr>
              <w:t>Copia de mejora 18 meses</w:t>
            </w:r>
          </w:p>
        </w:tc>
      </w:tr>
    </w:tbl>
    <w:p>
      <w:pPr>
        <w:spacing w:after="40"/>
      </w:pPr>
    </w:p>
    <w:p>
      <w:pPr>
        <w:pStyle w:val="Heading1"/>
        <w:keepNext w:val="0"/>
        <w:spacing w:before="260" w:after="120"/>
        <w:ind w:left="0" w:firstLine="0"/>
        <w:jc w:val="left"/>
      </w:pPr>
      <w:r>
        <w:t>Registro de accesos al caso BR 8841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584"/>
            <w:shd w:fill="243E4E"/>
            <w:tcMar>
              <w:top w:w="90" w:type="dxa"/>
              <w:start w:w="110" w:type="dxa"/>
              <w:bottom w:w="90" w:type="dxa"/>
              <w:end w:w="110" w:type="dxa"/>
            </w:tcMar>
            <w:vAlign w:val="center"/>
          </w:tcPr>
          <w:p>
            <w:pPr>
              <w:jc w:val="center"/>
            </w:pPr>
            <w:r>
              <w:rPr>
                <w:rFonts w:ascii="Aptos" w:hAnsi="Aptos"/>
                <w:b/>
                <w:color w:val="FFFFFF"/>
                <w:sz w:val="17"/>
              </w:rPr>
              <w:t>Fecha</w:t>
            </w:r>
          </w:p>
        </w:tc>
        <w:tc>
          <w:tcPr>
            <w:tcW w:type="dxa" w:w="1296"/>
            <w:shd w:fill="243E4E"/>
            <w:tcMar>
              <w:top w:w="90" w:type="dxa"/>
              <w:start w:w="110" w:type="dxa"/>
              <w:bottom w:w="90" w:type="dxa"/>
              <w:end w:w="110" w:type="dxa"/>
            </w:tcMar>
            <w:vAlign w:val="center"/>
          </w:tcPr>
          <w:p>
            <w:pPr>
              <w:jc w:val="center"/>
            </w:pPr>
            <w:r>
              <w:rPr>
                <w:rFonts w:ascii="Aptos" w:hAnsi="Aptos"/>
                <w:b/>
                <w:color w:val="FFFFFF"/>
                <w:sz w:val="17"/>
              </w:rPr>
              <w:t>País</w:t>
            </w:r>
          </w:p>
        </w:tc>
        <w:tc>
          <w:tcPr>
            <w:tcW w:type="dxa" w:w="2376"/>
            <w:shd w:fill="243E4E"/>
            <w:tcMar>
              <w:top w:w="90" w:type="dxa"/>
              <w:start w:w="110" w:type="dxa"/>
              <w:bottom w:w="90" w:type="dxa"/>
              <w:end w:w="110" w:type="dxa"/>
            </w:tcMar>
            <w:vAlign w:val="center"/>
          </w:tcPr>
          <w:p>
            <w:pPr>
              <w:jc w:val="center"/>
            </w:pPr>
            <w:r>
              <w:rPr>
                <w:rFonts w:ascii="Aptos" w:hAnsi="Aptos"/>
                <w:b/>
                <w:color w:val="FFFFFF"/>
                <w:sz w:val="17"/>
              </w:rPr>
              <w:t>Rol</w:t>
            </w:r>
          </w:p>
        </w:tc>
        <w:tc>
          <w:tcPr>
            <w:tcW w:type="dxa" w:w="4464"/>
            <w:shd w:fill="243E4E"/>
            <w:tcMar>
              <w:top w:w="90" w:type="dxa"/>
              <w:start w:w="110" w:type="dxa"/>
              <w:bottom w:w="90" w:type="dxa"/>
              <w:end w:w="110" w:type="dxa"/>
            </w:tcMar>
            <w:vAlign w:val="center"/>
          </w:tcPr>
          <w:p>
            <w:pPr>
              <w:jc w:val="center"/>
            </w:pPr>
            <w:r>
              <w:rPr>
                <w:rFonts w:ascii="Aptos" w:hAnsi="Aptos"/>
                <w:b/>
                <w:color w:val="FFFFFF"/>
                <w:sz w:val="17"/>
              </w:rPr>
              <w:t>Acción</w:t>
            </w:r>
          </w:p>
        </w:tc>
      </w:tr>
      <w:tr>
        <w:tc>
          <w:tcPr>
            <w:tcW w:type="dxa" w:w="1584"/>
            <w:tcMar>
              <w:top w:w="90" w:type="dxa"/>
              <w:start w:w="110" w:type="dxa"/>
              <w:bottom w:w="90" w:type="dxa"/>
              <w:end w:w="110" w:type="dxa"/>
            </w:tcMar>
            <w:vAlign w:val="center"/>
          </w:tcPr>
          <w:p>
            <w:pPr>
              <w:spacing w:after="0"/>
              <w:jc w:val="center"/>
            </w:pPr>
            <w:r>
              <w:rPr>
                <w:rFonts w:ascii="Aptos" w:hAnsi="Aptos"/>
                <w:color w:val="000000"/>
                <w:sz w:val="17"/>
              </w:rPr>
              <w:t>29 agosto</w:t>
            </w:r>
          </w:p>
        </w:tc>
        <w:tc>
          <w:tcPr>
            <w:tcW w:type="dxa" w:w="1296"/>
            <w:tcMar>
              <w:top w:w="90" w:type="dxa"/>
              <w:start w:w="110" w:type="dxa"/>
              <w:bottom w:w="90" w:type="dxa"/>
              <w:end w:w="110" w:type="dxa"/>
            </w:tcMar>
            <w:vAlign w:val="center"/>
          </w:tcPr>
          <w:p>
            <w:pPr>
              <w:spacing w:after="0"/>
              <w:jc w:val="left"/>
            </w:pPr>
            <w:r>
              <w:rPr>
                <w:rFonts w:ascii="Aptos" w:hAnsi="Aptos"/>
                <w:color w:val="000000"/>
                <w:sz w:val="17"/>
              </w:rPr>
              <w:t>Polonia</w:t>
            </w:r>
          </w:p>
        </w:tc>
        <w:tc>
          <w:tcPr>
            <w:tcW w:type="dxa" w:w="2376"/>
            <w:tcMar>
              <w:top w:w="90" w:type="dxa"/>
              <w:start w:w="110" w:type="dxa"/>
              <w:bottom w:w="90" w:type="dxa"/>
              <w:end w:w="110" w:type="dxa"/>
            </w:tcMar>
            <w:vAlign w:val="center"/>
          </w:tcPr>
          <w:p>
            <w:pPr>
              <w:spacing w:after="0"/>
              <w:jc w:val="left"/>
            </w:pPr>
            <w:r>
              <w:rPr>
                <w:rFonts w:ascii="Aptos" w:hAnsi="Aptos"/>
                <w:color w:val="000000"/>
                <w:sz w:val="17"/>
              </w:rPr>
              <w:t>Motor automático</w:t>
            </w:r>
          </w:p>
        </w:tc>
        <w:tc>
          <w:tcPr>
            <w:tcW w:type="dxa" w:w="4464"/>
            <w:tcMar>
              <w:top w:w="90" w:type="dxa"/>
              <w:start w:w="110" w:type="dxa"/>
              <w:bottom w:w="90" w:type="dxa"/>
              <w:end w:w="110" w:type="dxa"/>
            </w:tcMar>
            <w:vAlign w:val="center"/>
          </w:tcPr>
          <w:p>
            <w:pPr>
              <w:spacing w:after="0"/>
              <w:jc w:val="left"/>
            </w:pPr>
            <w:r>
              <w:rPr>
                <w:rFonts w:ascii="Aptos" w:hAnsi="Aptos"/>
                <w:color w:val="000000"/>
                <w:sz w:val="17"/>
              </w:rPr>
              <w:t>Clasificó y extrajo datos</w:t>
            </w:r>
          </w:p>
        </w:tc>
      </w:tr>
      <w:tr>
        <w:tc>
          <w:tcPr>
            <w:tcW w:type="dxa" w:w="1584"/>
            <w:shd w:fill="EFF4F5"/>
            <w:tcMar>
              <w:top w:w="90" w:type="dxa"/>
              <w:start w:w="110" w:type="dxa"/>
              <w:bottom w:w="90" w:type="dxa"/>
              <w:end w:w="110" w:type="dxa"/>
            </w:tcMar>
            <w:vAlign w:val="center"/>
          </w:tcPr>
          <w:p>
            <w:pPr>
              <w:spacing w:after="0"/>
              <w:jc w:val="center"/>
            </w:pPr>
            <w:r>
              <w:rPr>
                <w:rFonts w:ascii="Aptos" w:hAnsi="Aptos"/>
                <w:color w:val="000000"/>
                <w:sz w:val="17"/>
              </w:rPr>
              <w:t>30 agosto</w:t>
            </w:r>
          </w:p>
        </w:tc>
        <w:tc>
          <w:tcPr>
            <w:tcW w:type="dxa" w:w="1296"/>
            <w:shd w:fill="EFF4F5"/>
            <w:tcMar>
              <w:top w:w="90" w:type="dxa"/>
              <w:start w:w="110" w:type="dxa"/>
              <w:bottom w:w="90" w:type="dxa"/>
              <w:end w:w="110" w:type="dxa"/>
            </w:tcMar>
            <w:vAlign w:val="center"/>
          </w:tcPr>
          <w:p>
            <w:pPr>
              <w:spacing w:after="0"/>
              <w:jc w:val="left"/>
            </w:pPr>
            <w:r>
              <w:rPr>
                <w:rFonts w:ascii="Aptos" w:hAnsi="Aptos"/>
                <w:color w:val="000000"/>
                <w:sz w:val="17"/>
              </w:rPr>
              <w:t>Colombia</w:t>
            </w:r>
          </w:p>
        </w:tc>
        <w:tc>
          <w:tcPr>
            <w:tcW w:type="dxa" w:w="2376"/>
            <w:shd w:fill="EFF4F5"/>
            <w:tcMar>
              <w:top w:w="90" w:type="dxa"/>
              <w:start w:w="110" w:type="dxa"/>
              <w:bottom w:w="90" w:type="dxa"/>
              <w:end w:w="110" w:type="dxa"/>
            </w:tcMar>
            <w:vAlign w:val="center"/>
          </w:tcPr>
          <w:p>
            <w:pPr>
              <w:spacing w:after="0"/>
              <w:jc w:val="left"/>
            </w:pPr>
            <w:r>
              <w:rPr>
                <w:rFonts w:ascii="Aptos" w:hAnsi="Aptos"/>
                <w:color w:val="000000"/>
                <w:sz w:val="17"/>
              </w:rPr>
              <w:t>Supervisión</w:t>
            </w:r>
          </w:p>
        </w:tc>
        <w:tc>
          <w:tcPr>
            <w:tcW w:type="dxa" w:w="4464"/>
            <w:shd w:fill="EFF4F5"/>
            <w:tcMar>
              <w:top w:w="90" w:type="dxa"/>
              <w:start w:w="110" w:type="dxa"/>
              <w:bottom w:w="90" w:type="dxa"/>
              <w:end w:w="110" w:type="dxa"/>
            </w:tcMar>
            <w:vAlign w:val="center"/>
          </w:tcPr>
          <w:p>
            <w:pPr>
              <w:spacing w:after="0"/>
              <w:jc w:val="left"/>
            </w:pPr>
            <w:r>
              <w:rPr>
                <w:rFonts w:ascii="Aptos" w:hAnsi="Aptos"/>
                <w:color w:val="000000"/>
                <w:sz w:val="17"/>
              </w:rPr>
              <w:t>Leyó chat e informe</w:t>
            </w:r>
          </w:p>
        </w:tc>
      </w:tr>
      <w:tr>
        <w:tc>
          <w:tcPr>
            <w:tcW w:type="dxa" w:w="1584"/>
            <w:tcMar>
              <w:top w:w="90" w:type="dxa"/>
              <w:start w:w="110" w:type="dxa"/>
              <w:bottom w:w="90" w:type="dxa"/>
              <w:end w:w="110" w:type="dxa"/>
            </w:tcMar>
            <w:vAlign w:val="center"/>
          </w:tcPr>
          <w:p>
            <w:pPr>
              <w:spacing w:after="0"/>
              <w:jc w:val="center"/>
            </w:pPr>
            <w:r>
              <w:rPr>
                <w:rFonts w:ascii="Aptos" w:hAnsi="Aptos"/>
                <w:color w:val="000000"/>
                <w:sz w:val="17"/>
              </w:rPr>
              <w:t>31 agosto</w:t>
            </w:r>
          </w:p>
        </w:tc>
        <w:tc>
          <w:tcPr>
            <w:tcW w:type="dxa" w:w="1296"/>
            <w:tcMar>
              <w:top w:w="90" w:type="dxa"/>
              <w:start w:w="110" w:type="dxa"/>
              <w:bottom w:w="90" w:type="dxa"/>
              <w:end w:w="110" w:type="dxa"/>
            </w:tcMar>
            <w:vAlign w:val="center"/>
          </w:tcPr>
          <w:p>
            <w:pPr>
              <w:spacing w:after="0"/>
              <w:jc w:val="left"/>
            </w:pPr>
            <w:r>
              <w:rPr>
                <w:rFonts w:ascii="Aptos" w:hAnsi="Aptos"/>
                <w:color w:val="000000"/>
                <w:sz w:val="17"/>
              </w:rPr>
              <w:t>México</w:t>
            </w:r>
          </w:p>
        </w:tc>
        <w:tc>
          <w:tcPr>
            <w:tcW w:type="dxa" w:w="2376"/>
            <w:tcMar>
              <w:top w:w="90" w:type="dxa"/>
              <w:start w:w="110" w:type="dxa"/>
              <w:bottom w:w="90" w:type="dxa"/>
              <w:end w:w="110" w:type="dxa"/>
            </w:tcMar>
            <w:vAlign w:val="center"/>
          </w:tcPr>
          <w:p>
            <w:pPr>
              <w:spacing w:after="0"/>
              <w:jc w:val="left"/>
            </w:pPr>
            <w:r>
              <w:rPr>
                <w:rFonts w:ascii="Aptos" w:hAnsi="Aptos"/>
                <w:color w:val="000000"/>
                <w:sz w:val="17"/>
              </w:rPr>
              <w:t>Operaciones</w:t>
            </w:r>
          </w:p>
        </w:tc>
        <w:tc>
          <w:tcPr>
            <w:tcW w:type="dxa" w:w="4464"/>
            <w:tcMar>
              <w:top w:w="90" w:type="dxa"/>
              <w:start w:w="110" w:type="dxa"/>
              <w:bottom w:w="90" w:type="dxa"/>
              <w:end w:w="110" w:type="dxa"/>
            </w:tcMar>
            <w:vAlign w:val="center"/>
          </w:tcPr>
          <w:p>
            <w:pPr>
              <w:spacing w:after="0"/>
              <w:jc w:val="left"/>
            </w:pPr>
            <w:r>
              <w:rPr>
                <w:rFonts w:ascii="Aptos" w:hAnsi="Aptos"/>
                <w:color w:val="000000"/>
                <w:sz w:val="17"/>
              </w:rPr>
              <w:t>Leyó serie y dirección</w:t>
            </w:r>
          </w:p>
        </w:tc>
      </w:tr>
      <w:tr>
        <w:tc>
          <w:tcPr>
            <w:tcW w:type="dxa" w:w="1584"/>
            <w:shd w:fill="EFF4F5"/>
            <w:tcMar>
              <w:top w:w="90" w:type="dxa"/>
              <w:start w:w="110" w:type="dxa"/>
              <w:bottom w:w="90" w:type="dxa"/>
              <w:end w:w="110" w:type="dxa"/>
            </w:tcMar>
            <w:vAlign w:val="center"/>
          </w:tcPr>
          <w:p>
            <w:pPr>
              <w:spacing w:after="0"/>
              <w:jc w:val="center"/>
            </w:pPr>
            <w:r>
              <w:rPr>
                <w:rFonts w:ascii="Aptos" w:hAnsi="Aptos"/>
                <w:color w:val="000000"/>
                <w:sz w:val="17"/>
              </w:rPr>
              <w:t>2 septiembre</w:t>
            </w:r>
          </w:p>
        </w:tc>
        <w:tc>
          <w:tcPr>
            <w:tcW w:type="dxa" w:w="1296"/>
            <w:shd w:fill="EFF4F5"/>
            <w:tcMar>
              <w:top w:w="90" w:type="dxa"/>
              <w:start w:w="110" w:type="dxa"/>
              <w:bottom w:w="90" w:type="dxa"/>
              <w:end w:w="110" w:type="dxa"/>
            </w:tcMar>
            <w:vAlign w:val="center"/>
          </w:tcPr>
          <w:p>
            <w:pPr>
              <w:spacing w:after="0"/>
              <w:jc w:val="left"/>
            </w:pPr>
            <w:r>
              <w:rPr>
                <w:rFonts w:ascii="Aptos" w:hAnsi="Aptos"/>
                <w:color w:val="000000"/>
                <w:sz w:val="17"/>
              </w:rPr>
              <w:t>Colombia</w:t>
            </w:r>
          </w:p>
        </w:tc>
        <w:tc>
          <w:tcPr>
            <w:tcW w:type="dxa" w:w="2376"/>
            <w:shd w:fill="EFF4F5"/>
            <w:tcMar>
              <w:top w:w="90" w:type="dxa"/>
              <w:start w:w="110" w:type="dxa"/>
              <w:bottom w:w="90" w:type="dxa"/>
              <w:end w:w="110" w:type="dxa"/>
            </w:tcMar>
            <w:vAlign w:val="center"/>
          </w:tcPr>
          <w:p>
            <w:pPr>
              <w:spacing w:after="0"/>
              <w:jc w:val="left"/>
            </w:pPr>
            <w:r>
              <w:rPr>
                <w:rFonts w:ascii="Aptos" w:hAnsi="Aptos"/>
                <w:color w:val="000000"/>
                <w:sz w:val="17"/>
              </w:rPr>
              <w:t>Comercial</w:t>
            </w:r>
          </w:p>
        </w:tc>
        <w:tc>
          <w:tcPr>
            <w:tcW w:type="dxa" w:w="4464"/>
            <w:shd w:fill="EFF4F5"/>
            <w:tcMar>
              <w:top w:w="90" w:type="dxa"/>
              <w:start w:w="110" w:type="dxa"/>
              <w:bottom w:w="90" w:type="dxa"/>
              <w:end w:w="110" w:type="dxa"/>
            </w:tcMar>
            <w:vAlign w:val="center"/>
          </w:tcPr>
          <w:p>
            <w:pPr>
              <w:spacing w:after="0"/>
              <w:jc w:val="left"/>
            </w:pPr>
            <w:r>
              <w:rPr>
                <w:rFonts w:ascii="Aptos" w:hAnsi="Aptos"/>
                <w:color w:val="000000"/>
                <w:sz w:val="17"/>
              </w:rPr>
              <w:t>Añadió oferta de cupón</w:t>
            </w:r>
          </w:p>
        </w:tc>
      </w:tr>
      <w:tr>
        <w:tc>
          <w:tcPr>
            <w:tcW w:type="dxa" w:w="1584"/>
            <w:tcMar>
              <w:top w:w="90" w:type="dxa"/>
              <w:start w:w="110" w:type="dxa"/>
              <w:bottom w:w="90" w:type="dxa"/>
              <w:end w:w="110" w:type="dxa"/>
            </w:tcMar>
            <w:vAlign w:val="center"/>
          </w:tcPr>
          <w:p>
            <w:pPr>
              <w:spacing w:after="0"/>
              <w:jc w:val="center"/>
            </w:pPr>
            <w:r>
              <w:rPr>
                <w:rFonts w:ascii="Aptos" w:hAnsi="Aptos"/>
                <w:color w:val="000000"/>
                <w:sz w:val="17"/>
              </w:rPr>
              <w:t>2 septiembre</w:t>
            </w:r>
          </w:p>
        </w:tc>
        <w:tc>
          <w:tcPr>
            <w:tcW w:type="dxa" w:w="1296"/>
            <w:tcMar>
              <w:top w:w="90" w:type="dxa"/>
              <w:start w:w="110" w:type="dxa"/>
              <w:bottom w:w="90" w:type="dxa"/>
              <w:end w:w="110" w:type="dxa"/>
            </w:tcMar>
            <w:vAlign w:val="center"/>
          </w:tcPr>
          <w:p>
            <w:pPr>
              <w:spacing w:after="0"/>
              <w:jc w:val="left"/>
            </w:pPr>
            <w:r>
              <w:rPr>
                <w:rFonts w:ascii="Aptos" w:hAnsi="Aptos"/>
                <w:color w:val="000000"/>
                <w:sz w:val="17"/>
              </w:rPr>
              <w:t>Polonia</w:t>
            </w:r>
          </w:p>
        </w:tc>
        <w:tc>
          <w:tcPr>
            <w:tcW w:type="dxa" w:w="2376"/>
            <w:tcMar>
              <w:top w:w="90" w:type="dxa"/>
              <w:start w:w="110" w:type="dxa"/>
              <w:bottom w:w="90" w:type="dxa"/>
              <w:end w:w="110" w:type="dxa"/>
            </w:tcMar>
            <w:vAlign w:val="center"/>
          </w:tcPr>
          <w:p>
            <w:pPr>
              <w:spacing w:after="0"/>
              <w:jc w:val="left"/>
            </w:pPr>
            <w:r>
              <w:rPr>
                <w:rFonts w:ascii="Aptos" w:hAnsi="Aptos"/>
                <w:color w:val="000000"/>
                <w:sz w:val="17"/>
              </w:rPr>
              <w:t>Analítica</w:t>
            </w:r>
          </w:p>
        </w:tc>
        <w:tc>
          <w:tcPr>
            <w:tcW w:type="dxa" w:w="4464"/>
            <w:tcMar>
              <w:top w:w="90" w:type="dxa"/>
              <w:start w:w="110" w:type="dxa"/>
              <w:bottom w:w="90" w:type="dxa"/>
              <w:end w:w="110" w:type="dxa"/>
            </w:tcMar>
            <w:vAlign w:val="center"/>
          </w:tcPr>
          <w:p>
            <w:pPr>
              <w:spacing w:after="0"/>
              <w:jc w:val="left"/>
            </w:pPr>
            <w:r>
              <w:rPr>
                <w:rFonts w:ascii="Aptos" w:hAnsi="Aptos"/>
                <w:color w:val="000000"/>
                <w:sz w:val="17"/>
              </w:rPr>
              <w:t>Copió conversación a conjunto de mejora</w:t>
            </w:r>
          </w:p>
        </w:tc>
      </w:tr>
    </w:tbl>
    <w:p>
      <w:pPr>
        <w:spacing w:after="40"/>
      </w:pPr>
    </w:p>
    <w:p>
      <w:r>
        <w:t>Las tablas reproducen registros internos ficticios. No prueban por sí solas roles jurídicos, licitud o ilicitud, ni que Mariana conociera cada flujo. La copia para mejora registrada el 2 de septiembre ocurrió antes de la negativa expresa de Mariana del 3 de septiembre.</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352"/>
      <w:gridCol w:w="1512"/>
    </w:tblGrid>
    <w:tr>
      <w:tc>
        <w:tcPr>
          <w:tcW w:type="dxa" w:w="4932"/>
        </w:tcPr>
        <w:p>
          <w:r>
            <w:rPr>
              <w:rFonts w:ascii="Aptos" w:hAnsi="Aptos"/>
              <w:color w:val="555555"/>
              <w:sz w:val="17"/>
            </w:rPr>
            <w:t>Caso ficticio para uso educativo  ·  11 de septiembre de 2026</w:t>
          </w:r>
        </w:p>
      </w:tc>
      <w:tc>
        <w:tcPr>
          <w:tcW w:type="dxa" w:w="4932"/>
        </w:tcPr>
        <w:p>
          <w:pPr>
            <w:jc w:val="right"/>
          </w:pPr>
          <w:r>
            <w:rPr>
              <w:rFonts w:ascii="Aptos" w:hAnsi="Aptos"/>
              <w:color w:val="000000"/>
              <w:sz w:val="18"/>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43E4E"/>
        <w:sz w:val="17"/>
      </w:rPr>
      <w:t>BRISA INTERNACIONAL  D06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260" w:after="120"/>
      <w:ind w:left="0" w:firstLine="0"/>
      <w:jc w:val="left"/>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val="0"/>
      <w:keepLines/>
      <w:spacing w:before="200" w:after="80"/>
      <w:ind w:left="0" w:firstLine="0"/>
      <w:jc w:val="left"/>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200" w:line="240" w:lineRule="auto" w:before="320"/>
      <w:ind w:left="0" w:firstLine="0"/>
      <w:contextualSpacing/>
      <w:jc w:val="left"/>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Privacidad y flujo de datos</dc:title>
  <dc:subject>AI and Access to Justice Innovation Challenge Puebla</dc:subject>
  <dc:creator>Material educativo ficticio</dc:creator>
  <cp:keywords/>
  <dc:description>generated by python-docx</dc:description>
  <cp:lastModifiedBy/>
  <cp:revision>1</cp:revision>
  <dcterms:created xsi:type="dcterms:W3CDTF">2013-12-23T23:15:00Z</dcterms:created>
  <dcterms:modified xsi:type="dcterms:W3CDTF">2013-12-23T23:15:00Z</dcterms:modified>
  <cp:category/>
</cp:coreProperties>
</file>