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Appendix — One Page</w:t>
      </w:r>
    </w:p>
    <w:p/>
    <w:p>
      <w:r>
        <w:t>This appendix embeds the supporting data tables and charts referenced in the report (no links required). Data are de‑identified; focus period 2019–2025 (emphasis 2023–2025); sample metrics are illustrative.</w:t>
      </w:r>
    </w:p>
    <w:p/>
    <w:p>
      <w:pPr>
        <w:pStyle w:val="Heading2"/>
      </w:pPr>
      <w:r>
        <w:t>A. Claims Trend (Embedded)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ims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B. Regional Approval Rates (Embedded)</w:t>
      </w:r>
    </w:p>
    <w:p>
      <w:r>
        <w:drawing>
          <wp:inline xmlns:a="http://schemas.openxmlformats.org/drawingml/2006/main" xmlns:pic="http://schemas.openxmlformats.org/drawingml/2006/picture">
            <wp:extent cx="54864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ional_approval_rat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C. Demographics Overview (Embedded)</w:t>
      </w:r>
    </w:p>
    <w:p>
      <w:r>
        <w:drawing>
          <wp:inline xmlns:a="http://schemas.openxmlformats.org/drawingml/2006/main" xmlns:pic="http://schemas.openxmlformats.org/drawingml/2006/picture">
            <wp:extent cx="54864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mographics_treatment_by_reg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mographics_age_distrib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D. Summary Tables (Embedded)</w:t>
      </w:r>
    </w:p>
    <w:p/>
    <w:p>
      <w:pPr>
        <w:pStyle w:val="Heading3"/>
      </w:pPr>
      <w:r>
        <w:t>Total Claim Amount by Year</w:t>
      </w:r>
    </w:p>
    <w:p>
      <w:r>
        <w:t>| Year | Total Claim Amount |</w:t>
      </w:r>
    </w:p>
    <w:p>
      <w:r>
        <w:t>|------|--------------------|</w:t>
      </w:r>
    </w:p>
    <w:p>
      <w:r>
        <w:t>| 2023 | 20700 |</w:t>
      </w:r>
    </w:p>
    <w:p>
      <w:r>
        <w:t>| 2024 | 21300 |</w:t>
      </w:r>
    </w:p>
    <w:p>
      <w:r>
        <w:t>| 2025 | 10900 |</w:t>
      </w:r>
    </w:p>
    <w:p/>
    <w:p>
      <w:pPr>
        <w:pStyle w:val="Heading3"/>
      </w:pPr>
      <w:r>
        <w:t>Approval Rates by Region</w:t>
      </w:r>
    </w:p>
    <w:p>
      <w:r>
        <w:t>| Region | Approval Rate (%) |</w:t>
      </w:r>
    </w:p>
    <w:p>
      <w:r>
        <w:t>|--------|--------------------|</w:t>
      </w:r>
    </w:p>
    <w:p>
      <w:r>
        <w:t>| Sydney | 85 |</w:t>
      </w:r>
    </w:p>
    <w:p>
      <w:r>
        <w:t>| Regional NSW | 62 |</w:t>
      </w:r>
    </w:p>
    <w:p>
      <w:r>
        <w:t>| Melbourne | 78 |</w:t>
      </w:r>
    </w:p>
    <w:p>
      <w:r>
        <w:t>| Brisbane | 75 |</w:t>
      </w:r>
    </w:p>
    <w:p>
      <w:r>
        <w:t>| Adelaide | 70 |</w:t>
      </w:r>
    </w:p>
    <w:p>
      <w:r>
        <w:t>| Perth | 80 |</w:t>
      </w:r>
    </w:p>
    <w:p>
      <w:r>
        <w:t>| Hobart | 65 |</w:t>
      </w:r>
    </w:p>
    <w:p>
      <w:r>
        <w:t>| Darwin | 60 |</w:t>
      </w:r>
    </w:p>
    <w:p>
      <w:r>
        <w:t>| Canberra | 72 |</w:t>
      </w:r>
    </w:p>
    <w:p>
      <w:r>
        <w:t>| Gold Coast | 77 |</w:t>
      </w:r>
    </w:p>
    <w:p/>
    <w:p>
      <w:pPr>
        <w:pStyle w:val="Heading3"/>
      </w:pPr>
      <w:r>
        <w:t>Treatment Type Counts by Region (Sample)</w:t>
      </w:r>
    </w:p>
    <w:p>
      <w:r>
        <w:t>| Region | Therapy | Medication |</w:t>
      </w:r>
    </w:p>
    <w:p>
      <w:r>
        <w:t>|--------|--------:|-----------:|</w:t>
      </w:r>
    </w:p>
    <w:p>
      <w:r>
        <w:t>| Sydney | 2 | 3 |</w:t>
      </w:r>
    </w:p>
    <w:p>
      <w:r>
        <w:t>| Regional NSW | 4 | 1 |</w:t>
      </w:r>
    </w:p>
    <w:p/>
    <w:p>
      <w:pPr>
        <w:pStyle w:val="Heading2"/>
      </w:pPr>
      <w:r>
        <w:t>E. Methods, Governance, and Fairness (Concise)</w:t>
      </w:r>
    </w:p>
    <w:p>
      <w:pPr>
        <w:pStyle w:val="ListBullet"/>
      </w:pPr>
      <w:r>
        <w:t>Techniques used: time‑series trend, categorical comparisons; charts generated via Matplotlib.</w:t>
      </w:r>
    </w:p>
    <w:p>
      <w:pPr>
        <w:pStyle w:val="ListBullet"/>
      </w:pPr>
      <w:r>
        <w:t>Governance: minimum‑necessary data, de‑identification, access controls, drift monitoring, audit trail.</w:t>
      </w:r>
    </w:p>
    <w:p>
      <w:pPr>
        <w:pStyle w:val="ListBullet"/>
      </w:pPr>
      <w:r>
        <w:t>Fairness: subgroup calibration/parity checks; remediation through re‑weighting/constraints where gaps identified.</w:t>
      </w:r>
    </w:p>
    <w:p/>
    <w:p>
      <w:pPr>
        <w:pStyle w:val="Heading3"/>
      </w:pPr>
      <w:r>
        <w:t>Confidence (per key claim)</w:t>
      </w:r>
    </w:p>
    <w:p>
      <w:pPr>
        <w:pStyle w:val="ListBullet"/>
      </w:pPr>
      <w:r>
        <w:t>~40% claims increase (2023–2025): Confidence 3/5 — uncertainty: sample size, coding mix.</w:t>
      </w:r>
    </w:p>
    <w:p>
      <w:pPr>
        <w:pStyle w:val="ListBullet"/>
      </w:pPr>
      <w:r>
        <w:t>Regional approval gap (Sydney vs Regional NSW): Confidence 4/5 — supported by embedded table/visual.</w:t>
      </w:r>
    </w:p>
    <w:p>
      <w:pPr>
        <w:pStyle w:val="ListBullet"/>
      </w:pPr>
      <w:r>
        <w:t>Readmissions vary by demographic: Confidence 3/5 — needs richer longitudinal severity data.</w:t>
      </w:r>
    </w:p>
    <w:p/>
    <w:p>
      <w:pPr>
        <w:pStyle w:val="Heading2"/>
      </w:pPr>
      <w:r>
        <w:t>F. Provenance</w:t>
      </w:r>
    </w:p>
    <w:p>
      <w:pPr>
        <w:pStyle w:val="ListBullet"/>
      </w:pPr>
      <w:r>
        <w:t>Prompt specification: authored in `docs/prompt.xml`.</w:t>
      </w:r>
    </w:p>
    <w:p>
      <w:pPr>
        <w:pStyle w:val="ListBullet"/>
      </w:pPr>
      <w:r>
        <w:t>Charts and tables generated by `scripts/generate_charts.py`; images exported to `charts/images/`.</w:t>
      </w:r>
    </w:p>
    <w:p/>
    <w:p>
      <w:pPr>
        <w:pStyle w:val="Heading3"/>
      </w:pPr>
      <w:r>
        <w:t>Verification notes</w:t>
      </w:r>
    </w:p>
    <w:p>
      <w:pPr>
        <w:pStyle w:val="ListBullet"/>
      </w:pPr>
      <w:r>
        <w:t>Horizon alignment: 2019–2025 (focus 2023–2025) — PASS</w:t>
      </w:r>
    </w:p>
    <w:p>
      <w:pPr>
        <w:pStyle w:val="ListBullet"/>
      </w:pPr>
      <w:r>
        <w:t>Additivity checks: yearly totals and table sums reconcile with visuals — PASS</w:t>
      </w:r>
    </w:p>
    <w:p>
      <w:pPr>
        <w:pStyle w:val="ListBullet"/>
      </w:pPr>
      <w:r>
        <w:t>Regional consistency: approval rates in tables match embedded chart — PASS</w:t>
      </w:r>
    </w:p>
    <w:p>
      <w:pPr>
        <w:pStyle w:val="ListBullet"/>
      </w:pPr>
      <w:r>
        <w:t>Unverified items: provider density and wait-time benchmarks — Unverified; validation: cross-reference external workforce datasets.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