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HealthGuard Mental Health Claims — One-Page Report</w:t>
      </w:r>
    </w:p>
    <w:p/>
    <w:p>
      <w:pPr>
        <w:pStyle w:val="Heading2"/>
      </w:pPr>
      <w:r>
        <w:t>Executive Summary</w:t>
      </w:r>
    </w:p>
    <w:p>
      <w:r>
        <w:t>Claims rose ~40% (2023–2025) while 2019-era models underpriced risk. Key drivers are post‑pandemic demand, telehealth‑enabled utilization, coding/diagnosis drift, and inflation. Approval rates differ markedly (Sydney ~85% vs Regional NSW ~62%), and readmissions vary by demographic, signalling access and process variation. We propose a focused set of model, data, and governance upgrades.</w:t>
      </w:r>
    </w:p>
    <w:p/>
    <w:p>
      <w:pPr>
        <w:pStyle w:val="Heading2"/>
      </w:pPr>
      <w:r>
        <w:t>Reasoning Summary</w:t>
      </w:r>
    </w:p>
    <w:p>
      <w:r>
        <w:t>We considered competing hypotheses: demand shift (prevalence, stigma), access via telehealth, coding/inflation drift, and regional process/access differences. Trend charts and annual totals support a sustained post‑2023 utilization rise; regional approvals and demographics visuals indicate material access/process variation. Coding mix and inflation plausibly amplify costs beyond utilization alone. We judge demand + telehealth + coding/inflation as primary drivers, with regional variation moderating realized approvals and costs. Residual uncertainty stems from sample size, missing provider/network details, and unobserved severity.</w:t>
      </w:r>
    </w:p>
    <w:p/>
    <w:p>
      <w:pPr>
        <w:pStyle w:val="Heading2"/>
      </w:pPr>
      <w:r>
        <w:t>Root Causes (condensed)</w:t>
      </w:r>
    </w:p>
    <w:p>
      <w:pPr>
        <w:pStyle w:val="ListBullet"/>
      </w:pPr>
      <w:r>
        <w:t>Demand shift: higher prevalence, reduced stigma, earlier help‑seeking.</w:t>
      </w:r>
    </w:p>
    <w:p>
      <w:pPr>
        <w:pStyle w:val="ListBullet"/>
      </w:pPr>
      <w:r>
        <w:t>Modality mix: telehealth increased access and encounter frequency.</w:t>
      </w:r>
    </w:p>
    <w:p>
      <w:pPr>
        <w:pStyle w:val="ListBullet"/>
      </w:pPr>
      <w:r>
        <w:t>Drift and inflation: diagnosis/CPT patterns and unit costs changed.</w:t>
      </w:r>
    </w:p>
    <w:p/>
    <w:p>
      <w:pPr>
        <w:pStyle w:val="Heading2"/>
      </w:pPr>
      <w:r>
        <w:t>Data Gaps (priority)</w:t>
      </w:r>
    </w:p>
    <w:p>
      <w:pPr>
        <w:pStyle w:val="ListBullet"/>
      </w:pPr>
      <w:r>
        <w:t>Structured: encounter‑level modality/CPT, treatment intensity, provider/network, inflation index, geography.</w:t>
      </w:r>
    </w:p>
    <w:p>
      <w:pPr>
        <w:pStyle w:val="ListBullet"/>
      </w:pPr>
      <w:r>
        <w:t>Unstructured: de‑identified clinical notes and PROs for effectiveness signals.</w:t>
      </w:r>
    </w:p>
    <w:p>
      <w:pPr>
        <w:pStyle w:val="ListBullet"/>
      </w:pPr>
      <w:r>
        <w:t>Operations: PA/denial reasons, appeal outcomes, documentation quality.</w:t>
      </w:r>
    </w:p>
    <w:p/>
    <w:p>
      <w:pPr>
        <w:pStyle w:val="Heading2"/>
      </w:pPr>
      <w:r>
        <w:t>Regional Disparities (signals)</w:t>
      </w:r>
    </w:p>
    <w:p>
      <w:pPr>
        <w:pStyle w:val="ListBullet"/>
      </w:pPr>
      <w:r>
        <w:t>Access: provider density, in‑network ratio, wait times constrain approvals.</w:t>
      </w:r>
    </w:p>
    <w:p>
      <w:pPr>
        <w:pStyle w:val="ListBullet"/>
      </w:pPr>
      <w:r>
        <w:t>Process: adjudication criteria and documentation standards vary.</w:t>
      </w:r>
    </w:p>
    <w:p>
      <w:pPr>
        <w:pStyle w:val="ListBullet"/>
      </w:pPr>
      <w:r>
        <w:t>Case mix: severity/comorbidity differences by region/demographic.</w:t>
      </w:r>
    </w:p>
    <w:p/>
    <w:p>
      <w:pPr>
        <w:pStyle w:val="Heading2"/>
      </w:pPr>
      <w:r>
        <w:t>Ethics &amp; Governance (essentials)</w:t>
      </w:r>
    </w:p>
    <w:p>
      <w:pPr>
        <w:pStyle w:val="ListBullet"/>
      </w:pPr>
      <w:r>
        <w:t>Privacy: minimum‑necessary data; strict access controls.</w:t>
      </w:r>
    </w:p>
    <w:p>
      <w:pPr>
        <w:pStyle w:val="ListBullet"/>
      </w:pPr>
      <w:r>
        <w:t>Fairness: subgroup calibration/parity checks with remediation.</w:t>
      </w:r>
    </w:p>
    <w:p>
      <w:pPr>
        <w:pStyle w:val="ListBullet"/>
      </w:pPr>
      <w:r>
        <w:t>Oversight: drift monitoring, model cards, audit cadence.</w:t>
      </w:r>
    </w:p>
    <w:p/>
    <w:p>
      <w:pPr>
        <w:pStyle w:val="Heading2"/>
      </w:pPr>
      <w:r>
        <w:t>Recommendations (90–180 days)</w:t>
      </w:r>
    </w:p>
    <w:p>
      <w:r>
        <w:t>1) Modernize models with encounter‑level, telehealth, and inflation features; add drift monitoring.</w:t>
      </w:r>
    </w:p>
    <w:p>
      <w:r>
        <w:t>2) Expand data pipelines (claims + demographics + PA/denials + de‑identified notes + PROs).</w:t>
      </w:r>
    </w:p>
    <w:p>
      <w:r>
        <w:t>3) Standardize regional adjudication and provider documentation; expand regional access via telehealth.</w:t>
      </w:r>
    </w:p>
    <w:p>
      <w:r>
        <w:t>4) Implement fairness audits (calibration/parity) and governance (versioning, KPIs, transparency).</w:t>
      </w:r>
    </w:p>
    <w:p/>
    <w:p>
      <w:r>
        <w:t>— Confidence &amp; Evidence: Confidence 3/5; Evidence: Appendix A–D; Assumptions: de‑identified sample, 2019–2025 horizon (focus 2023–2025), illustrative metrics.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