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4FBAE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浙江省财政情况分析及可视化</w:t>
      </w:r>
    </w:p>
    <w:p w14:paraId="7B208B7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一、问题介绍</w:t>
      </w:r>
    </w:p>
    <w:p w14:paraId="7FD0E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财政是区域经济社会发展的 “晴雨表” 和 “调节器”，直接关系到基础设施建设、民生保障改善、产业升级赋能等关键领域的推进成效。</w:t>
      </w:r>
      <w:r>
        <w:rPr>
          <w:rFonts w:hint="eastAsia"/>
          <w:sz w:val="24"/>
          <w:szCs w:val="24"/>
          <w:lang w:val="en-US" w:eastAsia="zh-CN"/>
        </w:rPr>
        <w:t>我的家乡</w:t>
      </w:r>
      <w:r>
        <w:rPr>
          <w:rFonts w:hint="eastAsia"/>
          <w:sz w:val="24"/>
          <w:szCs w:val="24"/>
        </w:rPr>
        <w:t>浙江省作为我国经济大省、数字经济先行区，其财政运行状况不仅反映了自身经济发展的质量与活力，也为全国区域财政改革与高质量发展提供了重要参考。</w:t>
      </w:r>
    </w:p>
    <w:p w14:paraId="3659E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近年来，面对复杂多变的国内外经济环境、产业结构转型升级的关键压力以及民生保障需求的持续增长，浙江省财政收支的规模、结构、增速呈现出怎样的变化特征？财政收入中税收与非税收占比是否合理？财政支出在民生、基建、科技等领域的分配是否契合高质量发展导向？区域内各设区市财政发展是否均衡？</w:t>
      </w:r>
    </w:p>
    <w:p w14:paraId="0F511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于上述问题，本研究聚焦浙江省财政运行核心维度，通过数据分析与可视化手段，系统拆解财政收支的规模变化、结构特征、区域差异及重点领域配置情况，旨在清晰呈现浙江省财政发展现状、挖掘潜在优化空间，为财政政策优化、资源高效配置及区域协调发展提供数据支撑。</w:t>
      </w:r>
    </w:p>
    <w:p w14:paraId="40738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</w:p>
    <w:p w14:paraId="4C569E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二、数据来源和介绍</w:t>
      </w:r>
    </w:p>
    <w:p w14:paraId="6ECDC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本研究的数据全部来源于浙江省统计局官网（</w:t>
      </w:r>
      <w:r>
        <w:rPr>
          <w:rFonts w:hint="eastAsia" w:ascii="宋体" w:hAnsi="宋体" w:eastAsia="宋体" w:cs="宋体"/>
          <w:sz w:val="24"/>
          <w:szCs w:val="24"/>
        </w:rPr>
        <w:t>https://tjj.zj.gov.cn/</w:t>
      </w:r>
      <w:r>
        <w:rPr>
          <w:rFonts w:hint="eastAsia"/>
          <w:sz w:val="24"/>
          <w:szCs w:val="24"/>
        </w:rPr>
        <w:t>），数据类型为公开披露的官方统计数据，具有权威性、准确性和连续性。具体数据信息如下：</w:t>
      </w:r>
    </w:p>
    <w:p w14:paraId="0CFCC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（一）数据时间范围</w:t>
      </w:r>
    </w:p>
    <w:p w14:paraId="7E5E4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选取 2018-2023 年共 6 年的年度数据，覆盖 “十三五” 收官与 “十四五” 开局关键时期，能够完整反映近阶段浙江省财政发展的阶段性特征与趋势变化。</w:t>
      </w:r>
    </w:p>
    <w:p w14:paraId="548D9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（二）核心数据字段</w:t>
      </w:r>
    </w:p>
    <w:p w14:paraId="1CCD3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财政收入相关：一般公共预算收入总额、税收收入（含增值税、企业所得税、个人所得税等细分税种收入）、非税收入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390C7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财政支出相关：一般公共预算支出总额、民生领域支出（含教育、医疗卫生、社会保障和就业、住房保障等细分项）、基础设施建设支出（含交通、水利、市政建设等）、科技创新支出、节能环保支出；</w:t>
      </w:r>
    </w:p>
    <w:p w14:paraId="46696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区域细分数据：浙江省 11 个设区市（杭州、宁波、温州、嘉兴、湖州、绍兴、金华、衢州、舟山、台州、丽水）的一般公共预算收入、一般公共预算支出数据；</w:t>
      </w:r>
    </w:p>
    <w:p w14:paraId="64EE0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>关联经济数据：同期浙江省地区生产总值（GDP）、常住人口数量，用于计算财政收入 / GDP 占比、人均财政收入、人均财政支出等衍生指标。</w:t>
      </w:r>
    </w:p>
    <w:p w14:paraId="44316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（三）数据特点</w:t>
      </w:r>
    </w:p>
    <w:p w14:paraId="497AD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所选数据为结构化统计数据，字段定义清晰、口径统一，无重大缺失或异常值，可直接通过 Polars 进行数据清洗、汇总计算与多维度分析，满足 “收支规模 - 结构占比 - 区域差异 - 关联匹配” 的全链条分析需求。</w:t>
      </w:r>
    </w:p>
    <w:p w14:paraId="754D4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</w:p>
    <w:p w14:paraId="2497F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三、数据分析及结果展示</w:t>
      </w:r>
    </w:p>
    <w:p w14:paraId="1DA0A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本部分从 “整体规模趋势、收支结构特征、区域发展差异、重点领域配置” 四个维度展开分析，结合 </w:t>
      </w:r>
      <w:r>
        <w:rPr>
          <w:rFonts w:hint="eastAsia" w:ascii="宋体" w:hAnsi="宋体" w:eastAsia="宋体" w:cs="宋体"/>
          <w:sz w:val="24"/>
          <w:szCs w:val="24"/>
        </w:rPr>
        <w:t>Altair</w:t>
      </w:r>
      <w:r>
        <w:rPr>
          <w:rFonts w:hint="eastAsia"/>
          <w:sz w:val="24"/>
          <w:szCs w:val="24"/>
        </w:rPr>
        <w:t xml:space="preserve"> 可视化图表呈现核心结论：</w:t>
      </w:r>
    </w:p>
    <w:p w14:paraId="2B86B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（一）财政整体规模及增长趋势分析</w:t>
      </w:r>
    </w:p>
    <w:p w14:paraId="64CAD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财政收入规模与增速变化</w:t>
      </w:r>
    </w:p>
    <w:p w14:paraId="34F75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近 6 年来，浙江省财政收入保持稳健增长态势，2018-2023 年一般公共预算收入从 6598.08 亿元增长至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8600.23</w:t>
      </w:r>
      <w:r>
        <w:rPr>
          <w:rFonts w:hint="eastAsia" w:ascii="宋体" w:hAnsi="宋体" w:eastAsia="宋体" w:cs="宋体"/>
          <w:sz w:val="24"/>
          <w:szCs w:val="24"/>
        </w:rPr>
        <w:t xml:space="preserve"> 亿元，累计增长 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</w:t>
      </w:r>
      <w:r>
        <w:rPr>
          <w:rFonts w:hint="eastAsia"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见图2））</w:t>
      </w:r>
      <w:r>
        <w:rPr>
          <w:rFonts w:hint="eastAsia" w:ascii="宋体" w:hAnsi="宋体" w:eastAsia="宋体" w:cs="宋体"/>
          <w:sz w:val="24"/>
          <w:szCs w:val="24"/>
        </w:rPr>
        <w:t>，年均复合增长率为 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44</w:t>
      </w:r>
      <w:r>
        <w:rPr>
          <w:rFonts w:hint="eastAsia"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见图2）</w:t>
      </w:r>
      <w:r>
        <w:rPr>
          <w:rFonts w:hint="eastAsia" w:ascii="宋体" w:hAnsi="宋体" w:eastAsia="宋体" w:cs="宋体"/>
          <w:sz w:val="24"/>
          <w:szCs w:val="24"/>
        </w:rPr>
        <w:t xml:space="preserve">。其中 2020 年受疫情冲击，增速回落至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 xml:space="preserve">%，2021 年伴随经济复苏实现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13.9</w:t>
      </w:r>
      <w:r>
        <w:rPr>
          <w:rFonts w:hint="eastAsia" w:ascii="宋体" w:hAnsi="宋体" w:eastAsia="宋体" w:cs="宋体"/>
          <w:sz w:val="24"/>
          <w:szCs w:val="24"/>
        </w:rPr>
        <w:t>% 的反弹增长，2023 年保持 6% 的中高速增长，展现出较强的抗风险能力和韧性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见图3）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1B58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78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2978150"/>
            <wp:effectExtent l="0" t="0" r="7620" b="12700"/>
            <wp:docPr id="2" name="图片 2" descr="一般收入累计增长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一般收入累计增长趋势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8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图1：浙江省一般预算收入累计增长趋势</w:t>
      </w:r>
    </w:p>
    <w:p w14:paraId="49594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78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F8B9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3531235"/>
            <wp:effectExtent l="0" t="0" r="5715" b="12065"/>
            <wp:docPr id="1" name="图片 1" descr="收入增长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收入增长分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F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图2：浙江省一般预算收入增长分析</w:t>
      </w:r>
    </w:p>
    <w:p w14:paraId="1B2BE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2974975"/>
            <wp:effectExtent l="0" t="0" r="5715" b="15875"/>
            <wp:docPr id="3" name="图片 3" descr="收入同比增长率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收入同比增长率变化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图3：浙江省一般预算收入同比增长率变化</w:t>
      </w:r>
    </w:p>
    <w:p w14:paraId="5F0B7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</w:p>
    <w:p w14:paraId="2D863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财政支出规模与增长匹配度</w:t>
      </w:r>
    </w:p>
    <w:p w14:paraId="7AE79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一般公共预算支出同步稳步增长，从 2018 年的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8627.51</w:t>
      </w:r>
      <w:r>
        <w:rPr>
          <w:rFonts w:hint="eastAsia" w:ascii="宋体" w:hAnsi="宋体" w:eastAsia="宋体" w:cs="宋体"/>
          <w:sz w:val="24"/>
          <w:szCs w:val="24"/>
        </w:rPr>
        <w:t xml:space="preserve"> 亿元增长至 2023 年的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2353.09</w:t>
      </w:r>
      <w:r>
        <w:rPr>
          <w:rFonts w:hint="eastAsia" w:ascii="宋体" w:hAnsi="宋体" w:eastAsia="宋体" w:cs="宋体"/>
          <w:sz w:val="24"/>
          <w:szCs w:val="24"/>
        </w:rPr>
        <w:t xml:space="preserve"> 亿元，累计增长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43.18</w:t>
      </w:r>
      <w:r>
        <w:rPr>
          <w:rFonts w:hint="eastAsia" w:ascii="宋体" w:hAnsi="宋体" w:eastAsia="宋体" w:cs="宋体"/>
          <w:sz w:val="24"/>
          <w:szCs w:val="24"/>
        </w:rPr>
        <w:t xml:space="preserve">%，年均复合增长率为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7.20</w:t>
      </w:r>
      <w:r>
        <w:rPr>
          <w:rFonts w:hint="eastAsia" w:ascii="宋体" w:hAnsi="宋体" w:eastAsia="宋体" w:cs="宋体"/>
          <w:sz w:val="24"/>
          <w:szCs w:val="24"/>
        </w:rPr>
        <w:t>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见图4）</w:t>
      </w:r>
      <w:r>
        <w:rPr>
          <w:rFonts w:hint="eastAsia" w:ascii="宋体" w:hAnsi="宋体" w:eastAsia="宋体" w:cs="宋体"/>
          <w:sz w:val="24"/>
          <w:szCs w:val="24"/>
        </w:rPr>
        <w:t>。支出增速始终高于收入增速，反映出浙江省在民生保障、基础设施建设等领域的投入力度持续加大。</w:t>
      </w:r>
    </w:p>
    <w:p w14:paraId="360AF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0B7D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3509010"/>
            <wp:effectExtent l="0" t="0" r="5715" b="15240"/>
            <wp:docPr id="4" name="图片 4" descr="浙江省一般预算支出规模与增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浙江省一般预算支出规模与增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图4：浙江省一般预算支出规模与增速</w:t>
      </w:r>
    </w:p>
    <w:p w14:paraId="200A7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74D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从财政收入与 GDP 的匹配关系来看，2018-2023 年浙江省一般公共预算收入 / GDP 占比稳定在 11%-12% 之间，2023 年为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sz w:val="24"/>
          <w:szCs w:val="24"/>
        </w:rPr>
        <w:t>.68%，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略低于</w:t>
      </w:r>
      <w:r>
        <w:rPr>
          <w:rFonts w:hint="eastAsia" w:ascii="宋体" w:hAnsi="宋体" w:eastAsia="宋体" w:cs="宋体"/>
          <w:sz w:val="24"/>
          <w:szCs w:val="24"/>
        </w:rPr>
        <w:t>合理区间，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sz w:val="24"/>
          <w:szCs w:val="24"/>
        </w:rPr>
        <w:t>体现了经济对财政的支撑作用，也反映出财政收入增长与经济发展的协调性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见图5）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197E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2974975"/>
            <wp:effectExtent l="0" t="0" r="5715" b="15875"/>
            <wp:docPr id="5" name="图片 5" descr="财政收入占GDP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财政收入占GDP趋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图5：浙江省财政收入占GDP比例趋势</w:t>
      </w:r>
    </w:p>
    <w:p w14:paraId="3F085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38E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</w:p>
    <w:p w14:paraId="66B25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（二）财政收支结构特征分析</w:t>
      </w:r>
    </w:p>
    <w:p w14:paraId="04BA1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财政收入结构：税收占比稳固主导，收入质量持续优化</w:t>
      </w:r>
    </w:p>
    <w:p w14:paraId="16FC5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税收收入是浙江省一般公共预算收入的绝对核心支柱，根据2018-2023年数据分析，税收收入从5586.63亿元增长至7124.06亿元，累计增长27.5%，占一般公共预算收入的比重始终保持在80%以上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见图6）</w:t>
      </w:r>
      <w:r>
        <w:rPr>
          <w:rFonts w:hint="eastAsia" w:ascii="宋体" w:hAnsi="宋体" w:eastAsia="宋体" w:cs="宋体"/>
          <w:sz w:val="24"/>
          <w:szCs w:val="24"/>
        </w:rPr>
        <w:t>，2023年达到82.84%，反映出浙江省财政收入结构优质、税源基础稳固的良好态势。</w:t>
      </w:r>
    </w:p>
    <w:p w14:paraId="56D1C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4310" cy="3186430"/>
            <wp:effectExtent l="0" t="0" r="2540" b="13970"/>
            <wp:docPr id="6" name="图片 6" descr="浙江省税收与非税收占比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浙江省税收与非税收占比趋势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0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图6：浙江省税收与非税收占比趋势</w:t>
      </w:r>
    </w:p>
    <w:p w14:paraId="0C465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从细分税种结构来看，增值税、企业所得税、个人所得税构成前三大主体税种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见图7）</w:t>
      </w:r>
      <w:r>
        <w:rPr>
          <w:rFonts w:hint="eastAsia" w:ascii="宋体" w:hAnsi="宋体" w:eastAsia="宋体" w:cs="宋体"/>
          <w:sz w:val="24"/>
          <w:szCs w:val="24"/>
        </w:rPr>
        <w:t>。增值税占税收收入比重平均约为38.5%，企业所得税平均占比约19.2%，个人所得税平均占比约8.1%，三大税种合计占税收收入的65%以上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见图8）</w:t>
      </w:r>
      <w:r>
        <w:rPr>
          <w:rFonts w:hint="eastAsia" w:ascii="宋体" w:hAnsi="宋体" w:eastAsia="宋体" w:cs="宋体"/>
          <w:sz w:val="24"/>
          <w:szCs w:val="24"/>
        </w:rPr>
        <w:t>，形成了稳定可靠的财政收入基本盘。非税收入占比呈现优化趋势，从2018年的15.33%波动调整至2023年的17.16%，财政收入结构更加注重质量提升。</w:t>
      </w:r>
    </w:p>
    <w:p w14:paraId="55527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09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133215" cy="2510155"/>
            <wp:effectExtent l="0" t="0" r="635" b="4445"/>
            <wp:docPr id="8" name="图片 8" descr="浙江省主要税种占税收比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浙江省主要税种占税收比重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4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图7：浙江省主要税种占税收收入比重</w:t>
      </w:r>
    </w:p>
    <w:p w14:paraId="26752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669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392930" cy="2479040"/>
            <wp:effectExtent l="0" t="0" r="7620" b="16510"/>
            <wp:docPr id="7" name="图片 7" descr="浙江省增值税企业个人所得税占比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浙江省增值税企业个人所得税占比趋势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8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240" w:firstLineChars="1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图8：浙江省增值税、企业所得税、个人所得税合计占比趋势</w:t>
      </w:r>
    </w:p>
    <w:p w14:paraId="63EFC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特别值得关注的是，2021-2023年税收收入保持了稳健增长，即使在2022年面临经济下行压力时，税收收入仍保持在6600亿元以上的较高水平，2023年恢复至7124.06亿元，显示出较强的税收韧性和恢复能力。</w:t>
      </w:r>
    </w:p>
    <w:p w14:paraId="208BD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</w:p>
    <w:p w14:paraId="184C28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财政支出结构：民生导向显著，重点领域保障有力</w:t>
      </w:r>
    </w:p>
    <w:p w14:paraId="782F3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浙江省财政支出充分体现"以人民为中心"的发展思想，民生领域支出持续加大。2023年民生相关支出（教育、社会保障和就业、卫生健康）合计达5010.89亿元，占一般公共预算支出的40.57%。其中教育支出占比最高，2023年达到2365.17亿元，占总支出的19.15%，有力支持了教育事业发展；社会保障和就业支出1497.70亿元，占比12.12%；卫生健康支出1148.02亿元，占比9.29%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(见图9）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3460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859" w:firstLineChars="358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293235" cy="2573655"/>
            <wp:effectExtent l="0" t="0" r="12065" b="17145"/>
            <wp:docPr id="9" name="图片 9" descr="浙江省主要财政支出项目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浙江省主要财政支出项目占比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2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816" w:firstLineChars="757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图9：浙江省主要财政支出项目占比</w:t>
      </w:r>
    </w:p>
    <w:p w14:paraId="78382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从增长趋势看，2018-2023年教育支出累计增长50.4%，社会保障和就业支出累计增长63.7%，卫生健康支出累计增长83.4%，民生支出增速明显高于财政支出总体增速，体现了财政资金向民生领域的倾斜力度。</w:t>
      </w:r>
    </w:p>
    <w:p w14:paraId="68D66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发展类支出方面，科学技术支出增长尤为突出，从2018年的379.66亿元增长至2023年的787.48亿元，累计增长107.4%，年均复合增长率达到15.7%，占财政支出比重从4.40%提升至6.37%，显示出浙江省对科技创新和产业升级的高度重视。节能环保支出虽然有所波动，但2023年仍保持在187.98亿元的水平，占总支出的1.52%，支持绿色低碳发展。</w:t>
      </w:r>
    </w:p>
    <w:p w14:paraId="2297D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基础设施建设方面，城乡社区支出保持在1000-1600亿元区间，交通运输支出稳步增长至547.19亿元，为区域一体化发展和重大项目建设提供了有力保障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见图10)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8492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73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050790" cy="3304540"/>
            <wp:effectExtent l="0" t="0" r="16510" b="10160"/>
            <wp:docPr id="10" name="图片 10" descr="浙江省财政支出结构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浙江省财政支出结构变化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E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816" w:firstLineChars="75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图10：浙江省财政支出结构变化</w:t>
      </w:r>
    </w:p>
    <w:p w14:paraId="74168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816" w:firstLineChars="757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CD5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总体来看，浙江省财政收支结构呈现出"收入质量优、支出导向明"的鲜明特征，既保持了税收收入的主体地位和增长韧性，又在支出端精准聚焦民生保障和创新发展，体现了高质量发展的财政政策导向。</w:t>
      </w:r>
    </w:p>
    <w:p w14:paraId="536FD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F465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（三）区域财政发展差异分析</w:t>
      </w:r>
    </w:p>
    <w:p w14:paraId="3965F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区域财政收入分布：杭州宁波双核驱动，梯度格局显著</w:t>
      </w:r>
    </w:p>
    <w:p w14:paraId="52BE0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浙江省11个设区市财政收入呈现"杭州、宁波双核引领，沿海城市跟进，内陆地区追赶"的梯度分布格局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见图11）</w:t>
      </w:r>
      <w:r>
        <w:rPr>
          <w:rFonts w:hint="eastAsia" w:ascii="宋体" w:hAnsi="宋体" w:eastAsia="宋体" w:cs="宋体"/>
          <w:sz w:val="24"/>
          <w:szCs w:val="24"/>
        </w:rPr>
        <w:t>。2023年杭州市一般公共预算收入达2616.8亿元（单位：万元转换），宁波市达1785.9亿元，两市合计占全省收入的45.1%，成为全省财政收入的核心引擎。温州市（622.7亿元）、嘉兴市（632.0亿元）、绍兴市（578.7亿元）构成第二梯队，收入规模在580-630亿元区间。金华市（525.8亿元）、台州市（494.3亿元）位列第三梯队。衢州市（204.2亿元）、舟山市（193.5亿元）、丽水市（186.1亿元）收入规模相对较小，但2018-2023年年均复合增长率表现突出，其中衢州市以9.8%的增速位居全省第一，舟山市以5.8%的增速超过全省平均水平，显示较强的增长潜力。</w:t>
      </w:r>
    </w:p>
    <w:p w14:paraId="7462E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4310" cy="3602355"/>
            <wp:effectExtent l="0" t="0" r="2540" b="17145"/>
            <wp:docPr id="12" name="图片 12" descr="浙江省各城市2023年一般公共预算收入排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浙江省各城市2023年一般公共预算收入排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816" w:firstLineChars="757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图11：浙江省各城市2023年一般公共预算收入排名</w:t>
      </w:r>
    </w:p>
    <w:p w14:paraId="62241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3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8CA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720" w:firstLineChars="3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222115" cy="3140710"/>
            <wp:effectExtent l="0" t="0" r="6985" b="2540"/>
            <wp:docPr id="11" name="图片 11" descr="2023年各城市收入占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023年各城市收入占比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4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816" w:firstLineChars="757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图12：浙江省2023年各城市收入占比</w:t>
      </w:r>
    </w:p>
    <w:p w14:paraId="2B618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720" w:firstLineChars="3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691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F4FD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从财政健康度来看，杭州市支出收入比仅为1.01，财政收支最为平衡；而丽水市支出收入比高达3.51，衢州市为2.97，显示这些地区对上级财政转移支付的依赖度较高，也反映了财政资源向欠发达地区倾斜的政策导向。</w:t>
      </w:r>
    </w:p>
    <w:p w14:paraId="7AE45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</w:p>
    <w:p w14:paraId="6DFC6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区域财政支出配置：支出力度差异显著，体现发展定位</w:t>
      </w:r>
    </w:p>
    <w:p w14:paraId="1E8BA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设区市财政支出规模与当地经济发展水平密切相关，支出收入比呈现明显的地域差异。杭州市、宁波市作为经济强市，财政自给能力较强，支出收入比分别为1.01和1.25，财政运行最为稳健。温州市、嘉兴市、绍兴市等沿海城市支出收入比在1.32-1.87之间，财政收支压力适中。</w:t>
      </w:r>
    </w:p>
    <w:p w14:paraId="40D41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值得注意的是，浙西南地区的衢州市、丽水市支出收入比分别达到2.97和3.51，财政支出规模远高于自身财政收入，这既反映了这些地区民生保障和基础设施建设的资金需求较大，也体现了省级财政转移支付对欠发达地区的大力支持。舟山市作为海岛地区，支出收入比为1.95，在海洋经济发展和基础设施建设方面投入较大。</w:t>
      </w:r>
    </w:p>
    <w:p w14:paraId="68E61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从支出增长趋势看，2018-2023年各市财政支出均保持稳定增长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见图13）</w:t>
      </w:r>
      <w:r>
        <w:rPr>
          <w:rFonts w:hint="eastAsia"/>
          <w:sz w:val="24"/>
          <w:szCs w:val="24"/>
        </w:rPr>
        <w:t>，其中衢州市支出年均复合增长率达11.3%，居全省首位，体现了对欠发达地区补短板力度的持续加大。杭州市、宁波市支出增长率分别为8.9%和7.0%，在保持财政稳健的同时，重点支持科技创新和产业升级。</w:t>
      </w:r>
    </w:p>
    <w:p w14:paraId="4FE20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984875" cy="3391535"/>
            <wp:effectExtent l="0" t="0" r="15875" b="18415"/>
            <wp:docPr id="13" name="图片 13" descr="2018至2023年各城市收入与支出累计增长率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18至2023年各城市收入与支出累计增长率对比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F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1816" w:firstLineChars="757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图13：浙江省2018-2023年各城市收支累计增长率</w:t>
      </w:r>
    </w:p>
    <w:p w14:paraId="2BD04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</w:p>
    <w:p w14:paraId="29179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体而言，浙江省区域财政发展呈现出"核心城市引领、梯度有序发展、财政资源向欠发达地区倾斜"的特征，既保持了杭州、宁波等核心城市的发展活力，又通过财政转移支付机制促进了区域协调发展，体现了"做大蛋糕"与"分好蛋糕"的有机结合。</w:t>
      </w:r>
    </w:p>
    <w:p w14:paraId="5C75A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2023112838</w:t>
      </w:r>
    </w:p>
    <w:p w14:paraId="56070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right"/>
        <w:textAlignment w:val="auto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姜俊坤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12B59E"/>
    <w:multiLevelType w:val="singleLevel"/>
    <w:tmpl w:val="6212B59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941FA"/>
    <w:rsid w:val="01D603E1"/>
    <w:rsid w:val="03A57FB3"/>
    <w:rsid w:val="09770E4E"/>
    <w:rsid w:val="0A675CE0"/>
    <w:rsid w:val="0AA03A6A"/>
    <w:rsid w:val="0C743400"/>
    <w:rsid w:val="0E8A6F0A"/>
    <w:rsid w:val="11405FA6"/>
    <w:rsid w:val="12E8038B"/>
    <w:rsid w:val="13A06A80"/>
    <w:rsid w:val="13C94F22"/>
    <w:rsid w:val="142A434C"/>
    <w:rsid w:val="14E54472"/>
    <w:rsid w:val="15FA64BF"/>
    <w:rsid w:val="16B913DB"/>
    <w:rsid w:val="17F90C5D"/>
    <w:rsid w:val="184E71FB"/>
    <w:rsid w:val="19C81275"/>
    <w:rsid w:val="19F93196"/>
    <w:rsid w:val="1BF75319"/>
    <w:rsid w:val="1E1719F1"/>
    <w:rsid w:val="1EB22117"/>
    <w:rsid w:val="1EF503D0"/>
    <w:rsid w:val="20104D96"/>
    <w:rsid w:val="224E4979"/>
    <w:rsid w:val="24950587"/>
    <w:rsid w:val="25EE00C9"/>
    <w:rsid w:val="264F669A"/>
    <w:rsid w:val="269B4DE3"/>
    <w:rsid w:val="28D635FE"/>
    <w:rsid w:val="29E4176D"/>
    <w:rsid w:val="2BD414DD"/>
    <w:rsid w:val="2C453C76"/>
    <w:rsid w:val="2E701821"/>
    <w:rsid w:val="30CD330A"/>
    <w:rsid w:val="334868C9"/>
    <w:rsid w:val="33E81E5A"/>
    <w:rsid w:val="34FD1935"/>
    <w:rsid w:val="36AC716F"/>
    <w:rsid w:val="37F82D5E"/>
    <w:rsid w:val="3A156C3D"/>
    <w:rsid w:val="3EF45B57"/>
    <w:rsid w:val="42DA1507"/>
    <w:rsid w:val="4487058A"/>
    <w:rsid w:val="4497145E"/>
    <w:rsid w:val="46893028"/>
    <w:rsid w:val="46F32B98"/>
    <w:rsid w:val="475F1429"/>
    <w:rsid w:val="484A4A39"/>
    <w:rsid w:val="4B4475D2"/>
    <w:rsid w:val="4CE54D31"/>
    <w:rsid w:val="4D380325"/>
    <w:rsid w:val="50A107F3"/>
    <w:rsid w:val="52195BA8"/>
    <w:rsid w:val="543618F8"/>
    <w:rsid w:val="54447164"/>
    <w:rsid w:val="564C5E20"/>
    <w:rsid w:val="56D163C8"/>
    <w:rsid w:val="577E200A"/>
    <w:rsid w:val="598C59FF"/>
    <w:rsid w:val="5AE36716"/>
    <w:rsid w:val="5B765E19"/>
    <w:rsid w:val="5DA70E69"/>
    <w:rsid w:val="5E343D6A"/>
    <w:rsid w:val="5E5E434B"/>
    <w:rsid w:val="61276165"/>
    <w:rsid w:val="619E191F"/>
    <w:rsid w:val="62D57A26"/>
    <w:rsid w:val="64041AE8"/>
    <w:rsid w:val="643F0D73"/>
    <w:rsid w:val="64AE12EC"/>
    <w:rsid w:val="64C33752"/>
    <w:rsid w:val="65911CB5"/>
    <w:rsid w:val="674C5C80"/>
    <w:rsid w:val="696A43C2"/>
    <w:rsid w:val="6AAE27AE"/>
    <w:rsid w:val="6C814811"/>
    <w:rsid w:val="6E570A08"/>
    <w:rsid w:val="70572F72"/>
    <w:rsid w:val="71202F67"/>
    <w:rsid w:val="74600FBD"/>
    <w:rsid w:val="75583A65"/>
    <w:rsid w:val="75F24BB9"/>
    <w:rsid w:val="77204A34"/>
    <w:rsid w:val="78697846"/>
    <w:rsid w:val="7A8C0519"/>
    <w:rsid w:val="7BFF692A"/>
    <w:rsid w:val="7C4715BC"/>
    <w:rsid w:val="7D19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2516</Words>
  <Characters>2885</Characters>
  <Lines>0</Lines>
  <Paragraphs>0</Paragraphs>
  <TotalTime>0</TotalTime>
  <ScaleCrop>false</ScaleCrop>
  <LinksUpToDate>false</LinksUpToDate>
  <CharactersWithSpaces>3059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2025-12-25T13:05:00Z</dcterms:created>
  <dc:creator>13978</dc:creator>
  <cp:lastModifiedBy>WPS_1706709832</cp:lastModifiedBy>
  <dcterms:modified xsi:type="dcterms:W3CDTF">2025-12-28T09:58:07Z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eyJoZGlkIjoiMTk2ZGEyOGI2MmJmNDA1OTFlY2E2NzUxNTUyNDI2OWIiLCJ1c2VySWQiOiIxNTc3ODEzNTQ2In0=</vt:lpwstr>
  </property>
  <property fmtid="{D5CDD505-2E9C-101B-9397-08002B2CF9AE}" pid="4" name="ICV">
    <vt:lpwstr>960B587501F94EA18E764420B9D75191_12</vt:lpwstr>
  </property>
</Properties>
</file>