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6.png" ContentType="image/png"/>
  <Override PartName="/word/media/rId48.png" ContentType="image/png"/>
  <Override PartName="/word/media/rId38.png" ContentType="image/png"/>
  <Override PartName="/word/media/rId44.png" ContentType="image/png"/>
  <Override PartName="/word/media/rId39.png" ContentType="image/png"/>
  <Override PartName="/word/media/rId45.png" ContentType="image/png"/>
  <Override PartName="/word/media/rId51.png" ContentType="image/png"/>
  <Override PartName="/word/media/rId50.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Carnivore</w:t>
      </w:r>
      <w:r>
        <w:t xml:space="preserve"> </w:t>
      </w:r>
      <w:r>
        <w:t xml:space="preserve">Cases</w:t>
      </w:r>
      <w:r>
        <w:t xml:space="preserve"> </w:t>
      </w:r>
      <w:r>
        <w:t xml:space="preserve">Cases</w:t>
      </w:r>
      <w:r>
        <w:t xml:space="preserve"> </w:t>
      </w:r>
      <w:r>
        <w:t xml:space="preserve">Reported</w:t>
      </w:r>
      <w:r>
        <w:t xml:space="preserve"> </w:t>
      </w:r>
      <w:r>
        <w:t xml:space="preserve">to</w:t>
      </w:r>
      <w:r>
        <w:t xml:space="preserve"> </w:t>
      </w:r>
      <w:r>
        <w:t xml:space="preserve">the</w:t>
      </w:r>
      <w:r>
        <w:t xml:space="preserve"> </w:t>
      </w:r>
      <w:r>
        <w:t xml:space="preserve">Southeastern</w:t>
      </w:r>
      <w:r>
        <w:t xml:space="preserve"> </w:t>
      </w:r>
      <w:r>
        <w:t xml:space="preserve">Cooperative</w:t>
      </w:r>
      <w:r>
        <w:t xml:space="preserve"> </w:t>
      </w:r>
      <w:r>
        <w:t xml:space="preserve">Wildlife</w:t>
      </w:r>
      <w:r>
        <w:t xml:space="preserve"> </w:t>
      </w:r>
      <w:r>
        <w:t xml:space="preserve">Disease</w:t>
      </w:r>
      <w:r>
        <w:t xml:space="preserve"> </w:t>
      </w:r>
      <w:r>
        <w:t xml:space="preserve">Study</w:t>
      </w:r>
      <w:r>
        <w:t xml:space="preserve"> </w:t>
      </w:r>
      <w:r>
        <w:t xml:space="preserve">(SCWDS),</w:t>
      </w:r>
      <w:r>
        <w:t xml:space="preserve"> </w:t>
      </w:r>
      <w:r>
        <w:t xml:space="preserve">1975-2019</w:t>
      </w:r>
    </w:p>
    <w:p>
      <w:pPr>
        <w:pStyle w:val="Date"/>
      </w:pPr>
      <w:r>
        <w:t xml:space="preserve">2020-06-14</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Abstract"/>
      </w:pPr>
      <w:r>
        <w:t xml:space="preserve">It</w:t>
      </w:r>
      <w:r>
        <w:t xml:space="preserve"> </w:t>
      </w:r>
      <w:r>
        <w:t xml:space="preserve">consists</w:t>
      </w:r>
      <w:r>
        <w:t xml:space="preserve"> </w:t>
      </w:r>
      <w:r>
        <w:t xml:space="preserve">of</w:t>
      </w:r>
      <w:r>
        <w:t xml:space="preserve"> </w:t>
      </w:r>
      <w:r>
        <w:t xml:space="preserve">two</w:t>
      </w:r>
      <w:r>
        <w:t xml:space="preserve"> </w:t>
      </w:r>
      <w:r>
        <w:t xml:space="preserve">paragraphs.</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20193. Cases were identified as CDV by fluorescent antibody testing and/or histologic diagnosis of characteristic lesions. Species, date of submission, county of origin, and sex were noted. A total number of 964 positive cases were submitted from 17 states over the 45-year period. Positive cases were comprised of raccoons (n=646), gray foxes (n=254), striped skunks (n=33), coyotes (n=18), red foxes (n=4), gray wolves (n=3), black bears(n=3) two mink and one long-tailed weasel.</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Heading2"/>
      </w:pPr>
      <w:bookmarkStart w:id="25" w:name="methods"/>
      <w:r>
        <w:t xml:space="preserve">Methods</w:t>
      </w:r>
      <w:bookmarkEnd w:id="25"/>
    </w:p>
    <w:p>
      <w:pPr>
        <w:pStyle w:val="Heading3"/>
      </w:pPr>
      <w:bookmarkStart w:id="26" w:name="data-acquisition"/>
      <w:r>
        <w:t xml:space="preserve">Data acquisition</w:t>
      </w:r>
      <w:bookmarkEnd w:id="26"/>
    </w:p>
    <w:p>
      <w:pPr>
        <w:pStyle w:val="FirstParagraph"/>
      </w:pPr>
      <w:r>
        <w:t xml:space="preserve">Data of animals brought to SCWDS between 1975 and 2019, which were diagnosed as having CDV at post-mortem examination.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7" w:name="overview-of-data"/>
      <w:r>
        <w:t xml:space="preserve">Overview of Data</w:t>
      </w:r>
      <w:bookmarkEnd w:id="27"/>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8" w:name="data-import-and-cleaning"/>
      <w:r>
        <w:t xml:space="preserve">Data import and cleaning</w:t>
      </w:r>
      <w:bookmarkEnd w:id="28"/>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29">
        <w:r>
          <w:rPr>
            <w:rStyle w:val="Hyperlink"/>
          </w:rPr>
          <w:t xml:space="preserve">project repository</w:t>
        </w:r>
      </w:hyperlink>
      <w:r>
        <w:t xml:space="preserve"> </w:t>
      </w:r>
      <w:r>
        <w:t xml:space="preserve">in the processing_code subfolder.</w:t>
      </w:r>
    </w:p>
    <w:p>
      <w:pPr>
        <w:pStyle w:val="Heading3"/>
      </w:pPr>
      <w:bookmarkStart w:id="30" w:name="exploratory-analysis"/>
      <w:r>
        <w:t xml:space="preserve">Exploratory Analysis</w:t>
      </w:r>
      <w:bookmarkEnd w:id="30"/>
    </w:p>
    <w:p>
      <w:pPr>
        <w:pStyle w:val="FirstParagraph"/>
      </w:pPr>
      <w:r>
        <w:t xml:space="preserve">All analyses were conducted in the Program R Studio version 3.5.3. The extent of exploratory analysis performed is outlined in the</w:t>
      </w:r>
      <w:r>
        <w:t xml:space="preserve"> </w:t>
      </w:r>
      <w:r>
        <w:t xml:space="preserve">“</w:t>
      </w:r>
      <w:r>
        <w:t xml:space="preserve">CDV19_Exploration</w:t>
      </w:r>
      <w:r>
        <w:t xml:space="preserve">”</w:t>
      </w:r>
      <w:r>
        <w:t xml:space="preserve"> </w:t>
      </w:r>
      <w:r>
        <w:t xml:space="preserve">file within the project repository.</w:t>
      </w:r>
    </w:p>
    <w:p>
      <w:pPr>
        <w:pStyle w:val="Heading3"/>
      </w:pPr>
      <w:bookmarkStart w:id="31" w:name="mapping"/>
      <w:r>
        <w:t xml:space="preserve">Mapping</w:t>
      </w:r>
      <w:bookmarkEnd w:id="31"/>
    </w:p>
    <w:p>
      <w:pPr>
        <w:pStyle w:val="FirstParagraph"/>
      </w:pPr>
      <w:r>
        <w:t xml:space="preserve">Mapping data for US states and Georgia counties is available through the</w:t>
      </w:r>
      <w:r>
        <w:t xml:space="preserve"> </w:t>
      </w:r>
      <w:hyperlink r:id="rId32">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3">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4" w:name="time-series-analysis"/>
      <w:r>
        <w:t xml:space="preserve">Time Series Analysis</w:t>
      </w:r>
      <w:bookmarkEnd w:id="34"/>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1975-December 2019, for the whole state of Georgia.</w:t>
      </w:r>
      <w:r>
        <w:t xml:space="preserve"> </w:t>
      </w:r>
      <w:r>
        <w:t xml:space="preserve">For training and testing of the ARIMA models for predicting raccoon and gray fox cases per month, the sequence of months from April 1975-December 2019, a total of 524 time points, was divided at into the training set, up to n=423 ie. July 2011, and the testing set from n=423 to n=524, ie. August 2011-December 2019.</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6" w:name="results"/>
      <w:r>
        <w:t xml:space="preserve">Results</w:t>
      </w:r>
      <w:bookmarkEnd w:id="36"/>
    </w:p>
    <w:p>
      <w:pPr>
        <w:pStyle w:val="Heading3"/>
      </w:pPr>
      <w:bookmarkStart w:id="37" w:name="data-exploration"/>
      <w:r>
        <w:t xml:space="preserve">Data Exploration</w:t>
      </w:r>
      <w:bookmarkEnd w:id="37"/>
    </w:p>
    <w:p>
      <w:pPr>
        <w:pStyle w:val="FirstParagraph"/>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r>
        <w:t xml:space="preserve"> </w:t>
      </w:r>
      <w:r>
        <w:t xml:space="preserve">Figures from the exploartory analysis are included in the Supplementary Materials.</w:t>
      </w:r>
    </w:p>
    <w:p>
      <w:pPr>
        <w:pStyle w:val="CaptionedFigure"/>
      </w:pPr>
      <w:r>
        <w:drawing>
          <wp:inline>
            <wp:extent cx="5334000" cy="3292592"/>
            <wp:effectExtent b="0" l="0" r="0" t="0"/>
            <wp:docPr descr="Figure 1: Figure 1: Raccoon and Gray Fox cases in Georgia presented to SCWDS, 1975-2019." title="" id="1" name="Picture"/>
            <a:graphic>
              <a:graphicData uri="http://schemas.openxmlformats.org/drawingml/2006/picture">
                <pic:pic>
                  <pic:nvPicPr>
                    <pic:cNvPr descr="C:/Users/jjw_t/Desktop/PhD/CDV/CDVGA_Project_JJW/results/Figures_new/RacFox_year19.png" id="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1: Raccoon and Gray Fox cases in Georgia presented to SCWDS, 1975-2019.</w:t>
      </w:r>
    </w:p>
    <w:p>
      <w:pPr>
        <w:pStyle w:val="BodyText"/>
      </w:pPr>
      <w:r>
        <w:rPr>
          <w:i/>
        </w:rPr>
        <w:t xml:space="preserve">Raccoon and gray foxes cases between 1975 and 2019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2: Figure 2: Raccoon and Gray Fox cases across breeding cycle." title="" id="1" name="Picture"/>
            <a:graphic>
              <a:graphicData uri="http://schemas.openxmlformats.org/drawingml/2006/picture">
                <pic:pic>
                  <pic:nvPicPr>
                    <pic:cNvPr descr="C:/Users/jjw_t/Desktop/PhD/CDV/CDVGA_Project_JJW/results/Figures_new/breeding_plot_19.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2: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0" w:name="spatial-mapping-of-georgia-data"/>
      <w:r>
        <w:t xml:space="preserve">Spatial Mapping of Georgia Data</w:t>
      </w:r>
      <w:bookmarkEnd w:id="40"/>
    </w:p>
    <w:p>
      <w:pPr>
        <w:pStyle w:val="FirstParagraph"/>
      </w:pPr>
      <w:r>
        <w:t xml:space="preserve">Further qualitative analysis was conducted by mapping disease presence over time at county level.</w:t>
      </w:r>
    </w:p>
    <w:p>
      <w:pPr>
        <w:pStyle w:val="CaptionedFigure"/>
      </w:pPr>
      <w:r>
        <w:drawing>
          <wp:inline>
            <wp:extent cx="5334000" cy="3292592"/>
            <wp:effectExtent b="0" l="0" r="0" t="0"/>
            <wp:docPr descr="Figure 3: Figure 3:Total Raccoon and Gray Fox cases in Georgia presented to SCWDS, 1975-2019, per county." title="" id="1" name="Picture"/>
            <a:graphic>
              <a:graphicData uri="http://schemas.openxmlformats.org/drawingml/2006/picture">
                <pic:pic>
                  <pic:nvPicPr>
                    <pic:cNvPr descr="C:/Users/jjw_t/Desktop/PhD/CDV/CDVGA_Project_JJW/results/Figures_new/GA_County_SF19.png" id="0" name="Picture"/>
                    <pic:cNvPicPr>
                      <a:picLocks noChangeArrowheads="1" noChangeAspect="1"/>
                    </pic:cNvPicPr>
                  </pic:nvPicPr>
                  <pic:blipFill>
                    <a:blip r:embed="rId41"/>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3:Total Raccoon and Gray Fox cases in Georgia presented to SCWDS, 1975-2019,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5334000"/>
            <wp:effectExtent b="0" l="0" r="0" t="0"/>
            <wp:docPr descr="Figure 4: Figure 4:County Presence over Time of CDV, from cases submitted to SCWDS, 1975-2019." title="" id="1" name="Picture"/>
            <a:graphic>
              <a:graphicData uri="http://schemas.openxmlformats.org/drawingml/2006/picture">
                <pic:pic>
                  <pic:nvPicPr>
                    <pic:cNvPr descr="C:/Users/jjw_t/Desktop/PhD/CDV/CDVGA_Project_JJW/results/Figures_new/GA_Presence_year19.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4:County Presence over Time of CDV, from cases submitted to SCWDS, 1975-2019.</w:t>
      </w:r>
    </w:p>
    <w:p>
      <w:pPr>
        <w:pStyle w:val="BodyText"/>
      </w:pPr>
      <w:r>
        <w:rPr>
          <w:i/>
        </w:rPr>
        <w:t xml:space="preserve">The presence of CDV positive necropsy cases in raccoons or gray foxes in each county is shown for the years 1975-2019.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CaptionedFigure"/>
      </w:pPr>
      <w:r>
        <w:drawing>
          <wp:inline>
            <wp:extent cx="5334000" cy="5334000"/>
            <wp:effectExtent b="0" l="0" r="0" t="0"/>
            <wp:docPr descr="Figure 5: Figure 5: Cases of CDV in Gray Foxes and Raccoons in Georgia counties, from cases submitted to SCWDS, 1975-2019." title="" id="1" name="Picture"/>
            <a:graphic>
              <a:graphicData uri="http://schemas.openxmlformats.org/drawingml/2006/picture">
                <pic:pic>
                  <pic:nvPicPr>
                    <pic:cNvPr descr="C:/Users/jjw_t/Desktop/PhD/CDV/CDVGA_Project_JJW/results/Figures_new/GAspecyear19.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5: Cases of CDV in Gray Foxes and Raccoons in Georgia counties, from cases submitted to SCWDS, 1975-2019.</w:t>
      </w:r>
    </w:p>
    <w:p>
      <w:pPr>
        <w:pStyle w:val="BodyText"/>
      </w:pP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6: Figure 6: Ripley’s K analysis of CDV cases in Raccoons and Gray Foxes in Georgia, from cases submitted to SCWDs, 1975-2019." title="" id="1" name="Picture"/>
            <a:graphic>
              <a:graphicData uri="http://schemas.openxmlformats.org/drawingml/2006/picture">
                <pic:pic>
                  <pic:nvPicPr>
                    <pic:cNvPr descr="C:/Users/jjw_t/Desktop/PhD/CDV/CDVGA_Project_JJW/results/Figures_new/RipK19.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6: Ripley’s K analysis of CDV cases in Raccoons and Gray Foxes in Georgia, from cases submitted to SCWDs, 1975-2019.</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7: Figure 7: Raccoon and Gray Fox cases in Georgia presented to SCWDS, 1975-2019, and human population density." title="" id="1" name="Picture"/>
            <a:graphic>
              <a:graphicData uri="http://schemas.openxmlformats.org/drawingml/2006/picture">
                <pic:pic>
                  <pic:nvPicPr>
                    <pic:cNvPr descr="C:/Users/jjw_t/Desktop/PhD/CDV/CDVGA_Project_JJW/results/Figures_new/logPop_Density_cases19.png" id="0"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7: Raccoon and Gray Fox cases in Georgia presented to SCWDS, 1975-2019,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8: Figure 8: Raccoon and Gray Fox cases per spm against human population density." title="" id="1" name="Picture"/>
            <a:graphic>
              <a:graphicData uri="http://schemas.openxmlformats.org/drawingml/2006/picture">
                <pic:pic>
                  <pic:nvPicPr>
                    <pic:cNvPr descr="C:/Users/jjw_t/Desktop/PhD/CDV/CDVGA_Project_JJW/results/Figures_new/Logpop_logcases.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8: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7.</w:t>
      </w:r>
    </w:p>
    <w:p>
      <w:pPr>
        <w:pStyle w:val="Heading3"/>
      </w:pPr>
      <w:bookmarkStart w:id="47" w:name="time-series-analysis-1"/>
      <w:r>
        <w:t xml:space="preserve">Time series analysis</w:t>
      </w:r>
      <w:bookmarkEnd w:id="47"/>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3292592"/>
            <wp:effectExtent b="0" l="0" r="0" t="0"/>
            <wp:docPr descr="Figure 9: Figure 9: Raccoon and Gray Fox cases per month 1975-2019." title="" id="1" name="Picture"/>
            <a:graphic>
              <a:graphicData uri="http://schemas.openxmlformats.org/drawingml/2006/picture">
                <pic:pic>
                  <pic:nvPicPr>
                    <pic:cNvPr descr="C:/Users/jjw_t/Desktop/PhD/CDV/CDVGA_Project_JJW/results/Figures_new/Month_TimeSeries19.png" id="0" name="Picture"/>
                    <pic:cNvPicPr>
                      <a:picLocks noChangeArrowheads="1" noChangeAspect="1"/>
                    </pic:cNvPicPr>
                  </pic:nvPicPr>
                  <pic:blipFill>
                    <a:blip r:embed="rId4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9: Raccoon and Gray Fox cases per month 1975-2019.</w:t>
      </w:r>
    </w:p>
    <w:p>
      <w:pPr>
        <w:pStyle w:val="Heading4"/>
      </w:pPr>
      <w:bookmarkStart w:id="49" w:name="predictive-model"/>
      <w:r>
        <w:t xml:space="preserve">Predictive Model</w:t>
      </w:r>
      <w:bookmarkEnd w:id="49"/>
    </w:p>
    <w:p>
      <w:pPr>
        <w:pStyle w:val="FirstParagraph"/>
      </w:pPr>
      <w:r>
        <w:t xml:space="preserve">The general model for predicting number of gray fox cases using an auto-regression model found using the previosu two months gray fox case numbers,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TableCaption"/>
      </w:pPr>
      <w:r>
        <w:t xml:space="preserve">Table 1:</w:t>
      </w:r>
      <w:r>
        <w:t xml:space="preserve"> </w:t>
      </w:r>
      <w:r>
        <w:rPr>
          <w:b/>
        </w:rPr>
        <w:t xml:space="preserve">Gray Fox Prediction Models</w:t>
      </w:r>
    </w:p>
    <w:tbl>
      <w:tblPr>
        <w:tblStyle w:val="Table"/>
        <w:tblW w:type="pct" w:w="0.0"/>
        <w:tblLook w:firstRow="1"/>
        <w:tblCaption w:val="Table 1: Gray Fox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Fit_1GF</w:t>
            </w:r>
          </w:p>
        </w:tc>
        <w:tc>
          <w:p>
            <w:pPr>
              <w:pStyle w:val="Compact"/>
              <w:jc w:val="left"/>
            </w:pPr>
            <w:r>
              <w:t xml:space="preserve">Gray_Fox_Cases_lag1 + Gray_Fox_Error_lag1,2</w:t>
            </w:r>
          </w:p>
        </w:tc>
        <w:tc>
          <w:p>
            <w:pPr>
              <w:pStyle w:val="Compact"/>
              <w:jc w:val="right"/>
            </w:pPr>
            <w:r>
              <w:t xml:space="preserve">822.6792</w:t>
            </w:r>
          </w:p>
        </w:tc>
      </w:tr>
      <w:tr>
        <w:tc>
          <w:p>
            <w:pPr>
              <w:pStyle w:val="Compact"/>
              <w:jc w:val="right"/>
            </w:pPr>
            <w:r>
              <w:t xml:space="preserve">2</w:t>
            </w:r>
          </w:p>
        </w:tc>
        <w:tc>
          <w:p>
            <w:pPr>
              <w:pStyle w:val="Compact"/>
              <w:jc w:val="left"/>
            </w:pPr>
            <w:r>
              <w:t xml:space="preserve">Fit_2GF</w:t>
            </w:r>
          </w:p>
        </w:tc>
        <w:tc>
          <w:p>
            <w:pPr>
              <w:pStyle w:val="Compact"/>
              <w:jc w:val="left"/>
            </w:pPr>
            <w:r>
              <w:t xml:space="preserve">Gray_Fox_Cases_lag1 + Gray_Fox_Error_lag1,2 + Raccoon_Cases_lag0</w:t>
            </w:r>
          </w:p>
        </w:tc>
        <w:tc>
          <w:p>
            <w:pPr>
              <w:pStyle w:val="Compact"/>
              <w:jc w:val="right"/>
            </w:pPr>
            <w:r>
              <w:t xml:space="preserve">810.8488</w:t>
            </w:r>
          </w:p>
        </w:tc>
      </w:tr>
      <w:tr>
        <w:tc>
          <w:p>
            <w:pPr>
              <w:pStyle w:val="Compact"/>
              <w:jc w:val="right"/>
            </w:pPr>
            <w:r>
              <w:t xml:space="preserve">3</w:t>
            </w:r>
          </w:p>
        </w:tc>
        <w:tc>
          <w:p>
            <w:pPr>
              <w:pStyle w:val="Compact"/>
              <w:jc w:val="left"/>
            </w:pPr>
            <w:r>
              <w:t xml:space="preserve">Fit_3GF</w:t>
            </w:r>
          </w:p>
        </w:tc>
        <w:tc>
          <w:p>
            <w:pPr>
              <w:pStyle w:val="Compact"/>
              <w:jc w:val="left"/>
            </w:pPr>
            <w:r>
              <w:t xml:space="preserve">Gray_Fox_Cases_lag1 + Gray_Fox_Error_lag1,2 + Raccoon_Cases_lag0,1</w:t>
            </w:r>
          </w:p>
        </w:tc>
        <w:tc>
          <w:p>
            <w:pPr>
              <w:pStyle w:val="Compact"/>
              <w:jc w:val="right"/>
            </w:pPr>
            <w:r>
              <w:t xml:space="preserve">812.8090</w:t>
            </w:r>
          </w:p>
        </w:tc>
      </w:tr>
      <w:tr>
        <w:tc>
          <w:p>
            <w:pPr>
              <w:pStyle w:val="Compact"/>
              <w:jc w:val="right"/>
            </w:pPr>
            <w:r>
              <w:t xml:space="preserve">4</w:t>
            </w:r>
          </w:p>
        </w:tc>
        <w:tc>
          <w:p>
            <w:pPr>
              <w:pStyle w:val="Compact"/>
              <w:jc w:val="left"/>
            </w:pPr>
            <w:r>
              <w:t xml:space="preserve">Fit_4GF</w:t>
            </w:r>
          </w:p>
        </w:tc>
        <w:tc>
          <w:p>
            <w:pPr>
              <w:pStyle w:val="Compact"/>
              <w:jc w:val="left"/>
            </w:pPr>
            <w:r>
              <w:t xml:space="preserve">Gray_Fox_Cases_lag1,2,3 + Gray_Fox_Error_lag1,2,3 + Raccoon_Cases_lag0,1,2</w:t>
            </w:r>
          </w:p>
        </w:tc>
        <w:tc>
          <w:p>
            <w:pPr>
              <w:pStyle w:val="Compact"/>
              <w:jc w:val="right"/>
            </w:pPr>
            <w:r>
              <w:t xml:space="preserve">814.7624</w:t>
            </w:r>
          </w:p>
        </w:tc>
      </w:tr>
      <w:tr>
        <w:tc>
          <w:p>
            <w:pPr>
              <w:pStyle w:val="Compact"/>
              <w:jc w:val="right"/>
            </w:pPr>
            <w:r>
              <w:t xml:space="preserve">5</w:t>
            </w:r>
          </w:p>
        </w:tc>
        <w:tc>
          <w:p>
            <w:pPr>
              <w:pStyle w:val="Compact"/>
              <w:jc w:val="left"/>
            </w:pPr>
            <w:r>
              <w:t xml:space="preserve">Fit_5GF</w:t>
            </w:r>
          </w:p>
        </w:tc>
        <w:tc>
          <w:p>
            <w:pPr>
              <w:pStyle w:val="Compact"/>
              <w:jc w:val="left"/>
            </w:pPr>
            <w:r>
              <w:t xml:space="preserve">Gray_Fox_Cases_lag1 + Gray_Fox_Error_lag1,2 + Raccoon_Cases_lag0,1,2,3</w:t>
            </w:r>
          </w:p>
        </w:tc>
        <w:tc>
          <w:p>
            <w:pPr>
              <w:pStyle w:val="Compact"/>
              <w:jc w:val="right"/>
            </w:pPr>
            <w:r>
              <w:t xml:space="preserve">816.0758</w:t>
            </w:r>
          </w:p>
        </w:tc>
      </w:tr>
      <w:tr>
        <w:tc>
          <w:p>
            <w:pPr>
              <w:pStyle w:val="Compact"/>
              <w:jc w:val="right"/>
            </w:pPr>
            <w:r>
              <w:t xml:space="preserve">6</w:t>
            </w:r>
          </w:p>
        </w:tc>
        <w:tc>
          <w:p>
            <w:pPr>
              <w:pStyle w:val="Compact"/>
              <w:jc w:val="left"/>
            </w:pPr>
            <w:r>
              <w:t xml:space="preserve">Fit_6GF</w:t>
            </w:r>
          </w:p>
        </w:tc>
        <w:tc>
          <w:p>
            <w:pPr>
              <w:pStyle w:val="Compact"/>
              <w:jc w:val="left"/>
            </w:pPr>
            <w:r>
              <w:t xml:space="preserve">Gray_Fox_Cases_lag1 + Raccoon_Cases_lag0,1,2,3,4</w:t>
            </w:r>
          </w:p>
        </w:tc>
        <w:tc>
          <w:p>
            <w:pPr>
              <w:pStyle w:val="Compact"/>
              <w:jc w:val="right"/>
            </w:pPr>
            <w:r>
              <w:t xml:space="preserve">815.1845</w:t>
            </w:r>
          </w:p>
        </w:tc>
      </w:tr>
      <w:tr>
        <w:tc>
          <w:p>
            <w:pPr>
              <w:pStyle w:val="Compact"/>
              <w:jc w:val="right"/>
            </w:pPr>
            <w:r>
              <w:t xml:space="preserve">7</w:t>
            </w:r>
          </w:p>
        </w:tc>
        <w:tc>
          <w:p>
            <w:pPr>
              <w:pStyle w:val="Compact"/>
              <w:jc w:val="left"/>
            </w:pPr>
            <w:r>
              <w:t xml:space="preserve">Fit_7GF</w:t>
            </w:r>
          </w:p>
        </w:tc>
        <w:tc>
          <w:p>
            <w:pPr>
              <w:pStyle w:val="Compact"/>
              <w:jc w:val="left"/>
            </w:pPr>
            <w:r>
              <w:t xml:space="preserve">Gray_Fox_Cases_lag1,2 + Raccoon_Cases_lag0,1,2,3,4,5</w:t>
            </w:r>
          </w:p>
        </w:tc>
        <w:tc>
          <w:p>
            <w:pPr>
              <w:pStyle w:val="Compact"/>
              <w:jc w:val="right"/>
            </w:pPr>
            <w:r>
              <w:t xml:space="preserve">817.0028</w:t>
            </w:r>
          </w:p>
        </w:tc>
      </w:tr>
      <w:tr>
        <w:tc>
          <w:p>
            <w:pPr>
              <w:pStyle w:val="Compact"/>
              <w:jc w:val="right"/>
            </w:pPr>
            <w:r>
              <w:t xml:space="preserve">8</w:t>
            </w:r>
          </w:p>
        </w:tc>
        <w:tc>
          <w:p>
            <w:pPr>
              <w:pStyle w:val="Compact"/>
              <w:jc w:val="left"/>
            </w:pPr>
            <w:r>
              <w:t xml:space="preserve">Fit_8GF</w:t>
            </w:r>
          </w:p>
        </w:tc>
        <w:tc>
          <w:p>
            <w:pPr>
              <w:pStyle w:val="Compact"/>
              <w:jc w:val="left"/>
            </w:pPr>
            <w:r>
              <w:t xml:space="preserve">Gray_Fox_Cases_lag1 + Raccoon_Cases_lag0,1,2,3,4,5,6</w:t>
            </w:r>
          </w:p>
        </w:tc>
        <w:tc>
          <w:p>
            <w:pPr>
              <w:pStyle w:val="Compact"/>
              <w:jc w:val="right"/>
            </w:pPr>
            <w:r>
              <w:t xml:space="preserve">818.4572</w:t>
            </w:r>
          </w:p>
        </w:tc>
      </w:tr>
      <w:tr>
        <w:tc>
          <w:p>
            <w:pPr>
              <w:pStyle w:val="Compact"/>
              <w:jc w:val="right"/>
            </w:pPr>
            <w:r>
              <w:t xml:space="preserve">9</w:t>
            </w:r>
          </w:p>
        </w:tc>
        <w:tc>
          <w:p>
            <w:pPr>
              <w:pStyle w:val="Compact"/>
              <w:jc w:val="left"/>
            </w:pPr>
            <w:r>
              <w:t xml:space="preserve">Fit_9GF</w:t>
            </w:r>
          </w:p>
        </w:tc>
        <w:tc>
          <w:p>
            <w:pPr>
              <w:pStyle w:val="Compact"/>
              <w:jc w:val="left"/>
            </w:pPr>
            <w:r>
              <w:t xml:space="preserve">Gray_Fox_Cases_lag1 + Raccoon_Cases_lag0,1,2,3,4,5,6,7</w:t>
            </w:r>
          </w:p>
        </w:tc>
        <w:tc>
          <w:p>
            <w:pPr>
              <w:pStyle w:val="Compact"/>
              <w:jc w:val="right"/>
            </w:pPr>
            <w:r>
              <w:t xml:space="preserve">815.6756</w:t>
            </w:r>
          </w:p>
        </w:tc>
      </w:tr>
      <w:tr>
        <w:tc>
          <w:p>
            <w:pPr>
              <w:pStyle w:val="Compact"/>
              <w:jc w:val="right"/>
            </w:pPr>
            <w:r>
              <w:t xml:space="preserve">10</w:t>
            </w:r>
          </w:p>
        </w:tc>
        <w:tc>
          <w:p>
            <w:pPr>
              <w:pStyle w:val="Compact"/>
              <w:jc w:val="left"/>
            </w:pPr>
            <w:r>
              <w:t xml:space="preserve">Fit_10GF</w:t>
            </w:r>
          </w:p>
        </w:tc>
        <w:tc>
          <w:p>
            <w:pPr>
              <w:pStyle w:val="Compact"/>
              <w:jc w:val="left"/>
            </w:pPr>
            <w:r>
              <w:t xml:space="preserve">Gray_Fox_Cases_lag1,2 + Raccoon_Cases_lag0,1,2,3,4,5,6,7,8</w:t>
            </w:r>
          </w:p>
        </w:tc>
        <w:tc>
          <w:p>
            <w:pPr>
              <w:pStyle w:val="Compact"/>
              <w:jc w:val="right"/>
            </w:pPr>
            <w:r>
              <w:t xml:space="preserve">815.5924</w:t>
            </w:r>
          </w:p>
        </w:tc>
      </w:tr>
      <w:tr>
        <w:tc>
          <w:p>
            <w:pPr>
              <w:pStyle w:val="Compact"/>
              <w:jc w:val="right"/>
            </w:pPr>
            <w:r>
              <w:t xml:space="preserve">11</w:t>
            </w:r>
          </w:p>
        </w:tc>
        <w:tc>
          <w:p>
            <w:pPr>
              <w:pStyle w:val="Compact"/>
              <w:jc w:val="left"/>
            </w:pPr>
            <w:r>
              <w:t xml:space="preserve">Fit_11GF</w:t>
            </w:r>
          </w:p>
        </w:tc>
        <w:tc>
          <w:p>
            <w:pPr>
              <w:pStyle w:val="Compact"/>
              <w:jc w:val="left"/>
            </w:pPr>
            <w:r>
              <w:t xml:space="preserve">Gray_Fox_Cases_lag1 + Raccoon_Cases_lag0,1,2,3,4,5,6,7,8,9</w:t>
            </w:r>
          </w:p>
        </w:tc>
        <w:tc>
          <w:p>
            <w:pPr>
              <w:pStyle w:val="Compact"/>
              <w:jc w:val="right"/>
            </w:pPr>
            <w:r>
              <w:t xml:space="preserve">820.3420</w:t>
            </w:r>
          </w:p>
        </w:tc>
      </w:tr>
      <w:tr>
        <w:tc>
          <w:p>
            <w:pPr>
              <w:pStyle w:val="Compact"/>
              <w:jc w:val="right"/>
            </w:pPr>
            <w:r>
              <w:t xml:space="preserve">12</w:t>
            </w:r>
          </w:p>
        </w:tc>
        <w:tc>
          <w:p>
            <w:pPr>
              <w:pStyle w:val="Compact"/>
              <w:jc w:val="left"/>
            </w:pPr>
            <w:r>
              <w:t xml:space="preserve">Fit_12GF</w:t>
            </w:r>
          </w:p>
        </w:tc>
        <w:tc>
          <w:p>
            <w:pPr>
              <w:pStyle w:val="Compact"/>
              <w:jc w:val="left"/>
            </w:pPr>
            <w:r>
              <w:t xml:space="preserve">Gray_Fox_Cases_lag1 + Raccoon_Cases_lag0,1,2,3,4,5,6,7,8,9,10</w:t>
            </w:r>
          </w:p>
        </w:tc>
        <w:tc>
          <w:p>
            <w:pPr>
              <w:pStyle w:val="Compact"/>
              <w:jc w:val="right"/>
            </w:pPr>
            <w:r>
              <w:t xml:space="preserve">819.3913</w:t>
            </w:r>
          </w:p>
        </w:tc>
      </w:tr>
      <w:tr>
        <w:tc>
          <w:p>
            <w:pPr>
              <w:pStyle w:val="Compact"/>
              <w:jc w:val="right"/>
            </w:pPr>
            <w:r>
              <w:t xml:space="preserve">13</w:t>
            </w:r>
          </w:p>
        </w:tc>
        <w:tc>
          <w:p>
            <w:pPr>
              <w:pStyle w:val="Compact"/>
              <w:jc w:val="left"/>
            </w:pPr>
            <w:r>
              <w:t xml:space="preserve">Fit_13GF</w:t>
            </w:r>
          </w:p>
        </w:tc>
        <w:tc>
          <w:p>
            <w:pPr>
              <w:pStyle w:val="Compact"/>
              <w:jc w:val="left"/>
            </w:pPr>
            <w:r>
              <w:t xml:space="preserve">Gray_Fox_Cases_lag1 + Raccoon_Cases_lag0,1,2,3,4,5,6,7,8,9,10,11</w:t>
            </w:r>
          </w:p>
        </w:tc>
        <w:tc>
          <w:p>
            <w:pPr>
              <w:pStyle w:val="Compact"/>
              <w:jc w:val="right"/>
            </w:pPr>
            <w:r>
              <w:t xml:space="preserve">821.1584</w:t>
            </w:r>
          </w:p>
        </w:tc>
      </w:tr>
      <w:tr>
        <w:tc>
          <w:p>
            <w:pPr>
              <w:pStyle w:val="Compact"/>
              <w:jc w:val="right"/>
            </w:pPr>
            <w:r>
              <w:t xml:space="preserve">14</w:t>
            </w:r>
          </w:p>
        </w:tc>
        <w:tc>
          <w:p>
            <w:pPr>
              <w:pStyle w:val="Compact"/>
              <w:jc w:val="left"/>
            </w:pPr>
            <w:r>
              <w:t xml:space="preserve">Fit_14GF</w:t>
            </w:r>
          </w:p>
        </w:tc>
        <w:tc>
          <w:p>
            <w:pPr>
              <w:pStyle w:val="Compact"/>
              <w:jc w:val="left"/>
            </w:pPr>
            <w:r>
              <w:t xml:space="preserve">Gray_Fox_Cases_lag1 + Raccoon_Cases_lag0,1,2,3,4,5,6,7,8,9,10,11,12</w:t>
            </w:r>
          </w:p>
        </w:tc>
        <w:tc>
          <w:p>
            <w:pPr>
              <w:pStyle w:val="Compact"/>
              <w:jc w:val="right"/>
            </w:pPr>
            <w:r>
              <w:t xml:space="preserve">816.0878</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867.1008</w:t>
            </w:r>
          </w:p>
        </w:tc>
      </w:tr>
    </w:tbl>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Fit_2GF, differencing was not a useful predictor, but the previous two months cases and the error in the model from one month previously were useful predictors, so are included. With the model error being useful in prediciton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CaptionedFigure"/>
      </w:pPr>
      <w:r>
        <w:drawing>
          <wp:inline>
            <wp:extent cx="5334000" cy="312255"/>
            <wp:effectExtent b="0" l="0" r="0" t="0"/>
            <wp:docPr descr="Figure 10: Gray Fox Prediction General Model" title="" id="1" name="Picture"/>
            <a:graphic>
              <a:graphicData uri="http://schemas.openxmlformats.org/drawingml/2006/picture">
                <pic:pic>
                  <pic:nvPicPr>
                    <pic:cNvPr descr="C:/Users/jjw_t/Desktop/PhD/CDV/CDVGA_Project_JJW/results/Models/Gray_Foxgen_2_19.png" id="0" name="Picture"/>
                    <pic:cNvPicPr>
                      <a:picLocks noChangeArrowheads="1" noChangeAspect="1"/>
                    </pic:cNvPicPr>
                  </pic:nvPicPr>
                  <pic:blipFill>
                    <a:blip r:embed="rId50"/>
                    <a:stretch>
                      <a:fillRect/>
                    </a:stretch>
                  </pic:blipFill>
                  <pic:spPr bwMode="auto">
                    <a:xfrm>
                      <a:off x="0" y="0"/>
                      <a:ext cx="5334000" cy="312255"/>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Gray Fox Prediction General Model</w:t>
      </w:r>
    </w:p>
    <w:p>
      <w:pPr>
        <w:pStyle w:val="CaptionedFigure"/>
      </w:pPr>
      <w:r>
        <w:drawing>
          <wp:inline>
            <wp:extent cx="5334000" cy="171081"/>
            <wp:effectExtent b="0" l="0" r="0" t="0"/>
            <wp:docPr descr="Figure 11: Gray Fox Prediction Model" title="" id="1" name="Picture"/>
            <a:graphic>
              <a:graphicData uri="http://schemas.openxmlformats.org/drawingml/2006/picture">
                <pic:pic>
                  <pic:nvPicPr>
                    <pic:cNvPr descr="C:/Users/jjw_t/Desktop/PhD/CDV/CDVGA_Project_JJW/results/Models/Gray_Fox_2_19.png" id="0" name="Picture"/>
                    <pic:cNvPicPr>
                      <a:picLocks noChangeArrowheads="1" noChangeAspect="1"/>
                    </pic:cNvPicPr>
                  </pic:nvPicPr>
                  <pic:blipFill>
                    <a:blip r:embed="rId51"/>
                    <a:stretch>
                      <a:fillRect/>
                    </a:stretch>
                  </pic:blipFill>
                  <pic:spPr bwMode="auto">
                    <a:xfrm>
                      <a:off x="0" y="0"/>
                      <a:ext cx="5334000" cy="171081"/>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TableCaption"/>
      </w:pPr>
      <w:r>
        <w:t xml:space="preserve">Table 2:</w:t>
      </w:r>
      <w:r>
        <w:t xml:space="preserve"> </w:t>
      </w:r>
      <w:r>
        <w:rPr>
          <w:b/>
        </w:rPr>
        <w:t xml:space="preserve">Raccoon Prediction Models</w:t>
      </w:r>
    </w:p>
    <w:tbl>
      <w:tblPr>
        <w:tblStyle w:val="Table"/>
        <w:tblW w:type="pct" w:w="0.0"/>
        <w:tblLook w:firstRow="1"/>
        <w:tblCaption w:val="Table 2: Raccoon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Fit_1R</w:t>
            </w:r>
          </w:p>
        </w:tc>
        <w:tc>
          <w:p>
            <w:pPr>
              <w:pStyle w:val="Compact"/>
              <w:jc w:val="left"/>
            </w:pPr>
            <w:r>
              <w:t xml:space="preserve">Raccoon_Cases_lag_1 + Raccoon_Error_lag_1</w:t>
            </w:r>
          </w:p>
        </w:tc>
        <w:tc>
          <w:p>
            <w:pPr>
              <w:pStyle w:val="Compact"/>
              <w:jc w:val="right"/>
            </w:pPr>
            <w:r>
              <w:t xml:space="preserve">1317.628</w:t>
            </w:r>
          </w:p>
        </w:tc>
      </w:tr>
      <w:tr>
        <w:tc>
          <w:p>
            <w:pPr>
              <w:pStyle w:val="Compact"/>
              <w:jc w:val="right"/>
            </w:pPr>
            <w:r>
              <w:t xml:space="preserve">2</w:t>
            </w:r>
          </w:p>
        </w:tc>
        <w:tc>
          <w:p>
            <w:pPr>
              <w:pStyle w:val="Compact"/>
              <w:jc w:val="left"/>
            </w:pPr>
            <w:r>
              <w:t xml:space="preserve">Fit_2R</w:t>
            </w:r>
          </w:p>
        </w:tc>
        <w:tc>
          <w:p>
            <w:pPr>
              <w:pStyle w:val="Compact"/>
              <w:jc w:val="left"/>
            </w:pPr>
            <w:r>
              <w:t xml:space="preserve">Raccoon_Cases_lag_1 + Raccoon_Error_lag_1 + Gray_Fox_Cases_lag_0</w:t>
            </w:r>
          </w:p>
        </w:tc>
        <w:tc>
          <w:p>
            <w:pPr>
              <w:pStyle w:val="Compact"/>
              <w:jc w:val="right"/>
            </w:pPr>
            <w:r>
              <w:t xml:space="preserve">1309.358</w:t>
            </w:r>
          </w:p>
        </w:tc>
      </w:tr>
      <w:tr>
        <w:tc>
          <w:p>
            <w:pPr>
              <w:pStyle w:val="Compact"/>
              <w:jc w:val="right"/>
            </w:pPr>
            <w:r>
              <w:t xml:space="preserve">3</w:t>
            </w:r>
          </w:p>
        </w:tc>
        <w:tc>
          <w:p>
            <w:pPr>
              <w:pStyle w:val="Compact"/>
              <w:jc w:val="left"/>
            </w:pPr>
            <w:r>
              <w:t xml:space="preserve">Fit_3R</w:t>
            </w:r>
          </w:p>
        </w:tc>
        <w:tc>
          <w:p>
            <w:pPr>
              <w:pStyle w:val="Compact"/>
              <w:jc w:val="left"/>
            </w:pPr>
            <w:r>
              <w:t xml:space="preserve">Raccoon_Cases_lag_1 + Raccoon_Error_lag_1 + Gray_Fox_Cases_lag_0,1</w:t>
            </w:r>
          </w:p>
        </w:tc>
        <w:tc>
          <w:p>
            <w:pPr>
              <w:pStyle w:val="Compact"/>
              <w:jc w:val="right"/>
            </w:pPr>
            <w:r>
              <w:t xml:space="preserve">1308.566</w:t>
            </w:r>
          </w:p>
        </w:tc>
      </w:tr>
      <w:tr>
        <w:tc>
          <w:p>
            <w:pPr>
              <w:pStyle w:val="Compact"/>
              <w:jc w:val="right"/>
            </w:pPr>
            <w:r>
              <w:t xml:space="preserve">4</w:t>
            </w:r>
          </w:p>
        </w:tc>
        <w:tc>
          <w:p>
            <w:pPr>
              <w:pStyle w:val="Compact"/>
              <w:jc w:val="left"/>
            </w:pPr>
            <w:r>
              <w:t xml:space="preserve">Fit_4R</w:t>
            </w:r>
          </w:p>
        </w:tc>
        <w:tc>
          <w:p>
            <w:pPr>
              <w:pStyle w:val="Compact"/>
              <w:jc w:val="left"/>
            </w:pPr>
            <w:r>
              <w:t xml:space="preserve">Raccoon_Cases_lag_1 + Raccoon_Error_lag_1 + Gray_Fox_Cases_lag_0,1,2</w:t>
            </w:r>
          </w:p>
        </w:tc>
        <w:tc>
          <w:p>
            <w:pPr>
              <w:pStyle w:val="Compact"/>
              <w:jc w:val="right"/>
            </w:pPr>
            <w:r>
              <w:t xml:space="preserve">1297.329</w:t>
            </w:r>
          </w:p>
        </w:tc>
      </w:tr>
      <w:tr>
        <w:tc>
          <w:p>
            <w:pPr>
              <w:pStyle w:val="Compact"/>
              <w:jc w:val="right"/>
            </w:pPr>
            <w:r>
              <w:t xml:space="preserve">5</w:t>
            </w:r>
          </w:p>
        </w:tc>
        <w:tc>
          <w:p>
            <w:pPr>
              <w:pStyle w:val="Compact"/>
              <w:jc w:val="left"/>
            </w:pPr>
            <w:r>
              <w:t xml:space="preserve">Fit_5R</w:t>
            </w:r>
          </w:p>
        </w:tc>
        <w:tc>
          <w:p>
            <w:pPr>
              <w:pStyle w:val="Compact"/>
              <w:jc w:val="left"/>
            </w:pPr>
            <w:r>
              <w:t xml:space="preserve">Raccoon_Cases_lag_1 + Raccoon_Error_lag_1 + Gray_Fox_Cases_lag_0,1,2,3</w:t>
            </w:r>
          </w:p>
        </w:tc>
        <w:tc>
          <w:p>
            <w:pPr>
              <w:pStyle w:val="Compact"/>
              <w:jc w:val="right"/>
            </w:pPr>
            <w:r>
              <w:t xml:space="preserve">1299.113</w:t>
            </w:r>
          </w:p>
        </w:tc>
      </w:tr>
      <w:tr>
        <w:tc>
          <w:p>
            <w:pPr>
              <w:pStyle w:val="Compact"/>
              <w:jc w:val="right"/>
            </w:pPr>
            <w:r>
              <w:t xml:space="preserve">6</w:t>
            </w:r>
          </w:p>
        </w:tc>
        <w:tc>
          <w:p>
            <w:pPr>
              <w:pStyle w:val="Compact"/>
              <w:jc w:val="left"/>
            </w:pPr>
            <w:r>
              <w:t xml:space="preserve">Fit_6R</w:t>
            </w:r>
          </w:p>
        </w:tc>
        <w:tc>
          <w:p>
            <w:pPr>
              <w:pStyle w:val="Compact"/>
              <w:jc w:val="left"/>
            </w:pPr>
            <w:r>
              <w:t xml:space="preserve">Raccoon_Cases_lag_1,2,3,4 + Gray_Fox_Cases_lag_0,1,2,3,4</w:t>
            </w:r>
          </w:p>
        </w:tc>
        <w:tc>
          <w:p>
            <w:pPr>
              <w:pStyle w:val="Compact"/>
              <w:jc w:val="right"/>
            </w:pPr>
            <w:r>
              <w:t xml:space="preserve">1301.110</w:t>
            </w:r>
          </w:p>
        </w:tc>
      </w:tr>
      <w:tr>
        <w:tc>
          <w:p>
            <w:pPr>
              <w:pStyle w:val="Compact"/>
              <w:jc w:val="right"/>
            </w:pPr>
            <w:r>
              <w:t xml:space="preserve">7</w:t>
            </w:r>
          </w:p>
        </w:tc>
        <w:tc>
          <w:p>
            <w:pPr>
              <w:pStyle w:val="Compact"/>
              <w:jc w:val="left"/>
            </w:pPr>
            <w:r>
              <w:t xml:space="preserve">Fit_7R</w:t>
            </w:r>
          </w:p>
        </w:tc>
        <w:tc>
          <w:p>
            <w:pPr>
              <w:pStyle w:val="Compact"/>
              <w:jc w:val="left"/>
            </w:pPr>
            <w:r>
              <w:t xml:space="preserve">Raccoon_Cases_lag_1,2,3,4 + Gray_Fox_Cases_lag_0,1,2,3,4,5</w:t>
            </w:r>
          </w:p>
        </w:tc>
        <w:tc>
          <w:p>
            <w:pPr>
              <w:pStyle w:val="Compact"/>
              <w:jc w:val="right"/>
            </w:pPr>
            <w:r>
              <w:t xml:space="preserve">1302.347</w:t>
            </w:r>
          </w:p>
        </w:tc>
      </w:tr>
      <w:tr>
        <w:tc>
          <w:p>
            <w:pPr>
              <w:pStyle w:val="Compact"/>
              <w:jc w:val="right"/>
            </w:pPr>
            <w:r>
              <w:t xml:space="preserve">8</w:t>
            </w:r>
          </w:p>
        </w:tc>
        <w:tc>
          <w:p>
            <w:pPr>
              <w:pStyle w:val="Compact"/>
              <w:jc w:val="left"/>
            </w:pPr>
            <w:r>
              <w:t xml:space="preserve">Fit_8R</w:t>
            </w:r>
          </w:p>
        </w:tc>
        <w:tc>
          <w:p>
            <w:pPr>
              <w:pStyle w:val="Compact"/>
              <w:jc w:val="left"/>
            </w:pPr>
            <w:r>
              <w:t xml:space="preserve">Raccoon_Cases_lag_1,2,3,4 + Gray_Fox_Cases_lag_0,1,2,3,4,5,6</w:t>
            </w:r>
          </w:p>
        </w:tc>
        <w:tc>
          <w:p>
            <w:pPr>
              <w:pStyle w:val="Compact"/>
              <w:jc w:val="right"/>
            </w:pPr>
            <w:r>
              <w:t xml:space="preserve">1299.008</w:t>
            </w:r>
          </w:p>
        </w:tc>
      </w:tr>
      <w:tr>
        <w:tc>
          <w:p>
            <w:pPr>
              <w:pStyle w:val="Compact"/>
              <w:jc w:val="right"/>
            </w:pPr>
            <w:r>
              <w:t xml:space="preserve">9</w:t>
            </w:r>
          </w:p>
        </w:tc>
        <w:tc>
          <w:p>
            <w:pPr>
              <w:pStyle w:val="Compact"/>
              <w:jc w:val="left"/>
            </w:pPr>
            <w:r>
              <w:t xml:space="preserve">Fit_9R</w:t>
            </w:r>
          </w:p>
        </w:tc>
        <w:tc>
          <w:p>
            <w:pPr>
              <w:pStyle w:val="Compact"/>
              <w:jc w:val="left"/>
            </w:pPr>
            <w:r>
              <w:t xml:space="preserve">Raccoon_Cases_lag_1,2,3,4 + Gray_Fox_Cases_lag_0,1,2,3,4,5,6,7</w:t>
            </w:r>
          </w:p>
        </w:tc>
        <w:tc>
          <w:p>
            <w:pPr>
              <w:pStyle w:val="Compact"/>
              <w:jc w:val="right"/>
            </w:pPr>
            <w:r>
              <w:t xml:space="preserve">1300.957</w:t>
            </w:r>
          </w:p>
        </w:tc>
      </w:tr>
      <w:tr>
        <w:tc>
          <w:p>
            <w:pPr>
              <w:pStyle w:val="Compact"/>
              <w:jc w:val="right"/>
            </w:pPr>
            <w:r>
              <w:t xml:space="preserve">10</w:t>
            </w:r>
          </w:p>
        </w:tc>
        <w:tc>
          <w:p>
            <w:pPr>
              <w:pStyle w:val="Compact"/>
              <w:jc w:val="left"/>
            </w:pPr>
            <w:r>
              <w:t xml:space="preserve">Fit_10R</w:t>
            </w:r>
          </w:p>
        </w:tc>
        <w:tc>
          <w:p>
            <w:pPr>
              <w:pStyle w:val="Compact"/>
              <w:jc w:val="left"/>
            </w:pPr>
            <w:r>
              <w:t xml:space="preserve">Raccoon_Cases_lag_1,2,3,4 + Gray_Fox_Cases_lag_0,1,2,3,4,5,6,7,8</w:t>
            </w:r>
          </w:p>
        </w:tc>
        <w:tc>
          <w:p>
            <w:pPr>
              <w:pStyle w:val="Compact"/>
              <w:jc w:val="right"/>
            </w:pPr>
            <w:r>
              <w:t xml:space="preserve">1302.537</w:t>
            </w:r>
          </w:p>
        </w:tc>
      </w:tr>
      <w:tr>
        <w:tc>
          <w:p>
            <w:pPr>
              <w:pStyle w:val="Compact"/>
              <w:jc w:val="right"/>
            </w:pPr>
            <w:r>
              <w:t xml:space="preserve">11</w:t>
            </w:r>
          </w:p>
        </w:tc>
        <w:tc>
          <w:p>
            <w:pPr>
              <w:pStyle w:val="Compact"/>
              <w:jc w:val="left"/>
            </w:pPr>
            <w:r>
              <w:t xml:space="preserve">Fit_11R</w:t>
            </w:r>
          </w:p>
        </w:tc>
        <w:tc>
          <w:p>
            <w:pPr>
              <w:pStyle w:val="Compact"/>
              <w:jc w:val="left"/>
            </w:pPr>
            <w:r>
              <w:t xml:space="preserve">Raccoon_Cases_lag_1,2,3,4 + Gray_Fox_Cases_lag_0,1,2,3,4,5,6,7,8,9</w:t>
            </w:r>
          </w:p>
        </w:tc>
        <w:tc>
          <w:p>
            <w:pPr>
              <w:pStyle w:val="Compact"/>
              <w:jc w:val="right"/>
            </w:pPr>
            <w:r>
              <w:t xml:space="preserve">1302.087</w:t>
            </w:r>
          </w:p>
        </w:tc>
      </w:tr>
      <w:tr>
        <w:tc>
          <w:p>
            <w:pPr>
              <w:pStyle w:val="Compact"/>
              <w:jc w:val="right"/>
            </w:pPr>
            <w:r>
              <w:t xml:space="preserve">12</w:t>
            </w:r>
          </w:p>
        </w:tc>
        <w:tc>
          <w:p>
            <w:pPr>
              <w:pStyle w:val="Compact"/>
              <w:jc w:val="left"/>
            </w:pPr>
            <w:r>
              <w:t xml:space="preserve">Fit_12R</w:t>
            </w:r>
          </w:p>
        </w:tc>
        <w:tc>
          <w:p>
            <w:pPr>
              <w:pStyle w:val="Compact"/>
              <w:jc w:val="left"/>
            </w:pPr>
            <w:r>
              <w:t xml:space="preserve">Raccoon_Cases_lag_1,2,3,4 + Gray_Fox_Cases_lag_0,1,2,3,4,5,6,7,8,9,10</w:t>
            </w:r>
          </w:p>
        </w:tc>
        <w:tc>
          <w:p>
            <w:pPr>
              <w:pStyle w:val="Compact"/>
              <w:jc w:val="right"/>
            </w:pPr>
            <w:r>
              <w:t xml:space="preserve">1304.045</w:t>
            </w:r>
          </w:p>
        </w:tc>
      </w:tr>
      <w:tr>
        <w:tc>
          <w:p>
            <w:pPr>
              <w:pStyle w:val="Compact"/>
              <w:jc w:val="right"/>
            </w:pPr>
            <w:r>
              <w:t xml:space="preserve">13</w:t>
            </w:r>
          </w:p>
        </w:tc>
        <w:tc>
          <w:p>
            <w:pPr>
              <w:pStyle w:val="Compact"/>
              <w:jc w:val="left"/>
            </w:pPr>
            <w:r>
              <w:t xml:space="preserve">Fit_13R</w:t>
            </w:r>
          </w:p>
        </w:tc>
        <w:tc>
          <w:p>
            <w:pPr>
              <w:pStyle w:val="Compact"/>
              <w:jc w:val="left"/>
            </w:pPr>
            <w:r>
              <w:t xml:space="preserve">Raccoon_Cases_lag_1,2,3,4 + Gray_Fox_Cases_lag_0,1,2,3,4,5,6,7,8,9,10,11</w:t>
            </w:r>
          </w:p>
        </w:tc>
        <w:tc>
          <w:p>
            <w:pPr>
              <w:pStyle w:val="Compact"/>
              <w:jc w:val="right"/>
            </w:pPr>
            <w:r>
              <w:t xml:space="preserve">1305.509</w:t>
            </w:r>
          </w:p>
        </w:tc>
      </w:tr>
      <w:tr>
        <w:tc>
          <w:p>
            <w:pPr>
              <w:pStyle w:val="Compact"/>
              <w:jc w:val="right"/>
            </w:pPr>
            <w:r>
              <w:t xml:space="preserve">14</w:t>
            </w:r>
          </w:p>
        </w:tc>
        <w:tc>
          <w:p>
            <w:pPr>
              <w:pStyle w:val="Compact"/>
              <w:jc w:val="left"/>
            </w:pPr>
            <w:r>
              <w:t xml:space="preserve">Fit_14R</w:t>
            </w:r>
          </w:p>
        </w:tc>
        <w:tc>
          <w:p>
            <w:pPr>
              <w:pStyle w:val="Compact"/>
              <w:jc w:val="left"/>
            </w:pPr>
            <w:r>
              <w:t xml:space="preserve">Raccoon_Cases_lag_1,2,3,4 + Gray_Fox_Cases_lag_0,1,2,3,4,5,6,7,8,9,10,11,12</w:t>
            </w:r>
          </w:p>
        </w:tc>
        <w:tc>
          <w:p>
            <w:pPr>
              <w:pStyle w:val="Compact"/>
              <w:jc w:val="right"/>
            </w:pPr>
            <w:r>
              <w:t xml:space="preserve">1305.149</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1430.343</w:t>
            </w:r>
          </w:p>
        </w:tc>
      </w:tr>
    </w:tbl>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CaptionedFigure"/>
      </w:pPr>
      <w:r>
        <w:drawing>
          <wp:inline>
            <wp:extent cx="5334000" cy="252190"/>
            <wp:effectExtent b="0" l="0" r="0" t="0"/>
            <wp:docPr descr="Figure 12: Raccoon Prediction General Model" title="" id="1" name="Picture"/>
            <a:graphic>
              <a:graphicData uri="http://schemas.openxmlformats.org/drawingml/2006/picture">
                <pic:pic>
                  <pic:nvPicPr>
                    <pic:cNvPr descr="C:/Users/jjw_t/Desktop/PhD/CDV/CDVGA_Project_JJW/results/Models/Raccoongen_4_19.png" id="0" name="Picture"/>
                    <pic:cNvPicPr>
                      <a:picLocks noChangeArrowheads="1" noChangeAspect="1"/>
                    </pic:cNvPicPr>
                  </pic:nvPicPr>
                  <pic:blipFill>
                    <a:blip r:embed="rId52"/>
                    <a:stretch>
                      <a:fillRect/>
                    </a:stretch>
                  </pic:blipFill>
                  <pic:spPr bwMode="auto">
                    <a:xfrm>
                      <a:off x="0" y="0"/>
                      <a:ext cx="5334000" cy="252190"/>
                    </a:xfrm>
                    <a:prstGeom prst="rect">
                      <a:avLst/>
                    </a:prstGeom>
                    <a:noFill/>
                    <a:ln w="9525">
                      <a:noFill/>
                      <a:headEnd/>
                      <a:tailEnd/>
                    </a:ln>
                  </pic:spPr>
                </pic:pic>
              </a:graphicData>
            </a:graphic>
          </wp:inline>
        </w:drawing>
      </w:r>
    </w:p>
    <w:p>
      <w:pPr>
        <w:pStyle w:val="ImageCaption"/>
      </w:pPr>
      <w:r>
        <w:t xml:space="preserve">Figure 12:</w:t>
      </w:r>
      <w:r>
        <w:t xml:space="preserve"> </w:t>
      </w:r>
      <w:r>
        <w:rPr>
          <w:b/>
        </w:rPr>
        <w:t xml:space="preserve">Raccoon Prediction General Model</w:t>
      </w:r>
    </w:p>
    <w:p>
      <w:pPr>
        <w:pStyle w:val="CaptionedFigure"/>
      </w:pPr>
      <w:r>
        <w:drawing>
          <wp:inline>
            <wp:extent cx="5334000" cy="141851"/>
            <wp:effectExtent b="0" l="0" r="0" t="0"/>
            <wp:docPr descr="Figure 13: Raccoon Prediction Model" title="" id="1" name="Picture"/>
            <a:graphic>
              <a:graphicData uri="http://schemas.openxmlformats.org/drawingml/2006/picture">
                <pic:pic>
                  <pic:nvPicPr>
                    <pic:cNvPr descr="C:/Users/jjw_t/Desktop/PhD/CDV/CDVGA_Project_JJW/results/Models/Raccoon_4_19.png" id="0" name="Picture"/>
                    <pic:cNvPicPr>
                      <a:picLocks noChangeArrowheads="1" noChangeAspect="1"/>
                    </pic:cNvPicPr>
                  </pic:nvPicPr>
                  <pic:blipFill>
                    <a:blip r:embed="rId53"/>
                    <a:stretch>
                      <a:fillRect/>
                    </a:stretch>
                  </pic:blipFill>
                  <pic:spPr bwMode="auto">
                    <a:xfrm>
                      <a:off x="0" y="0"/>
                      <a:ext cx="5334000" cy="141851"/>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TableCaption"/>
      </w:pPr>
      <w:r>
        <w:t xml:space="preserve">Table 3:</w:t>
      </w:r>
      <w:r>
        <w:t xml:space="preserve"> </w:t>
      </w:r>
      <w:r>
        <w:rPr>
          <w:b/>
        </w:rPr>
        <w:t xml:space="preserve">Testing Prediction Models</w:t>
      </w:r>
    </w:p>
    <w:tbl>
      <w:tblPr>
        <w:tblStyle w:val="Table"/>
        <w:tblW w:type="pct" w:w="0.0"/>
        <w:tblLook w:firstRow="1"/>
        <w:tblCaption w:val="Table 3: Testing Prediction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RMSE</w:t>
            </w:r>
          </w:p>
        </w:tc>
      </w:tr>
      <w:tr>
        <w:tc>
          <w:p>
            <w:pPr>
              <w:pStyle w:val="Compact"/>
              <w:jc w:val="left"/>
            </w:pPr>
            <w:r>
              <w:t xml:space="preserve">Fit_2GF_train</w:t>
            </w:r>
          </w:p>
        </w:tc>
        <w:tc>
          <w:p>
            <w:pPr>
              <w:pStyle w:val="Compact"/>
              <w:jc w:val="right"/>
            </w:pPr>
            <w:r>
              <w:t xml:space="preserve">0.6392441</w:t>
            </w:r>
          </w:p>
        </w:tc>
      </w:tr>
      <w:tr>
        <w:tc>
          <w:p>
            <w:pPr>
              <w:pStyle w:val="Compact"/>
              <w:jc w:val="left"/>
            </w:pPr>
            <w:r>
              <w:t xml:space="preserve">Fit_2GF_test</w:t>
            </w:r>
          </w:p>
        </w:tc>
        <w:tc>
          <w:p>
            <w:pPr>
              <w:pStyle w:val="Compact"/>
              <w:jc w:val="right"/>
            </w:pPr>
            <w:r>
              <w:t xml:space="preserve">0.2668708</w:t>
            </w:r>
          </w:p>
        </w:tc>
      </w:tr>
      <w:tr>
        <w:tc>
          <w:p>
            <w:pPr>
              <w:pStyle w:val="Compact"/>
              <w:jc w:val="left"/>
            </w:pPr>
            <w:r>
              <w:t xml:space="preserve">Fit_4R_train</w:t>
            </w:r>
          </w:p>
        </w:tc>
        <w:tc>
          <w:p>
            <w:pPr>
              <w:pStyle w:val="Compact"/>
              <w:jc w:val="right"/>
            </w:pPr>
            <w:r>
              <w:t xml:space="preserve">1.1525480</w:t>
            </w:r>
          </w:p>
        </w:tc>
      </w:tr>
      <w:tr>
        <w:tc>
          <w:p>
            <w:pPr>
              <w:pStyle w:val="Compact"/>
              <w:jc w:val="left"/>
            </w:pPr>
            <w:r>
              <w:t xml:space="preserve">Fit_4R_test</w:t>
            </w:r>
          </w:p>
        </w:tc>
        <w:tc>
          <w:p>
            <w:pPr>
              <w:pStyle w:val="Compact"/>
              <w:jc w:val="right"/>
            </w:pPr>
            <w:r>
              <w:t xml:space="preserve">0.7290283</w:t>
            </w:r>
          </w:p>
        </w:tc>
      </w:tr>
    </w:tbl>
    <w:p>
      <w:pPr>
        <w:pStyle w:val="BodyText"/>
      </w:pPr>
      <w:r>
        <w:t xml:space="preserve">The first model, which uses the number of raccoon cases from the current month, the predictive error for gray fox cases from the previous month in addition to the previosu two months gray fox cases to predict gray fox cases in the current month is the more accurate model with an RMSE of 0.2668708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0.7290283.</w:t>
      </w:r>
    </w:p>
    <w:p>
      <w:pPr>
        <w:pStyle w:val="Heading2"/>
      </w:pPr>
      <w:bookmarkStart w:id="54" w:name="discussion"/>
      <w:r>
        <w:t xml:space="preserve">Discussion</w:t>
      </w:r>
      <w:bookmarkEnd w:id="54"/>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1</w:t>
      </w:r>
      <w:r>
        <w:t xml:space="preserve"> </w:t>
      </w:r>
      <w:r>
        <w:t xml:space="preserve">the year on year variation in number of cases is higher prior to 1996. As the training data ran from the period April 1975-July 2011, the model had to cope with much more variability in this set of data than with the test data from August 2011-December 2019, which will negatively impact the accuracy. The higher RMSE in the raccoon pradiction model is also likely explained by the larger degree of variability in raccoon case numbers.</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55" w:name="limitations"/>
      <w:r>
        <w:t xml:space="preserve">Limitations</w:t>
      </w:r>
      <w:bookmarkEnd w:id="55"/>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56">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57" w:name="future-work"/>
      <w:r>
        <w:t xml:space="preserve">Future Work</w:t>
      </w:r>
      <w:bookmarkEnd w:id="57"/>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58" w:name="conclusions"/>
      <w:r>
        <w:t xml:space="preserve">Conclusions</w:t>
      </w:r>
      <w:bookmarkEnd w:id="58"/>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Heading4"/>
      </w:pPr>
      <w:bookmarkStart w:id="59" w:name="references"/>
      <w:r>
        <w:t xml:space="preserve">References</w:t>
      </w:r>
      <w:bookmarkEnd w:id="59"/>
    </w:p>
    <w:bookmarkStart w:id="98" w:name="refs"/>
    <w:bookmarkStart w:id="60"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0"/>
    <w:bookmarkStart w:id="62"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1">
        <w:r>
          <w:rPr>
            <w:rStyle w:val="Hyperlink"/>
          </w:rPr>
          <w:t xml:space="preserve">https://doi.org/10.1890/09-1225.1</w:t>
        </w:r>
      </w:hyperlink>
    </w:p>
    <w:bookmarkEnd w:id="62"/>
    <w:bookmarkStart w:id="64"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63">
        <w:r>
          <w:rPr>
            <w:rStyle w:val="Hyperlink"/>
          </w:rPr>
          <w:t xml:space="preserve">https://doi.org/10.1371/journal.pone.0007042</w:t>
        </w:r>
      </w:hyperlink>
    </w:p>
    <w:bookmarkEnd w:id="64"/>
    <w:bookmarkStart w:id="66"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65">
        <w:r>
          <w:rPr>
            <w:rStyle w:val="Hyperlink"/>
          </w:rPr>
          <w:t xml:space="preserve">https://doi.org/10.1016/j.onehlt.2015.09.002</w:t>
        </w:r>
      </w:hyperlink>
    </w:p>
    <w:bookmarkEnd w:id="66"/>
    <w:bookmarkStart w:id="68"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67">
        <w:r>
          <w:rPr>
            <w:rStyle w:val="Hyperlink"/>
          </w:rPr>
          <w:t xml:space="preserve">https://doi.org/10.7589/0090-3558-28.1.28</w:t>
        </w:r>
      </w:hyperlink>
    </w:p>
    <w:bookmarkEnd w:id="68"/>
    <w:bookmarkStart w:id="70"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69">
        <w:r>
          <w:rPr>
            <w:rStyle w:val="Hyperlink"/>
          </w:rPr>
          <w:t xml:space="preserve">https://doi.org/10.1638/1042-7260(2000)031[0441:cditca]2.0.co;2</w:t>
        </w:r>
      </w:hyperlink>
    </w:p>
    <w:bookmarkEnd w:id="70"/>
    <w:bookmarkStart w:id="71"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71"/>
    <w:bookmarkStart w:id="73"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72">
        <w:r>
          <w:rPr>
            <w:rStyle w:val="Hyperlink"/>
          </w:rPr>
          <w:t xml:space="preserve">https://doi.org/10.7589/0090-3558-10.4.423</w:t>
        </w:r>
      </w:hyperlink>
    </w:p>
    <w:bookmarkEnd w:id="73"/>
    <w:bookmarkStart w:id="74"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74"/>
    <w:bookmarkStart w:id="76"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75">
        <w:r>
          <w:rPr>
            <w:rStyle w:val="Hyperlink"/>
          </w:rPr>
          <w:t xml:space="preserve">https://doi.org/10.1128/CVI.00005-08</w:t>
        </w:r>
      </w:hyperlink>
    </w:p>
    <w:bookmarkEnd w:id="76"/>
    <w:bookmarkStart w:id="78"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77">
        <w:r>
          <w:rPr>
            <w:rStyle w:val="Hyperlink"/>
          </w:rPr>
          <w:t xml:space="preserve">https://doi.org/10.1016/j.cvsm.2011.08.005</w:t>
        </w:r>
      </w:hyperlink>
    </w:p>
    <w:bookmarkEnd w:id="78"/>
    <w:bookmarkStart w:id="80"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79">
        <w:r>
          <w:rPr>
            <w:rStyle w:val="Hyperlink"/>
          </w:rPr>
          <w:t xml:space="preserve">https://doi.org/10.1177/1040638716656025</w:t>
        </w:r>
      </w:hyperlink>
    </w:p>
    <w:bookmarkEnd w:id="80"/>
    <w:bookmarkStart w:id="82"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81">
        <w:r>
          <w:rPr>
            <w:rStyle w:val="Hyperlink"/>
          </w:rPr>
          <w:t xml:space="preserve">https://doi.org/10.2307/3802774</w:t>
        </w:r>
      </w:hyperlink>
    </w:p>
    <w:bookmarkEnd w:id="82"/>
    <w:bookmarkStart w:id="84"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83">
        <w:r>
          <w:rPr>
            <w:rStyle w:val="Hyperlink"/>
          </w:rPr>
          <w:t xml:space="preserve">https://doi.org/10.1016/j.vetmic.2014.08.034</w:t>
        </w:r>
      </w:hyperlink>
    </w:p>
    <w:bookmarkEnd w:id="84"/>
    <w:bookmarkStart w:id="86"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85">
        <w:r>
          <w:rPr>
            <w:rStyle w:val="Hyperlink"/>
          </w:rPr>
          <w:t xml:space="preserve">https://doi.org/10.1111/1365-2656.12422</w:t>
        </w:r>
      </w:hyperlink>
    </w:p>
    <w:bookmarkEnd w:id="86"/>
    <w:bookmarkStart w:id="87"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87"/>
    <w:bookmarkStart w:id="89"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88">
        <w:r>
          <w:rPr>
            <w:rStyle w:val="Hyperlink"/>
          </w:rPr>
          <w:t xml:space="preserve">https://doi.org/10.1038/379441a0</w:t>
        </w:r>
      </w:hyperlink>
    </w:p>
    <w:bookmarkEnd w:id="89"/>
    <w:bookmarkStart w:id="91"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90">
        <w:r>
          <w:rPr>
            <w:rStyle w:val="Hyperlink"/>
          </w:rPr>
          <w:t xml:space="preserve">https://doi.org/10.7589/0090-3558-29.3.390</w:t>
        </w:r>
      </w:hyperlink>
    </w:p>
    <w:bookmarkEnd w:id="91"/>
    <w:bookmarkStart w:id="93"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92">
        <w:r>
          <w:rPr>
            <w:rStyle w:val="Hyperlink"/>
          </w:rPr>
          <w:t xml:space="preserve">https://doi.org/10.1128/mBio.00410-13</w:t>
        </w:r>
      </w:hyperlink>
    </w:p>
    <w:bookmarkEnd w:id="93"/>
    <w:bookmarkStart w:id="94"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94"/>
    <w:bookmarkStart w:id="95"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95"/>
    <w:bookmarkStart w:id="97"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96">
        <w:r>
          <w:rPr>
            <w:rStyle w:val="Hyperlink"/>
          </w:rPr>
          <w:t xml:space="preserve">https://doi.org/10.7589/0090-3558-24.3.385</w:t>
        </w:r>
      </w:hyperlink>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_rels/footnotes.xml.rels><?xml version="1.0" encoding="UTF-8"?>
<Relationships xmlns="http://schemas.openxmlformats.org/package/2006/relationships"><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Carnivore Cases Cases Reported to the Southeastern Cooperative Wildlife Disease Study (SCWDS), 1975-2019</dc:title>
  <dc:creator/>
  <cp:keywords/>
  <dcterms:created xsi:type="dcterms:W3CDTF">2020-06-14T16:33:36Z</dcterms:created>
  <dcterms:modified xsi:type="dcterms:W3CDTF">2020-06-14T16:33:36Z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abstract.It consists of two paragraphs.</vt:lpwstr>
  </property>
  <property fmtid="{D5CDD505-2E9C-101B-9397-08002B2CF9AE}" pid="3" name="address">
    <vt:lpwstr/>
  </property>
  <property fmtid="{D5CDD505-2E9C-101B-9397-08002B2CF9AE}" pid="4" name="bibliography">
    <vt:lpwstr>../CDV_ref.bib</vt:lpwstr>
  </property>
  <property fmtid="{D5CDD505-2E9C-101B-9397-08002B2CF9AE}" pid="5" name="csl">
    <vt:lpwstr>../apa.csl</vt:lpwstr>
  </property>
  <property fmtid="{D5CDD505-2E9C-101B-9397-08002B2CF9AE}" pid="6" name="date">
    <vt:lpwstr>2020-06-14</vt:lpwstr>
  </property>
  <property fmtid="{D5CDD505-2E9C-101B-9397-08002B2CF9AE}" pid="7" name="documentclass">
    <vt:lpwstr>article</vt:lpwstr>
  </property>
  <property fmtid="{D5CDD505-2E9C-101B-9397-08002B2CF9AE}" pid="8" name="institute">
    <vt:lpwstr>hfdd</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
  </property>
</Properties>
</file>