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left"/>
      </w:pPr>
      <w:r>
        <w:rPr>
          <w:rFonts w:ascii="Noto Sans CJK SC" w:hAnsi="Noto Sans CJK SC" w:eastAsia="Noto Sans CJK SC"/>
          <w:b/>
          <w:color w:val="0B2545"/>
          <w:sz w:val="48"/>
        </w:rPr>
        <w:t>生产运维知识库</w:t>
      </w:r>
    </w:p>
    <w:p>
      <w:pPr>
        <w:spacing w:before="0" w:after="280" w:line="276" w:lineRule="auto"/>
      </w:pPr>
      <w:r>
        <w:rPr>
          <w:rFonts w:ascii="Noto Sans CJK SC" w:hAnsi="Noto Sans CJK SC" w:eastAsia="Noto Sans CJK SC"/>
          <w:b w:val="0"/>
          <w:color w:val="666666"/>
          <w:sz w:val="24"/>
        </w:rPr>
        <w:t>RAG 文档上传与检索测试样例 | 服务故障处置、告警阈值与值班规范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文档用途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本资料为虚构企业“星云科技”的内部运维样例，用于验证 DOCX 的标题、正文、表格解析和知识库问答能力。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1. 服务与值班范围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本知识库覆盖订单平台、会员中心和消息网关三个生产服务。值班工程师负责监控告警初判、日志检索、故障升级、事件记录和恢复后的复盘跟踪。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3150"/>
        <w:gridCol w:w="17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服务名称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核心职责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关键依赖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值班优先级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order-api</w:t>
            </w:r>
          </w:p>
        </w:tc>
        <w:tc>
          <w:tcPr>
            <w:tcW w:type="dxa" w:w="27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订单创建、支付状态同步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MySQL、Redis、payment-gateway</w:t>
            </w:r>
          </w:p>
        </w:tc>
        <w:tc>
          <w:tcPr>
            <w:tcW w:type="dxa" w:w="17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member-service</w:t>
            </w:r>
          </w:p>
        </w:tc>
        <w:tc>
          <w:tcPr>
            <w:tcW w:type="dxa" w:w="27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登录、会员资料、权益校验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MySQL、Redis、短信服务</w:t>
            </w:r>
          </w:p>
        </w:tc>
        <w:tc>
          <w:tcPr>
            <w:tcW w:type="dxa" w:w="17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P1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message-gateway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异步通知、Webhook 投递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Kafka、第三方回调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P1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2. 告警分级与响应目标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告警等级由业务影响、错误范围和恢复紧急程度共同决定。收到告警后，先确认告警是否仍在触发，再通过监控趋势和错误日志判断影响面。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50"/>
        <w:gridCol w:w="1500"/>
        <w:gridCol w:w="381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等级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判定标准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首次响应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升级要求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P0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核心交易不可用、支付失败率超过 20%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5 分钟内</w:t>
            </w:r>
          </w:p>
        </w:tc>
        <w:tc>
          <w:tcPr>
            <w:tcW w:type="dxa" w:w="381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立即通知值班负责人和平台主管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P1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关键功能受影响、错误率持续超过 5%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15 分钟内</w:t>
            </w:r>
          </w:p>
        </w:tc>
        <w:tc>
          <w:tcPr>
            <w:tcW w:type="dxa" w:w="381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30 分钟未恢复则升级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单一功能异常、存在稳定绕行方案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2 小时内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工作时间提交缺陷与跟踪项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关键阈值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order-api 的 5xx 错误率大于 5% 持续 5 分钟触发 P1；大于 20% 持续 2 分钟触发 P0。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3. 通用故障处置流程</w:t>
      </w:r>
    </w:p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3.1 初判与信息收集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确认告警名称、服务实例、开始时间和影响区域。查询同一时间窗口内的错误日志，并记录请求量、错误率、CPU、内存、数据库连接数和 Kafka 消费积压。</w:t>
      </w:r>
    </w:p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3.2 证据核对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当监控与日志指向同一异常时，优先根据证据判断根因；不要仅根据单条错误日志直接重启服务。若异常与最近 30 分钟的发布或配置变更重合，应先核对变更记录。</w:t>
      </w:r>
    </w:p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3.3 恢复与验证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执行恢复动作后，持续观察至少 10 分钟。恢复标准包括：告警恢复、错误率回落到阈值以下、关键接口成功率正常、无新的同类错误日志。</w:t>
      </w:r>
    </w:p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4. 常见场景 Runbook</w:t>
      </w:r>
    </w:p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4.1 数据库连接池耗尽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典型症状：order-api 出现 connection pool exhausted、timeout acquiring connection 或数据库连接数接近上限；接口响应时间升高，5xx 错误率同步增长。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100"/>
        <w:gridCol w:w="28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查询方式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正常参考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异常后的动作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应用日志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检索 connection pool、acquiring connection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无连续超时</w:t>
            </w:r>
          </w:p>
        </w:tc>
        <w:tc>
          <w:tcPr>
            <w:tcW w:type="dxa" w:w="28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定位慢 SQL 或连接泄漏调用链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数据库连接数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监控 mysql_threads_connected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低于最大连接数 80%</w:t>
            </w:r>
          </w:p>
        </w:tc>
        <w:tc>
          <w:tcPr>
            <w:tcW w:type="dxa" w:w="28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暂停高频任务，评估扩容或限流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慢查询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查询 slow query 日志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无新增高耗时 SQL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联系 DBA 优化或终止异常会话</w:t>
            </w:r>
          </w:p>
        </w:tc>
      </w:tr>
    </w:tbl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4.2 Kafka 消费积压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典型症状：message-gateway 的 consumer lag 持续增长，通知延迟增加。先确认消费实例是否存活、分区分配是否均衡，再检查下游第三方回调是否超时。</w:t>
      </w:r>
    </w:p>
    <w:p>
      <w:pPr>
        <w:pStyle w:val="Heading2"/>
        <w:spacing w:before="280" w:after="140" w:line="276" w:lineRule="auto"/>
      </w:pPr>
      <w:r>
        <w:rPr>
          <w:rFonts w:ascii="Noto Sans CJK SC" w:hAnsi="Noto Sans CJK SC" w:eastAsia="Noto Sans CJK SC"/>
          <w:b/>
          <w:color w:val="2E74B5"/>
          <w:sz w:val="26"/>
        </w:rPr>
        <w:t>4.3 Redis 缓存击穿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典型症状：member-service 的数据库 QPS 突增，同时 Redis 命中率低于 85%。处理时优先开启热点 Key 保护和请求合并，避免直接清空全量缓存。</w:t>
      </w:r>
    </w:p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5. 日志检索规范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日志查询默认使用告警开始前后各 15 分钟的时间窗口，并至少附带 service_name、trace_id、request_id、error_code 和 region 其中两个过滤条件。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50"/>
        <w:gridCol w:w="2200"/>
        <w:gridCol w:w="25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推荐关键词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必须关联字段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判断提示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连接池耗尽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connection pool exhausted; acquiring connection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trace_id、db_host</w:t>
            </w:r>
          </w:p>
        </w:tc>
        <w:tc>
          <w:tcPr>
            <w:tcW w:type="dxa" w:w="25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连续出现且伴随延迟升高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支付回调失败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callback timeout; signature verification failed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order_id、partner</w:t>
            </w:r>
          </w:p>
        </w:tc>
        <w:tc>
          <w:tcPr>
            <w:tcW w:type="dxa" w:w="25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区分第三方超时与签名异常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Kafka 积压</w:t>
            </w:r>
          </w:p>
        </w:tc>
        <w:tc>
          <w:tcPr>
            <w:tcW w:type="dxa" w:w="315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consumer lag; rebalance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topic、partition</w:t>
            </w:r>
          </w:p>
        </w:tc>
        <w:tc>
          <w:tcPr>
            <w:tcW w:type="dxa" w:w="25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关注积压增长速度与分区倾斜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缓存异常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cache miss; redis timeout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cache_key、cluster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确认是否为热点 Key 或节点抖动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6. 升级与沟通矩阵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2900"/>
        <w:gridCol w:w="1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事件条件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第一责任人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协作方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沟通频率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P0 核心交易中断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当班 SRE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应用负责人、DBA、平台主管</w:t>
            </w:r>
          </w:p>
        </w:tc>
        <w:tc>
          <w:tcPr>
            <w:tcW w:type="dxa" w:w="19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每 15 分钟更新一次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数据库或缓存容量风险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当班 SRE</w:t>
            </w:r>
          </w:p>
        </w:tc>
        <w:tc>
          <w:tcPr>
            <w:tcW w:type="dxa" w:w="29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DBA、基础设施团队</w:t>
            </w:r>
          </w:p>
        </w:tc>
        <w:tc>
          <w:tcPr>
            <w:tcW w:type="dxa" w:w="19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每 30 分钟更新一次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第三方依赖故障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应用负责人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供应商接口人、客户支持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确认后同步影响范围</w:t>
            </w:r>
          </w:p>
        </w:tc>
      </w:tr>
    </w:tbl>
    <w:p>
      <w:pPr>
        <w:spacing w:before="160" w:after="160" w:line="300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事故沟通内容应包含：当前影响、已确认事实、正在执行的动作、下一次更新时间。未确认的推测必须明确标注为“待验证”。</w:t>
      </w:r>
    </w:p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7. 发布变更与回滚规则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发布后 30 分钟内出现错误率、延迟或资源使用异常，应优先对照发布版本和配置变更。若回滚条件满足，不等待根因完全明确即可执行回滚。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200"/>
        <w:gridCol w:w="29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回滚触发条件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执行动作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20"/>
              </w:rPr>
              <w:t>验证条件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发布后 10 分钟内 5xx 错误率超过 5%</w:t>
            </w:r>
          </w:p>
        </w:tc>
        <w:tc>
          <w:tcPr>
            <w:tcW w:type="dxa" w:w="3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回滚到上一稳定镜像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错误率连续 10 分钟低于 1%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P0 或大面积核心路径失败</w:t>
            </w:r>
          </w:p>
        </w:tc>
        <w:tc>
          <w:tcPr>
            <w:tcW w:type="dxa" w:w="320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停止灰度并立即全量回滚</w:t>
            </w:r>
          </w:p>
        </w:tc>
        <w:tc>
          <w:tcPr>
            <w:tcW w:type="dxa" w:w="2960"/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交易成功率、支付回调恢复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配置变更导致连接或鉴权异常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恢复上一版本配置并刷新实例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0B2545"/>
                <w:sz w:val="19"/>
              </w:rPr>
              <w:t>认证成功率和连接错误恢复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Noto Sans CJK SC" w:hAnsi="Noto Sans CJK SC" w:eastAsia="Noto Sans CJK SC"/>
          <w:b/>
          <w:color w:val="2E74B5"/>
          <w:sz w:val="32"/>
        </w:rPr>
        <w:t>8. RAG 检索验收问题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0B2545"/>
          <w:sz w:val="22"/>
        </w:rPr>
        <w:t>上传本文档后，可以使用以下问题验证知识库是否能检索标题、正文和表格内容：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order-api 的 P0 告警触发条件和首次响应时间是什么？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数据库连接池耗尽时需要检查哪些日志关键词和监控指标？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Kafka 消费积压时先排查什么？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Redis 命中率低于多少需要关注，推荐的处理动作是什么？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发布后什么情况下应该立即回滚？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color w:val="0B2545"/>
          <w:sz w:val="21"/>
        </w:rPr>
        <w:t>P0 事故的沟通频率和协作方分别是谁？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 xml:space="preserve">验收说明  </w:t>
            </w:r>
            <w:r>
              <w:rPr>
                <w:rFonts w:ascii="Noto Sans CJK SC" w:hAnsi="Noto Sans CJK SC" w:eastAsia="Noto Sans CJK SC"/>
                <w:color w:val="0B2545"/>
                <w:sz w:val="21"/>
              </w:rPr>
              <w:t>预期答案应引用本文档中的具体阈值、服务名、日志关键词或表格字段，而不是只给出泛化的运维建议。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color w:val="666666"/>
        <w:sz w:val="16"/>
      </w:rPr>
      <w:t>内部测试资料 · 不包含真实生产数据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Noto Sans CJK SC" w:hAnsi="Noto Sans CJK SC" w:eastAsia="Noto Sans CJK SC"/>
        <w:color w:val="666666"/>
        <w:sz w:val="17"/>
      </w:rPr>
      <w:t>星云科技 | 生产运维知识库（RAG 上传测试样例）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