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Square" w:hAnsi="NanumSquare" w:eastAsia="NanumSquare"/>
          <w:b/>
          <w:color w:val="08111F"/>
          <w:sz w:val="60"/>
        </w:rPr>
        <w:t>FabMind Agent</w:t>
      </w:r>
    </w:p>
    <w:p>
      <w:pPr>
        <w:jc w:val="center"/>
      </w:pPr>
      <w:r>
        <w:rPr>
          <w:rFonts w:ascii="NanumSquare" w:hAnsi="NanumSquare" w:eastAsia="NanumSquare"/>
          <w:b/>
          <w:color w:val="1F334F"/>
          <w:sz w:val="28"/>
        </w:rPr>
        <w:t>Final 10/10 GitHub + Antigravity + Codex Execution Playbook</w:t>
      </w:r>
    </w:p>
    <w:p>
      <w:pPr>
        <w:jc w:val="center"/>
      </w:pPr>
      <w:r>
        <w:rPr>
          <w:rFonts w:ascii="NanumSquare" w:hAnsi="NanumSquare" w:eastAsia="NanumSquare"/>
          <w:color w:val="505C6E"/>
          <w:sz w:val="22"/>
        </w:rPr>
        <w:t>반도체 Load Port / FOUP Clamp / EtherCAT I/O 전용 근거 기반 Agentic AI 트러블슈팅 플랫폼</w:t>
      </w:r>
    </w:p>
    <w:p/>
    <w:tbl>
      <w:tblPr>
        <w:tblStyle w:val="TableGrid"/>
        <w:tblW w:type="auto" w:w="0"/>
        <w:jc w:val="center"/>
        <w:tblLook w:firstColumn="1" w:firstRow="1" w:lastColumn="0" w:lastRow="0" w:noHBand="0" w:noVBand="1" w:val="04A0"/>
      </w:tblPr>
      <w:tblGrid>
        <w:gridCol w:w="5184"/>
        <w:gridCol w:w="5184"/>
      </w:tblGrid>
      <w:tr>
        <w:tc>
          <w:tcPr>
            <w:tcW w:type="dxa" w:w="2160"/>
            <w:shd w:fill="1F334F"/>
          </w:tcPr>
          <w:p>
            <w:r>
              <w:rPr>
                <w:rFonts w:ascii="NanumSquare" w:hAnsi="NanumSquare" w:eastAsia="NanumSquare"/>
                <w:sz w:val="18"/>
              </w:rPr>
            </w:r>
            <w:r>
              <w:rPr>
                <w:rFonts w:ascii="NanumSquare" w:hAnsi="NanumSquare" w:eastAsia="NanumSquare"/>
                <w:b/>
                <w:color w:val="FFFFFF"/>
                <w:sz w:val="18"/>
              </w:rPr>
              <w:t>항목</w:t>
            </w:r>
          </w:p>
        </w:tc>
        <w:tc>
          <w:tcPr>
            <w:tcW w:type="dxa" w:w="8352"/>
            <w:shd w:fill="1F334F"/>
          </w:tcPr>
          <w:p>
            <w:r>
              <w:rPr>
                <w:rFonts w:ascii="NanumSquare" w:hAnsi="NanumSquare" w:eastAsia="NanumSquare"/>
                <w:sz w:val="18"/>
              </w:rPr>
            </w:r>
            <w:r>
              <w:rPr>
                <w:rFonts w:ascii="NanumSquare" w:hAnsi="NanumSquare" w:eastAsia="NanumSquare"/>
                <w:b/>
                <w:color w:val="FFFFFF"/>
                <w:sz w:val="18"/>
              </w:rPr>
              <w:t>최종 기준</w:t>
            </w:r>
          </w:p>
        </w:tc>
      </w:tr>
      <w:tr>
        <w:tc>
          <w:tcPr>
            <w:tcW w:type="dxa" w:w="2160"/>
            <w:vAlign w:val="top"/>
          </w:tcPr>
          <w:p>
            <w:r>
              <w:rPr>
                <w:rFonts w:ascii="NanumSquare" w:hAnsi="NanumSquare" w:eastAsia="NanumSquare"/>
                <w:sz w:val="18"/>
              </w:rPr>
            </w:r>
            <w:r>
              <w:rPr>
                <w:rFonts w:ascii="NanumSquare" w:hAnsi="NanumSquare" w:eastAsia="NanumSquare"/>
                <w:b w:val="0"/>
                <w:sz w:val="18"/>
              </w:rPr>
              <w:t>프로젝트 성격</w:t>
            </w:r>
          </w:p>
        </w:tc>
        <w:tc>
          <w:tcPr>
            <w:tcW w:type="dxa" w:w="8352"/>
            <w:vAlign w:val="top"/>
          </w:tcPr>
          <w:p>
            <w:r>
              <w:rPr>
                <w:rFonts w:ascii="NanumSquare" w:hAnsi="NanumSquare" w:eastAsia="NanumSquare"/>
                <w:sz w:val="18"/>
              </w:rPr>
            </w:r>
            <w:r>
              <w:rPr>
                <w:rFonts w:ascii="NanumSquare" w:hAnsi="NanumSquare" w:eastAsia="NanumSquare"/>
                <w:b w:val="0"/>
                <w:sz w:val="18"/>
              </w:rPr>
              <w:t>졸업작품 + 취업 포트폴리오 + 현업형 제품 설계</w:t>
            </w:r>
          </w:p>
        </w:tc>
      </w:tr>
      <w:tr>
        <w:tc>
          <w:tcPr>
            <w:tcW w:type="dxa" w:w="2160"/>
            <w:vAlign w:val="top"/>
          </w:tcPr>
          <w:p>
            <w:r>
              <w:rPr>
                <w:rFonts w:ascii="NanumSquare" w:hAnsi="NanumSquare" w:eastAsia="NanumSquare"/>
                <w:sz w:val="18"/>
              </w:rPr>
            </w:r>
            <w:r>
              <w:rPr>
                <w:rFonts w:ascii="NanumSquare" w:hAnsi="NanumSquare" w:eastAsia="NanumSquare"/>
                <w:b w:val="0"/>
                <w:sz w:val="18"/>
              </w:rPr>
              <w:t>핵심 범위</w:t>
            </w:r>
          </w:p>
        </w:tc>
        <w:tc>
          <w:tcPr>
            <w:tcW w:type="dxa" w:w="8352"/>
            <w:vAlign w:val="top"/>
          </w:tcPr>
          <w:p>
            <w:r>
              <w:rPr>
                <w:rFonts w:ascii="NanumSquare" w:hAnsi="NanumSquare" w:eastAsia="NanumSquare"/>
                <w:sz w:val="18"/>
              </w:rPr>
            </w:r>
            <w:r>
              <w:rPr>
                <w:rFonts w:ascii="NanumSquare" w:hAnsi="NanumSquare" w:eastAsia="NanumSquare"/>
                <w:b w:val="0"/>
                <w:sz w:val="18"/>
              </w:rPr>
              <w:t>Load Port / FOUP Clamp / EtherCAT I/O</w:t>
            </w:r>
          </w:p>
        </w:tc>
      </w:tr>
      <w:tr>
        <w:tc>
          <w:tcPr>
            <w:tcW w:type="dxa" w:w="2160"/>
            <w:vAlign w:val="top"/>
          </w:tcPr>
          <w:p>
            <w:r>
              <w:rPr>
                <w:rFonts w:ascii="NanumSquare" w:hAnsi="NanumSquare" w:eastAsia="NanumSquare"/>
                <w:sz w:val="18"/>
              </w:rPr>
            </w:r>
            <w:r>
              <w:rPr>
                <w:rFonts w:ascii="NanumSquare" w:hAnsi="NanumSquare" w:eastAsia="NanumSquare"/>
                <w:b w:val="0"/>
                <w:sz w:val="18"/>
              </w:rPr>
              <w:t>AI 원칙</w:t>
            </w:r>
          </w:p>
        </w:tc>
        <w:tc>
          <w:tcPr>
            <w:tcW w:type="dxa" w:w="8352"/>
            <w:vAlign w:val="top"/>
          </w:tcPr>
          <w:p>
            <w:r>
              <w:rPr>
                <w:rFonts w:ascii="NanumSquare" w:hAnsi="NanumSquare" w:eastAsia="NanumSquare"/>
                <w:sz w:val="18"/>
              </w:rPr>
            </w:r>
            <w:r>
              <w:rPr>
                <w:rFonts w:ascii="NanumSquare" w:hAnsi="NanumSquare" w:eastAsia="NanumSquare"/>
                <w:b w:val="0"/>
                <w:sz w:val="18"/>
              </w:rPr>
              <w:t>LLM 의존이 아니라 deterministic rule + evidence 기반</w:t>
            </w:r>
          </w:p>
        </w:tc>
      </w:tr>
      <w:tr>
        <w:tc>
          <w:tcPr>
            <w:tcW w:type="dxa" w:w="2160"/>
            <w:vAlign w:val="top"/>
          </w:tcPr>
          <w:p>
            <w:r>
              <w:rPr>
                <w:rFonts w:ascii="NanumSquare" w:hAnsi="NanumSquare" w:eastAsia="NanumSquare"/>
                <w:sz w:val="18"/>
              </w:rPr>
            </w:r>
            <w:r>
              <w:rPr>
                <w:rFonts w:ascii="NanumSquare" w:hAnsi="NanumSquare" w:eastAsia="NanumSquare"/>
                <w:b w:val="0"/>
                <w:sz w:val="18"/>
              </w:rPr>
              <w:t>보안 원칙</w:t>
            </w:r>
          </w:p>
        </w:tc>
        <w:tc>
          <w:tcPr>
            <w:tcW w:type="dxa" w:w="8352"/>
            <w:vAlign w:val="top"/>
          </w:tcPr>
          <w:p>
            <w:r>
              <w:rPr>
                <w:rFonts w:ascii="NanumSquare" w:hAnsi="NanumSquare" w:eastAsia="NanumSquare"/>
                <w:sz w:val="18"/>
              </w:rPr>
            </w:r>
            <w:r>
              <w:rPr>
                <w:rFonts w:ascii="NanumSquare" w:hAnsi="NanumSquare" w:eastAsia="NanumSquare"/>
                <w:b w:val="0"/>
                <w:sz w:val="18"/>
              </w:rPr>
              <w:t>내부망, 읽기 전용, 데이터 무반출, 사람 승인</w:t>
            </w:r>
          </w:p>
        </w:tc>
      </w:tr>
      <w:tr>
        <w:tc>
          <w:tcPr>
            <w:tcW w:type="dxa" w:w="2160"/>
            <w:vAlign w:val="top"/>
          </w:tcPr>
          <w:p>
            <w:r>
              <w:rPr>
                <w:rFonts w:ascii="NanumSquare" w:hAnsi="NanumSquare" w:eastAsia="NanumSquare"/>
                <w:sz w:val="18"/>
              </w:rPr>
            </w:r>
            <w:r>
              <w:rPr>
                <w:rFonts w:ascii="NanumSquare" w:hAnsi="NanumSquare" w:eastAsia="NanumSquare"/>
                <w:b w:val="0"/>
                <w:sz w:val="18"/>
              </w:rPr>
              <w:t>GitHub 목표</w:t>
            </w:r>
          </w:p>
        </w:tc>
        <w:tc>
          <w:tcPr>
            <w:tcW w:type="dxa" w:w="8352"/>
            <w:vAlign w:val="top"/>
          </w:tcPr>
          <w:p>
            <w:r>
              <w:rPr>
                <w:rFonts w:ascii="NanumSquare" w:hAnsi="NanumSquare" w:eastAsia="NanumSquare"/>
                <w:sz w:val="18"/>
              </w:rPr>
            </w:r>
            <w:r>
              <w:rPr>
                <w:rFonts w:ascii="NanumSquare" w:hAnsi="NanumSquare" w:eastAsia="NanumSquare"/>
                <w:b w:val="0"/>
                <w:sz w:val="18"/>
              </w:rPr>
              <w:t>README, CI, PR 기록, screenshots로 회사가 평가 가능</w:t>
            </w:r>
          </w:p>
        </w:tc>
      </w:tr>
    </w:tbl>
    <w:p/>
    <w:p>
      <w:r>
        <w:br w:type="page"/>
      </w:r>
    </w:p>
    <w:p>
      <w:pPr>
        <w:pStyle w:val="Heading1"/>
      </w:pPr>
      <w:r>
        <w:t>1. 냉정한 최종 피드백</w:t>
      </w:r>
    </w:p>
    <w:p>
      <w:r>
        <w:t>방향은 맞다. 다만 “세상에 없는 완벽한 시스템”이라는 표현은 발표에서 그대로 쓰면 위험하다. 검증 가능한 표현은 “반도체 현장 제약을 반영한 독자적 조합의 근거 기반 트러블슈팅 시스템”이다. 완전한 세계 최초를 증명할 필요는 없다. 평가자는 독창성보다 문제 정의, 제약 인식, 구현 완성도, 시연 안정성, 코드 품질을 본다.</w:t>
      </w:r>
    </w:p>
    <w:p>
      <w:r>
        <w:t>10점 프로젝트가 되려면 기능을 무작정 늘리지 말고, 하나의 장비군에 대해 끝까지 닫힌 흐름을 만들어야 한다. 따라서 최종 범위는 Load Port / FOUP Clamp / EtherCAT I/O로 고정한다. 이 범위 안에서 진단 입력, 근거 검색, 원인 후보, 점검 절차, 보고서, 승인, 감사로그, GitHub CI까지 완성하면 졸업작품과 포트폴리오 모두에서 강하다.</w:t>
      </w:r>
    </w:p>
    <w:p>
      <w:pPr>
        <w:pStyle w:val="Heading1"/>
      </w:pPr>
      <w:r>
        <w:t>2. 10점짜리 독자성 정의</w:t>
      </w:r>
    </w:p>
    <w:p>
      <w:r>
        <w:t>FabMind Agent의 독자성은 AI가 장비를 직접 제어하는 것이 아니다. 오히려 실제 반도체 현장에서는 그런 접근이 보안과 안전 때문에 막힌다. 독자성은 다음 5가지를 하나의 제품 흐름으로 묶는 데 있다.</w:t>
      </w:r>
    </w:p>
    <w:p>
      <w:r>
        <w:t>1) Situation Snapshot Contract: 알람, EtherCAT 상태, DI/DO, 최근 작업, 로그를 표준 입력으로 정규화한다.</w:t>
        <w:br/>
        <w:t>2) Safety-Gated Deterministic Triage: 위험 조치를 차단하고 규칙 기반으로 원인 후보를 만든다.</w:t>
        <w:br/>
        <w:t>3) Evidence Graph: 모든 가설과 점검 단계에 근거를 연결한다.</w:t>
        <w:br/>
        <w:t>4) Agent Timeline UI: AI가 어떤 단계로 판단했는지 화면에서 보여준다.</w:t>
        <w:br/>
        <w:t>5) Human Approval + Audit Trail: 보고서 승인과 감사로그로 책임 추적이 가능하다.</w:t>
      </w:r>
    </w:p>
    <w:p>
      <w:pPr>
        <w:pStyle w:val="Heading1"/>
      </w:pPr>
      <w:r>
        <w:t>3. 왜 이 선택이 논리적인가</w:t>
      </w:r>
    </w:p>
    <w:p>
      <w:r>
        <w:t>반도체 장비는 회사마다 구조, 알람, I/O 맵, 매뉴얼, 정비 이력이 다르다. 따라서 모든 장비를 자동 분석하는 범용 AI는 졸업작품으로도, 실제 현업 도입으로도 너무 넓다. 반대로 특정 장비군 하나를 깊게 완성하면 현실성과 완성도가 동시에 생긴다.</w:t>
      </w:r>
    </w:p>
    <w:p>
      <w:r>
        <w:t>또한 실제 장비 데이터를 외부 AI 서버로 보내는 구조는 보안상 어렵다. 그래서 기본 설계는 외부 API가 아니라 내부망, 읽기 전용, deterministic mode다. AI는 최종 판단자나 장비 제어자가 아니라 엔지니어 의사결정 보조자다.</w:t>
      </w:r>
    </w:p>
    <w:p>
      <w:pPr>
        <w:pStyle w:val="Heading1"/>
      </w:pPr>
      <w:r>
        <w:t>4. 최종 요구정의 핵심</w:t>
      </w:r>
    </w:p>
    <w:p>
      <w:r>
        <w:t>사용자는 장비, 알람 코드, 증상, EtherCAT 상태, DI/DO 상태, 최근 작업, 로그를 입력한다. 시스템은 입력을 Situation Snapshot으로 정규화하고, 알람 코드표, I/O point, EtherCAT 상태, 매뉴얼 chunk, 정비 이력 근거를 검색한다. 이후 deterministic rule engine이 원인 후보를 만들고, 위험 조치를 safety guardrail로 차단한다. 결과는 Agent Analysis 화면에 원인 후보 TOP 3, confidence band, evidence drawer, inspection plan으로 표시된다. 사용자는 체크리스트를 수행하고 보고서 초안을 생성해 senior approval을 요청한다. 모든 과정은 audit log로 남는다.</w:t>
      </w:r>
    </w:p>
    <w:p>
      <w:pPr>
        <w:pStyle w:val="Heading1"/>
      </w:pPr>
      <w:r>
        <w:t>5. 개발 실행 원칙</w:t>
      </w:r>
    </w:p>
    <w:p>
      <w:r>
        <w:t>Antigravity와 Codex를 동시에 사용할 때 가장 위험한 것은 “전체 다 만들어줘”라고 시키는 것이다. 이렇게 하면 폴더가 중복되고, API 계약이 틀어지고, UI만 예쁜 미완성물이 된다. 반드시 PR 단위로 나눈다.</w:t>
      </w:r>
    </w:p>
    <w:p>
      <w:r>
        <w:t>Antigravity는 UI, 브라우저 검증, 화면 polish, screenshot artifact에 집중한다. Codex는 backend, DB, API contract, deterministic agent, pytest, code review에 집중한다. GitHub는 최종 결과물의 신뢰성을 보여주는 포트폴리오 장소로 사용한다.</w:t>
      </w:r>
    </w:p>
    <w:p>
      <w:pPr>
        <w:pStyle w:val="Heading1"/>
      </w:pPr>
      <w:r>
        <w:t>6. Golden Path</w:t>
      </w:r>
    </w:p>
    <w:p>
      <w:r>
        <w:t>최종 시연은 로그인 → 장비 선택 → 진단 생성 → Agent Analysis → Evidence Drawer → Checklist → Report → Approval → Audit Log 흐름으로 고정한다. 이 흐름이 끊기지 않고 5분 안에 성공해야 한다. 추가 기능은 Golden Path가 안정화된 뒤에만 붙인다.</w:t>
      </w:r>
    </w:p>
    <w:p>
      <w:pPr>
        <w:pStyle w:val="Heading1"/>
      </w:pPr>
      <w:r>
        <w:t>7. 실패 케이스까지 구현해야 10점</w:t>
      </w:r>
    </w:p>
    <w:p>
      <w:r>
        <w:t>정상 케이스만 구현하면 데모처럼 보인다. 현업형 프로젝트로 보이려면 실패 케이스가 있어야 한다. 근거 부족, 장비-알람 불일치, 위험 조치 요청, EtherCAT 상태 충돌, 권한 부족, 보고서 승인 전 수정, evidence 없는 가설을 모두 처리해야 한다.</w:t>
      </w:r>
    </w:p>
    <w:p>
      <w:pPr>
        <w:pStyle w:val="Heading1"/>
      </w:pPr>
      <w:r>
        <w:t>8. GitHub 공개 전략</w:t>
      </w:r>
    </w:p>
    <w:p>
      <w:r>
        <w:t>GitHub에는 단순 코드 저장소가 아니라 회사가 읽을 수 있는 제품형 저장소로 올린다. README에 문제, 제약, 해결, 아키텍처, screenshots, 실행법, 테스트, CI, 발표 스크립트를 넣는다. PR 기록은 개발 습관을 보여주므로 PR-00부터 PR-12까지 단계적으로 남기는 것이 좋다. 실제 회사 데이터는 절대 넣지 않고 synthetic demo data라고 명시한다.</w:t>
      </w:r>
    </w:p>
    <w:p>
      <w:pPr>
        <w:pStyle w:val="Heading1"/>
      </w:pPr>
      <w:r>
        <w:t>9. PR 단위 작업표</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152"/>
            <w:shd w:fill="1F334F"/>
          </w:tcPr>
          <w:p>
            <w:r>
              <w:rPr>
                <w:rFonts w:ascii="NanumSquare" w:hAnsi="NanumSquare" w:eastAsia="NanumSquare"/>
                <w:sz w:val="18"/>
              </w:rPr>
            </w:r>
            <w:r>
              <w:rPr>
                <w:rFonts w:ascii="NanumSquare" w:hAnsi="NanumSquare" w:eastAsia="NanumSquare"/>
                <w:b/>
                <w:color w:val="FFFFFF"/>
                <w:sz w:val="18"/>
              </w:rPr>
              <w:t>PR</w:t>
            </w:r>
          </w:p>
        </w:tc>
        <w:tc>
          <w:tcPr>
            <w:tcW w:type="dxa" w:w="1584"/>
            <w:shd w:fill="1F334F"/>
          </w:tcPr>
          <w:p>
            <w:r>
              <w:rPr>
                <w:rFonts w:ascii="NanumSquare" w:hAnsi="NanumSquare" w:eastAsia="NanumSquare"/>
                <w:sz w:val="18"/>
              </w:rPr>
            </w:r>
            <w:r>
              <w:rPr>
                <w:rFonts w:ascii="NanumSquare" w:hAnsi="NanumSquare" w:eastAsia="NanumSquare"/>
                <w:b/>
                <w:color w:val="FFFFFF"/>
                <w:sz w:val="18"/>
              </w:rPr>
              <w:t>Owner</w:t>
            </w:r>
          </w:p>
        </w:tc>
        <w:tc>
          <w:tcPr>
            <w:tcW w:type="dxa" w:w="3024"/>
            <w:shd w:fill="1F334F"/>
          </w:tcPr>
          <w:p>
            <w:r>
              <w:rPr>
                <w:rFonts w:ascii="NanumSquare" w:hAnsi="NanumSquare" w:eastAsia="NanumSquare"/>
                <w:sz w:val="18"/>
              </w:rPr>
            </w:r>
            <w:r>
              <w:rPr>
                <w:rFonts w:ascii="NanumSquare" w:hAnsi="NanumSquare" w:eastAsia="NanumSquare"/>
                <w:b/>
                <w:color w:val="FFFFFF"/>
                <w:sz w:val="18"/>
              </w:rPr>
              <w:t>목표</w:t>
            </w:r>
          </w:p>
        </w:tc>
        <w:tc>
          <w:tcPr>
            <w:tcW w:type="dxa" w:w="4608"/>
            <w:shd w:fill="1F334F"/>
          </w:tcPr>
          <w:p>
            <w:r>
              <w:rPr>
                <w:rFonts w:ascii="NanumSquare" w:hAnsi="NanumSquare" w:eastAsia="NanumSquare"/>
                <w:sz w:val="18"/>
              </w:rPr>
            </w:r>
            <w:r>
              <w:rPr>
                <w:rFonts w:ascii="NanumSquare" w:hAnsi="NanumSquare" w:eastAsia="NanumSquare"/>
                <w:b/>
                <w:color w:val="FFFFFF"/>
                <w:sz w:val="18"/>
              </w:rPr>
              <w:t>완료 기준</w:t>
            </w:r>
          </w:p>
        </w:tc>
      </w:tr>
      <w:tr>
        <w:tc>
          <w:tcPr>
            <w:tcW w:type="dxa" w:w="1152"/>
            <w:vAlign w:val="top"/>
          </w:tcPr>
          <w:p>
            <w:r>
              <w:rPr>
                <w:rFonts w:ascii="NanumSquare" w:hAnsi="NanumSquare" w:eastAsia="NanumSquare"/>
                <w:sz w:val="18"/>
              </w:rPr>
            </w:r>
            <w:r>
              <w:rPr>
                <w:rFonts w:ascii="NanumSquare" w:hAnsi="NanumSquare" w:eastAsia="NanumSquare"/>
                <w:b w:val="0"/>
                <w:sz w:val="18"/>
              </w:rPr>
              <w:t>PR-00</w:t>
            </w:r>
          </w:p>
        </w:tc>
        <w:tc>
          <w:tcPr>
            <w:tcW w:type="dxa" w:w="1584"/>
            <w:vAlign w:val="top"/>
          </w:tcPr>
          <w:p>
            <w:r>
              <w:rPr>
                <w:rFonts w:ascii="NanumSquare" w:hAnsi="NanumSquare" w:eastAsia="NanumSquare"/>
                <w:sz w:val="18"/>
              </w:rPr>
            </w:r>
            <w:r>
              <w:rPr>
                <w:rFonts w:ascii="NanumSquare" w:hAnsi="NanumSquare" w:eastAsia="NanumSquare"/>
                <w:b w:val="0"/>
                <w:sz w:val="18"/>
              </w:rPr>
              <w:t>Antigravity</w:t>
            </w:r>
          </w:p>
        </w:tc>
        <w:tc>
          <w:tcPr>
            <w:tcW w:type="dxa" w:w="3024"/>
            <w:vAlign w:val="top"/>
          </w:tcPr>
          <w:p>
            <w:r>
              <w:rPr>
                <w:rFonts w:ascii="NanumSquare" w:hAnsi="NanumSquare" w:eastAsia="NanumSquare"/>
                <w:sz w:val="18"/>
              </w:rPr>
            </w:r>
            <w:r>
              <w:rPr>
                <w:rFonts w:ascii="NanumSquare" w:hAnsi="NanumSquare" w:eastAsia="NanumSquare"/>
                <w:b w:val="0"/>
                <w:sz w:val="18"/>
              </w:rPr>
              <w:t>Monorepo scaffold</w:t>
            </w:r>
          </w:p>
        </w:tc>
        <w:tc>
          <w:tcPr>
            <w:tcW w:type="dxa" w:w="4608"/>
            <w:vAlign w:val="top"/>
          </w:tcPr>
          <w:p>
            <w:r>
              <w:rPr>
                <w:rFonts w:ascii="NanumSquare" w:hAnsi="NanumSquare" w:eastAsia="NanumSquare"/>
                <w:sz w:val="18"/>
              </w:rPr>
            </w:r>
            <w:r>
              <w:rPr>
                <w:rFonts w:ascii="NanumSquare" w:hAnsi="NanumSquare" w:eastAsia="NanumSquare"/>
                <w:b w:val="0"/>
                <w:sz w:val="18"/>
              </w:rPr>
              <w:t>web/api/infra 생성, health 200, README</w:t>
            </w:r>
          </w:p>
        </w:tc>
      </w:tr>
      <w:tr>
        <w:tc>
          <w:tcPr>
            <w:tcW w:type="dxa" w:w="1152"/>
            <w:vAlign w:val="top"/>
          </w:tcPr>
          <w:p>
            <w:r>
              <w:rPr>
                <w:rFonts w:ascii="NanumSquare" w:hAnsi="NanumSquare" w:eastAsia="NanumSquare"/>
                <w:sz w:val="18"/>
              </w:rPr>
            </w:r>
            <w:r>
              <w:rPr>
                <w:rFonts w:ascii="NanumSquare" w:hAnsi="NanumSquare" w:eastAsia="NanumSquare"/>
                <w:b w:val="0"/>
                <w:sz w:val="18"/>
              </w:rPr>
              <w:t>PR-01</w:t>
            </w:r>
          </w:p>
        </w:tc>
        <w:tc>
          <w:tcPr>
            <w:tcW w:type="dxa" w:w="1584"/>
            <w:vAlign w:val="top"/>
          </w:tcPr>
          <w:p>
            <w:r>
              <w:rPr>
                <w:rFonts w:ascii="NanumSquare" w:hAnsi="NanumSquare" w:eastAsia="NanumSquare"/>
                <w:sz w:val="18"/>
              </w:rPr>
            </w:r>
            <w:r>
              <w:rPr>
                <w:rFonts w:ascii="NanumSquare" w:hAnsi="NanumSquare" w:eastAsia="NanumSquare"/>
                <w:b w:val="0"/>
                <w:sz w:val="18"/>
              </w:rPr>
              <w:t>Codex</w:t>
            </w:r>
          </w:p>
        </w:tc>
        <w:tc>
          <w:tcPr>
            <w:tcW w:type="dxa" w:w="3024"/>
            <w:vAlign w:val="top"/>
          </w:tcPr>
          <w:p>
            <w:r>
              <w:rPr>
                <w:rFonts w:ascii="NanumSquare" w:hAnsi="NanumSquare" w:eastAsia="NanumSquare"/>
                <w:sz w:val="18"/>
              </w:rPr>
            </w:r>
            <w:r>
              <w:rPr>
                <w:rFonts w:ascii="NanumSquare" w:hAnsi="NanumSquare" w:eastAsia="NanumSquare"/>
                <w:b w:val="0"/>
                <w:sz w:val="18"/>
              </w:rPr>
              <w:t>CI/Quality Gate</w:t>
            </w:r>
          </w:p>
        </w:tc>
        <w:tc>
          <w:tcPr>
            <w:tcW w:type="dxa" w:w="4608"/>
            <w:vAlign w:val="top"/>
          </w:tcPr>
          <w:p>
            <w:r>
              <w:rPr>
                <w:rFonts w:ascii="NanumSquare" w:hAnsi="NanumSquare" w:eastAsia="NanumSquare"/>
                <w:sz w:val="18"/>
              </w:rPr>
            </w:r>
            <w:r>
              <w:rPr>
                <w:rFonts w:ascii="NanumSquare" w:hAnsi="NanumSquare" w:eastAsia="NanumSquare"/>
                <w:b w:val="0"/>
                <w:sz w:val="18"/>
              </w:rPr>
              <w:t>GitHub Actions, pytest, typecheck, Playwright 준비</w:t>
            </w:r>
          </w:p>
        </w:tc>
      </w:tr>
      <w:tr>
        <w:tc>
          <w:tcPr>
            <w:tcW w:type="dxa" w:w="1152"/>
            <w:vAlign w:val="top"/>
          </w:tcPr>
          <w:p>
            <w:r>
              <w:rPr>
                <w:rFonts w:ascii="NanumSquare" w:hAnsi="NanumSquare" w:eastAsia="NanumSquare"/>
                <w:sz w:val="18"/>
              </w:rPr>
            </w:r>
            <w:r>
              <w:rPr>
                <w:rFonts w:ascii="NanumSquare" w:hAnsi="NanumSquare" w:eastAsia="NanumSquare"/>
                <w:b w:val="0"/>
                <w:sz w:val="18"/>
              </w:rPr>
              <w:t>PR-02</w:t>
            </w:r>
          </w:p>
        </w:tc>
        <w:tc>
          <w:tcPr>
            <w:tcW w:type="dxa" w:w="1584"/>
            <w:vAlign w:val="top"/>
          </w:tcPr>
          <w:p>
            <w:r>
              <w:rPr>
                <w:rFonts w:ascii="NanumSquare" w:hAnsi="NanumSquare" w:eastAsia="NanumSquare"/>
                <w:sz w:val="18"/>
              </w:rPr>
            </w:r>
            <w:r>
              <w:rPr>
                <w:rFonts w:ascii="NanumSquare" w:hAnsi="NanumSquare" w:eastAsia="NanumSquare"/>
                <w:b w:val="0"/>
                <w:sz w:val="18"/>
              </w:rPr>
              <w:t>Codex</w:t>
            </w:r>
          </w:p>
        </w:tc>
        <w:tc>
          <w:tcPr>
            <w:tcW w:type="dxa" w:w="3024"/>
            <w:vAlign w:val="top"/>
          </w:tcPr>
          <w:p>
            <w:r>
              <w:rPr>
                <w:rFonts w:ascii="NanumSquare" w:hAnsi="NanumSquare" w:eastAsia="NanumSquare"/>
                <w:sz w:val="18"/>
              </w:rPr>
            </w:r>
            <w:r>
              <w:rPr>
                <w:rFonts w:ascii="NanumSquare" w:hAnsi="NanumSquare" w:eastAsia="NanumSquare"/>
                <w:b w:val="0"/>
                <w:sz w:val="18"/>
              </w:rPr>
              <w:t>DB/Seed</w:t>
            </w:r>
          </w:p>
        </w:tc>
        <w:tc>
          <w:tcPr>
            <w:tcW w:type="dxa" w:w="4608"/>
            <w:vAlign w:val="top"/>
          </w:tcPr>
          <w:p>
            <w:r>
              <w:rPr>
                <w:rFonts w:ascii="NanumSquare" w:hAnsi="NanumSquare" w:eastAsia="NanumSquare"/>
                <w:sz w:val="18"/>
              </w:rPr>
            </w:r>
            <w:r>
              <w:rPr>
                <w:rFonts w:ascii="NanumSquare" w:hAnsi="NanumSquare" w:eastAsia="NanumSquare"/>
                <w:b w:val="0"/>
                <w:sz w:val="18"/>
              </w:rPr>
              <w:t>30 alarms, 60 I/O, 20 scenarios, tenant isolation</w:t>
            </w:r>
          </w:p>
        </w:tc>
      </w:tr>
      <w:tr>
        <w:tc>
          <w:tcPr>
            <w:tcW w:type="dxa" w:w="1152"/>
            <w:vAlign w:val="top"/>
          </w:tcPr>
          <w:p>
            <w:r>
              <w:rPr>
                <w:rFonts w:ascii="NanumSquare" w:hAnsi="NanumSquare" w:eastAsia="NanumSquare"/>
                <w:sz w:val="18"/>
              </w:rPr>
            </w:r>
            <w:r>
              <w:rPr>
                <w:rFonts w:ascii="NanumSquare" w:hAnsi="NanumSquare" w:eastAsia="NanumSquare"/>
                <w:b w:val="0"/>
                <w:sz w:val="18"/>
              </w:rPr>
              <w:t>PR-03</w:t>
            </w:r>
          </w:p>
        </w:tc>
        <w:tc>
          <w:tcPr>
            <w:tcW w:type="dxa" w:w="1584"/>
            <w:vAlign w:val="top"/>
          </w:tcPr>
          <w:p>
            <w:r>
              <w:rPr>
                <w:rFonts w:ascii="NanumSquare" w:hAnsi="NanumSquare" w:eastAsia="NanumSquare"/>
                <w:sz w:val="18"/>
              </w:rPr>
            </w:r>
            <w:r>
              <w:rPr>
                <w:rFonts w:ascii="NanumSquare" w:hAnsi="NanumSquare" w:eastAsia="NanumSquare"/>
                <w:b w:val="0"/>
                <w:sz w:val="18"/>
              </w:rPr>
              <w:t>Codex</w:t>
            </w:r>
          </w:p>
        </w:tc>
        <w:tc>
          <w:tcPr>
            <w:tcW w:type="dxa" w:w="3024"/>
            <w:vAlign w:val="top"/>
          </w:tcPr>
          <w:p>
            <w:r>
              <w:rPr>
                <w:rFonts w:ascii="NanumSquare" w:hAnsi="NanumSquare" w:eastAsia="NanumSquare"/>
                <w:sz w:val="18"/>
              </w:rPr>
            </w:r>
            <w:r>
              <w:rPr>
                <w:rFonts w:ascii="NanumSquare" w:hAnsi="NanumSquare" w:eastAsia="NanumSquare"/>
                <w:b w:val="0"/>
                <w:sz w:val="18"/>
              </w:rPr>
              <w:t>Auth/RBAC/Audit</w:t>
            </w:r>
          </w:p>
        </w:tc>
        <w:tc>
          <w:tcPr>
            <w:tcW w:type="dxa" w:w="4608"/>
            <w:vAlign w:val="top"/>
          </w:tcPr>
          <w:p>
            <w:r>
              <w:rPr>
                <w:rFonts w:ascii="NanumSquare" w:hAnsi="NanumSquare" w:eastAsia="NanumSquare"/>
                <w:sz w:val="18"/>
              </w:rPr>
            </w:r>
            <w:r>
              <w:rPr>
                <w:rFonts w:ascii="NanumSquare" w:hAnsi="NanumSquare" w:eastAsia="NanumSquare"/>
                <w:b w:val="0"/>
                <w:sz w:val="18"/>
              </w:rPr>
              <w:t>field/senior/admin 권한, audit log</w:t>
            </w:r>
          </w:p>
        </w:tc>
      </w:tr>
      <w:tr>
        <w:tc>
          <w:tcPr>
            <w:tcW w:type="dxa" w:w="1152"/>
            <w:vAlign w:val="top"/>
          </w:tcPr>
          <w:p>
            <w:r>
              <w:rPr>
                <w:rFonts w:ascii="NanumSquare" w:hAnsi="NanumSquare" w:eastAsia="NanumSquare"/>
                <w:sz w:val="18"/>
              </w:rPr>
            </w:r>
            <w:r>
              <w:rPr>
                <w:rFonts w:ascii="NanumSquare" w:hAnsi="NanumSquare" w:eastAsia="NanumSquare"/>
                <w:b w:val="0"/>
                <w:sz w:val="18"/>
              </w:rPr>
              <w:t>PR-04</w:t>
            </w:r>
          </w:p>
        </w:tc>
        <w:tc>
          <w:tcPr>
            <w:tcW w:type="dxa" w:w="1584"/>
            <w:vAlign w:val="top"/>
          </w:tcPr>
          <w:p>
            <w:r>
              <w:rPr>
                <w:rFonts w:ascii="NanumSquare" w:hAnsi="NanumSquare" w:eastAsia="NanumSquare"/>
                <w:sz w:val="18"/>
              </w:rPr>
            </w:r>
            <w:r>
              <w:rPr>
                <w:rFonts w:ascii="NanumSquare" w:hAnsi="NanumSquare" w:eastAsia="NanumSquare"/>
                <w:b w:val="0"/>
                <w:sz w:val="18"/>
              </w:rPr>
              <w:t>Antigravity</w:t>
            </w:r>
          </w:p>
        </w:tc>
        <w:tc>
          <w:tcPr>
            <w:tcW w:type="dxa" w:w="3024"/>
            <w:vAlign w:val="top"/>
          </w:tcPr>
          <w:p>
            <w:r>
              <w:rPr>
                <w:rFonts w:ascii="NanumSquare" w:hAnsi="NanumSquare" w:eastAsia="NanumSquare"/>
                <w:sz w:val="18"/>
              </w:rPr>
            </w:r>
            <w:r>
              <w:rPr>
                <w:rFonts w:ascii="NanumSquare" w:hAnsi="NanumSquare" w:eastAsia="NanumSquare"/>
                <w:b w:val="0"/>
                <w:sz w:val="18"/>
              </w:rPr>
              <w:t>Design System</w:t>
            </w:r>
          </w:p>
        </w:tc>
        <w:tc>
          <w:tcPr>
            <w:tcW w:type="dxa" w:w="4608"/>
            <w:vAlign w:val="top"/>
          </w:tcPr>
          <w:p>
            <w:r>
              <w:rPr>
                <w:rFonts w:ascii="NanumSquare" w:hAnsi="NanumSquare" w:eastAsia="NanumSquare"/>
                <w:sz w:val="18"/>
              </w:rPr>
            </w:r>
            <w:r>
              <w:rPr>
                <w:rFonts w:ascii="NanumSquare" w:hAnsi="NanumSquare" w:eastAsia="NanumSquare"/>
                <w:b w:val="0"/>
                <w:sz w:val="18"/>
              </w:rPr>
              <w:t>industrial SaaS UI shell, 상태 처리</w:t>
            </w:r>
          </w:p>
        </w:tc>
      </w:tr>
      <w:tr>
        <w:tc>
          <w:tcPr>
            <w:tcW w:type="dxa" w:w="1152"/>
            <w:vAlign w:val="top"/>
          </w:tcPr>
          <w:p>
            <w:r>
              <w:rPr>
                <w:rFonts w:ascii="NanumSquare" w:hAnsi="NanumSquare" w:eastAsia="NanumSquare"/>
                <w:sz w:val="18"/>
              </w:rPr>
            </w:r>
            <w:r>
              <w:rPr>
                <w:rFonts w:ascii="NanumSquare" w:hAnsi="NanumSquare" w:eastAsia="NanumSquare"/>
                <w:b w:val="0"/>
                <w:sz w:val="18"/>
              </w:rPr>
              <w:t>PR-05</w:t>
            </w:r>
          </w:p>
        </w:tc>
        <w:tc>
          <w:tcPr>
            <w:tcW w:type="dxa" w:w="1584"/>
            <w:vAlign w:val="top"/>
          </w:tcPr>
          <w:p>
            <w:r>
              <w:rPr>
                <w:rFonts w:ascii="NanumSquare" w:hAnsi="NanumSquare" w:eastAsia="NanumSquare"/>
                <w:sz w:val="18"/>
              </w:rPr>
            </w:r>
            <w:r>
              <w:rPr>
                <w:rFonts w:ascii="NanumSquare" w:hAnsi="NanumSquare" w:eastAsia="NanumSquare"/>
                <w:b w:val="0"/>
                <w:sz w:val="18"/>
              </w:rPr>
              <w:t>Both</w:t>
            </w:r>
          </w:p>
        </w:tc>
        <w:tc>
          <w:tcPr>
            <w:tcW w:type="dxa" w:w="3024"/>
            <w:vAlign w:val="top"/>
          </w:tcPr>
          <w:p>
            <w:r>
              <w:rPr>
                <w:rFonts w:ascii="NanumSquare" w:hAnsi="NanumSquare" w:eastAsia="NanumSquare"/>
                <w:sz w:val="18"/>
              </w:rPr>
            </w:r>
            <w:r>
              <w:rPr>
                <w:rFonts w:ascii="NanumSquare" w:hAnsi="NanumSquare" w:eastAsia="NanumSquare"/>
                <w:b w:val="0"/>
                <w:sz w:val="18"/>
              </w:rPr>
              <w:t>Equipment Pages</w:t>
            </w:r>
          </w:p>
        </w:tc>
        <w:tc>
          <w:tcPr>
            <w:tcW w:type="dxa" w:w="4608"/>
            <w:vAlign w:val="top"/>
          </w:tcPr>
          <w:p>
            <w:r>
              <w:rPr>
                <w:rFonts w:ascii="NanumSquare" w:hAnsi="NanumSquare" w:eastAsia="NanumSquare"/>
                <w:sz w:val="18"/>
              </w:rPr>
            </w:r>
            <w:r>
              <w:rPr>
                <w:rFonts w:ascii="NanumSquare" w:hAnsi="NanumSquare" w:eastAsia="NanumSquare"/>
                <w:b w:val="0"/>
                <w:sz w:val="18"/>
              </w:rPr>
              <w:t>장비 상세, 알람, I/O, EtherCAT, 문서</w:t>
            </w:r>
          </w:p>
        </w:tc>
      </w:tr>
      <w:tr>
        <w:tc>
          <w:tcPr>
            <w:tcW w:type="dxa" w:w="1152"/>
            <w:vAlign w:val="top"/>
          </w:tcPr>
          <w:p>
            <w:r>
              <w:rPr>
                <w:rFonts w:ascii="NanumSquare" w:hAnsi="NanumSquare" w:eastAsia="NanumSquare"/>
                <w:sz w:val="18"/>
              </w:rPr>
            </w:r>
            <w:r>
              <w:rPr>
                <w:rFonts w:ascii="NanumSquare" w:hAnsi="NanumSquare" w:eastAsia="NanumSquare"/>
                <w:b w:val="0"/>
                <w:sz w:val="18"/>
              </w:rPr>
              <w:t>PR-06</w:t>
            </w:r>
          </w:p>
        </w:tc>
        <w:tc>
          <w:tcPr>
            <w:tcW w:type="dxa" w:w="1584"/>
            <w:vAlign w:val="top"/>
          </w:tcPr>
          <w:p>
            <w:r>
              <w:rPr>
                <w:rFonts w:ascii="NanumSquare" w:hAnsi="NanumSquare" w:eastAsia="NanumSquare"/>
                <w:sz w:val="18"/>
              </w:rPr>
            </w:r>
            <w:r>
              <w:rPr>
                <w:rFonts w:ascii="NanumSquare" w:hAnsi="NanumSquare" w:eastAsia="NanumSquare"/>
                <w:b w:val="0"/>
                <w:sz w:val="18"/>
              </w:rPr>
              <w:t>Codex</w:t>
            </w:r>
          </w:p>
        </w:tc>
        <w:tc>
          <w:tcPr>
            <w:tcW w:type="dxa" w:w="3024"/>
            <w:vAlign w:val="top"/>
          </w:tcPr>
          <w:p>
            <w:r>
              <w:rPr>
                <w:rFonts w:ascii="NanumSquare" w:hAnsi="NanumSquare" w:eastAsia="NanumSquare"/>
                <w:sz w:val="18"/>
              </w:rPr>
            </w:r>
            <w:r>
              <w:rPr>
                <w:rFonts w:ascii="NanumSquare" w:hAnsi="NanumSquare" w:eastAsia="NanumSquare"/>
                <w:b w:val="0"/>
                <w:sz w:val="18"/>
              </w:rPr>
              <w:t>Diagnosis API</w:t>
            </w:r>
          </w:p>
        </w:tc>
        <w:tc>
          <w:tcPr>
            <w:tcW w:type="dxa" w:w="4608"/>
            <w:vAlign w:val="top"/>
          </w:tcPr>
          <w:p>
            <w:r>
              <w:rPr>
                <w:rFonts w:ascii="NanumSquare" w:hAnsi="NanumSquare" w:eastAsia="NanumSquare"/>
                <w:sz w:val="18"/>
              </w:rPr>
            </w:r>
            <w:r>
              <w:rPr>
                <w:rFonts w:ascii="NanumSquare" w:hAnsi="NanumSquare" w:eastAsia="NanumSquare"/>
                <w:b w:val="0"/>
                <w:sz w:val="18"/>
              </w:rPr>
              <w:t>session create/detail/aggregate, validation</w:t>
            </w:r>
          </w:p>
        </w:tc>
      </w:tr>
      <w:tr>
        <w:tc>
          <w:tcPr>
            <w:tcW w:type="dxa" w:w="1152"/>
            <w:vAlign w:val="top"/>
          </w:tcPr>
          <w:p>
            <w:r>
              <w:rPr>
                <w:rFonts w:ascii="NanumSquare" w:hAnsi="NanumSquare" w:eastAsia="NanumSquare"/>
                <w:sz w:val="18"/>
              </w:rPr>
            </w:r>
            <w:r>
              <w:rPr>
                <w:rFonts w:ascii="NanumSquare" w:hAnsi="NanumSquare" w:eastAsia="NanumSquare"/>
                <w:b w:val="0"/>
                <w:sz w:val="18"/>
              </w:rPr>
              <w:t>PR-07</w:t>
            </w:r>
          </w:p>
        </w:tc>
        <w:tc>
          <w:tcPr>
            <w:tcW w:type="dxa" w:w="1584"/>
            <w:vAlign w:val="top"/>
          </w:tcPr>
          <w:p>
            <w:r>
              <w:rPr>
                <w:rFonts w:ascii="NanumSquare" w:hAnsi="NanumSquare" w:eastAsia="NanumSquare"/>
                <w:sz w:val="18"/>
              </w:rPr>
            </w:r>
            <w:r>
              <w:rPr>
                <w:rFonts w:ascii="NanumSquare" w:hAnsi="NanumSquare" w:eastAsia="NanumSquare"/>
                <w:b w:val="0"/>
                <w:sz w:val="18"/>
              </w:rPr>
              <w:t>Codex</w:t>
            </w:r>
          </w:p>
        </w:tc>
        <w:tc>
          <w:tcPr>
            <w:tcW w:type="dxa" w:w="3024"/>
            <w:vAlign w:val="top"/>
          </w:tcPr>
          <w:p>
            <w:r>
              <w:rPr>
                <w:rFonts w:ascii="NanumSquare" w:hAnsi="NanumSquare" w:eastAsia="NanumSquare"/>
                <w:sz w:val="18"/>
              </w:rPr>
            </w:r>
            <w:r>
              <w:rPr>
                <w:rFonts w:ascii="NanumSquare" w:hAnsi="NanumSquare" w:eastAsia="NanumSquare"/>
                <w:b w:val="0"/>
                <w:sz w:val="18"/>
              </w:rPr>
              <w:t>Agent Engine</w:t>
            </w:r>
          </w:p>
        </w:tc>
        <w:tc>
          <w:tcPr>
            <w:tcW w:type="dxa" w:w="4608"/>
            <w:vAlign w:val="top"/>
          </w:tcPr>
          <w:p>
            <w:r>
              <w:rPr>
                <w:rFonts w:ascii="NanumSquare" w:hAnsi="NanumSquare" w:eastAsia="NanumSquare"/>
                <w:sz w:val="18"/>
              </w:rPr>
            </w:r>
            <w:r>
              <w:rPr>
                <w:rFonts w:ascii="NanumSquare" w:hAnsi="NanumSquare" w:eastAsia="NanumSquare"/>
                <w:b w:val="0"/>
                <w:sz w:val="18"/>
              </w:rPr>
              <w:t>Scenario A/B/C deterministic tests</w:t>
            </w:r>
          </w:p>
        </w:tc>
      </w:tr>
      <w:tr>
        <w:tc>
          <w:tcPr>
            <w:tcW w:type="dxa" w:w="1152"/>
            <w:vAlign w:val="top"/>
          </w:tcPr>
          <w:p>
            <w:r>
              <w:rPr>
                <w:rFonts w:ascii="NanumSquare" w:hAnsi="NanumSquare" w:eastAsia="NanumSquare"/>
                <w:sz w:val="18"/>
              </w:rPr>
            </w:r>
            <w:r>
              <w:rPr>
                <w:rFonts w:ascii="NanumSquare" w:hAnsi="NanumSquare" w:eastAsia="NanumSquare"/>
                <w:b w:val="0"/>
                <w:sz w:val="18"/>
              </w:rPr>
              <w:t>PR-08</w:t>
            </w:r>
          </w:p>
        </w:tc>
        <w:tc>
          <w:tcPr>
            <w:tcW w:type="dxa" w:w="1584"/>
            <w:vAlign w:val="top"/>
          </w:tcPr>
          <w:p>
            <w:r>
              <w:rPr>
                <w:rFonts w:ascii="NanumSquare" w:hAnsi="NanumSquare" w:eastAsia="NanumSquare"/>
                <w:sz w:val="18"/>
              </w:rPr>
            </w:r>
            <w:r>
              <w:rPr>
                <w:rFonts w:ascii="NanumSquare" w:hAnsi="NanumSquare" w:eastAsia="NanumSquare"/>
                <w:b w:val="0"/>
                <w:sz w:val="18"/>
              </w:rPr>
              <w:t>Antigravity</w:t>
            </w:r>
          </w:p>
        </w:tc>
        <w:tc>
          <w:tcPr>
            <w:tcW w:type="dxa" w:w="3024"/>
            <w:vAlign w:val="top"/>
          </w:tcPr>
          <w:p>
            <w:r>
              <w:rPr>
                <w:rFonts w:ascii="NanumSquare" w:hAnsi="NanumSquare" w:eastAsia="NanumSquare"/>
                <w:sz w:val="18"/>
              </w:rPr>
            </w:r>
            <w:r>
              <w:rPr>
                <w:rFonts w:ascii="NanumSquare" w:hAnsi="NanumSquare" w:eastAsia="NanumSquare"/>
                <w:b w:val="0"/>
                <w:sz w:val="18"/>
              </w:rPr>
              <w:t>Agent UI</w:t>
            </w:r>
          </w:p>
        </w:tc>
        <w:tc>
          <w:tcPr>
            <w:tcW w:type="dxa" w:w="4608"/>
            <w:vAlign w:val="top"/>
          </w:tcPr>
          <w:p>
            <w:r>
              <w:rPr>
                <w:rFonts w:ascii="NanumSquare" w:hAnsi="NanumSquare" w:eastAsia="NanumSquare"/>
                <w:sz w:val="18"/>
              </w:rPr>
            </w:r>
            <w:r>
              <w:rPr>
                <w:rFonts w:ascii="NanumSquare" w:hAnsi="NanumSquare" w:eastAsia="NanumSquare"/>
                <w:b w:val="0"/>
                <w:sz w:val="18"/>
              </w:rPr>
              <w:t>timeline, hypothesis, evidence drawer, risk banner</w:t>
            </w:r>
          </w:p>
        </w:tc>
      </w:tr>
      <w:tr>
        <w:tc>
          <w:tcPr>
            <w:tcW w:type="dxa" w:w="1152"/>
            <w:vAlign w:val="top"/>
          </w:tcPr>
          <w:p>
            <w:r>
              <w:rPr>
                <w:rFonts w:ascii="NanumSquare" w:hAnsi="NanumSquare" w:eastAsia="NanumSquare"/>
                <w:sz w:val="18"/>
              </w:rPr>
            </w:r>
            <w:r>
              <w:rPr>
                <w:rFonts w:ascii="NanumSquare" w:hAnsi="NanumSquare" w:eastAsia="NanumSquare"/>
                <w:b w:val="0"/>
                <w:sz w:val="18"/>
              </w:rPr>
              <w:t>PR-09</w:t>
            </w:r>
          </w:p>
        </w:tc>
        <w:tc>
          <w:tcPr>
            <w:tcW w:type="dxa" w:w="1584"/>
            <w:vAlign w:val="top"/>
          </w:tcPr>
          <w:p>
            <w:r>
              <w:rPr>
                <w:rFonts w:ascii="NanumSquare" w:hAnsi="NanumSquare" w:eastAsia="NanumSquare"/>
                <w:sz w:val="18"/>
              </w:rPr>
            </w:r>
            <w:r>
              <w:rPr>
                <w:rFonts w:ascii="NanumSquare" w:hAnsi="NanumSquare" w:eastAsia="NanumSquare"/>
                <w:b w:val="0"/>
                <w:sz w:val="18"/>
              </w:rPr>
              <w:t>Both</w:t>
            </w:r>
          </w:p>
        </w:tc>
        <w:tc>
          <w:tcPr>
            <w:tcW w:type="dxa" w:w="3024"/>
            <w:vAlign w:val="top"/>
          </w:tcPr>
          <w:p>
            <w:r>
              <w:rPr>
                <w:rFonts w:ascii="NanumSquare" w:hAnsi="NanumSquare" w:eastAsia="NanumSquare"/>
                <w:sz w:val="18"/>
              </w:rPr>
            </w:r>
            <w:r>
              <w:rPr>
                <w:rFonts w:ascii="NanumSquare" w:hAnsi="NanumSquare" w:eastAsia="NanumSquare"/>
                <w:b w:val="0"/>
                <w:sz w:val="18"/>
              </w:rPr>
              <w:t>Checklist</w:t>
            </w:r>
          </w:p>
        </w:tc>
        <w:tc>
          <w:tcPr>
            <w:tcW w:type="dxa" w:w="4608"/>
            <w:vAlign w:val="top"/>
          </w:tcPr>
          <w:p>
            <w:r>
              <w:rPr>
                <w:rFonts w:ascii="NanumSquare" w:hAnsi="NanumSquare" w:eastAsia="NanumSquare"/>
                <w:sz w:val="18"/>
              </w:rPr>
            </w:r>
            <w:r>
              <w:rPr>
                <w:rFonts w:ascii="NanumSquare" w:hAnsi="NanumSquare" w:eastAsia="NanumSquare"/>
                <w:b w:val="0"/>
                <w:sz w:val="18"/>
              </w:rPr>
              <w:t>step 상태, note, audit</w:t>
            </w:r>
          </w:p>
        </w:tc>
      </w:tr>
      <w:tr>
        <w:tc>
          <w:tcPr>
            <w:tcW w:type="dxa" w:w="1152"/>
            <w:vAlign w:val="top"/>
          </w:tcPr>
          <w:p>
            <w:r>
              <w:rPr>
                <w:rFonts w:ascii="NanumSquare" w:hAnsi="NanumSquare" w:eastAsia="NanumSquare"/>
                <w:sz w:val="18"/>
              </w:rPr>
            </w:r>
            <w:r>
              <w:rPr>
                <w:rFonts w:ascii="NanumSquare" w:hAnsi="NanumSquare" w:eastAsia="NanumSquare"/>
                <w:b w:val="0"/>
                <w:sz w:val="18"/>
              </w:rPr>
              <w:t>PR-10</w:t>
            </w:r>
          </w:p>
        </w:tc>
        <w:tc>
          <w:tcPr>
            <w:tcW w:type="dxa" w:w="1584"/>
            <w:vAlign w:val="top"/>
          </w:tcPr>
          <w:p>
            <w:r>
              <w:rPr>
                <w:rFonts w:ascii="NanumSquare" w:hAnsi="NanumSquare" w:eastAsia="NanumSquare"/>
                <w:sz w:val="18"/>
              </w:rPr>
            </w:r>
            <w:r>
              <w:rPr>
                <w:rFonts w:ascii="NanumSquare" w:hAnsi="NanumSquare" w:eastAsia="NanumSquare"/>
                <w:b w:val="0"/>
                <w:sz w:val="18"/>
              </w:rPr>
              <w:t>Both</w:t>
            </w:r>
          </w:p>
        </w:tc>
        <w:tc>
          <w:tcPr>
            <w:tcW w:type="dxa" w:w="3024"/>
            <w:vAlign w:val="top"/>
          </w:tcPr>
          <w:p>
            <w:r>
              <w:rPr>
                <w:rFonts w:ascii="NanumSquare" w:hAnsi="NanumSquare" w:eastAsia="NanumSquare"/>
                <w:sz w:val="18"/>
              </w:rPr>
            </w:r>
            <w:r>
              <w:rPr>
                <w:rFonts w:ascii="NanumSquare" w:hAnsi="NanumSquare" w:eastAsia="NanumSquare"/>
                <w:b w:val="0"/>
                <w:sz w:val="18"/>
              </w:rPr>
              <w:t>Report/Approval</w:t>
            </w:r>
          </w:p>
        </w:tc>
        <w:tc>
          <w:tcPr>
            <w:tcW w:type="dxa" w:w="4608"/>
            <w:vAlign w:val="top"/>
          </w:tcPr>
          <w:p>
            <w:r>
              <w:rPr>
                <w:rFonts w:ascii="NanumSquare" w:hAnsi="NanumSquare" w:eastAsia="NanumSquare"/>
                <w:sz w:val="18"/>
              </w:rPr>
            </w:r>
            <w:r>
              <w:rPr>
                <w:rFonts w:ascii="NanumSquare" w:hAnsi="NanumSquare" w:eastAsia="NanumSquare"/>
                <w:b w:val="0"/>
                <w:sz w:val="18"/>
              </w:rPr>
              <w:t>draft, request, approve/reject, audit</w:t>
            </w:r>
          </w:p>
        </w:tc>
      </w:tr>
      <w:tr>
        <w:tc>
          <w:tcPr>
            <w:tcW w:type="dxa" w:w="1152"/>
            <w:vAlign w:val="top"/>
          </w:tcPr>
          <w:p>
            <w:r>
              <w:rPr>
                <w:rFonts w:ascii="NanumSquare" w:hAnsi="NanumSquare" w:eastAsia="NanumSquare"/>
                <w:sz w:val="18"/>
              </w:rPr>
            </w:r>
            <w:r>
              <w:rPr>
                <w:rFonts w:ascii="NanumSquare" w:hAnsi="NanumSquare" w:eastAsia="NanumSquare"/>
                <w:b w:val="0"/>
                <w:sz w:val="18"/>
              </w:rPr>
              <w:t>PR-11</w:t>
            </w:r>
          </w:p>
        </w:tc>
        <w:tc>
          <w:tcPr>
            <w:tcW w:type="dxa" w:w="1584"/>
            <w:vAlign w:val="top"/>
          </w:tcPr>
          <w:p>
            <w:r>
              <w:rPr>
                <w:rFonts w:ascii="NanumSquare" w:hAnsi="NanumSquare" w:eastAsia="NanumSquare"/>
                <w:sz w:val="18"/>
              </w:rPr>
            </w:r>
            <w:r>
              <w:rPr>
                <w:rFonts w:ascii="NanumSquare" w:hAnsi="NanumSquare" w:eastAsia="NanumSquare"/>
                <w:b w:val="0"/>
                <w:sz w:val="18"/>
              </w:rPr>
              <w:t>Antigravity</w:t>
            </w:r>
          </w:p>
        </w:tc>
        <w:tc>
          <w:tcPr>
            <w:tcW w:type="dxa" w:w="3024"/>
            <w:vAlign w:val="top"/>
          </w:tcPr>
          <w:p>
            <w:r>
              <w:rPr>
                <w:rFonts w:ascii="NanumSquare" w:hAnsi="NanumSquare" w:eastAsia="NanumSquare"/>
                <w:sz w:val="18"/>
              </w:rPr>
            </w:r>
            <w:r>
              <w:rPr>
                <w:rFonts w:ascii="NanumSquare" w:hAnsi="NanumSquare" w:eastAsia="NanumSquare"/>
                <w:b w:val="0"/>
                <w:sz w:val="18"/>
              </w:rPr>
              <w:t>Dashboard/Audit Console</w:t>
            </w:r>
          </w:p>
        </w:tc>
        <w:tc>
          <w:tcPr>
            <w:tcW w:type="dxa" w:w="4608"/>
            <w:vAlign w:val="top"/>
          </w:tcPr>
          <w:p>
            <w:r>
              <w:rPr>
                <w:rFonts w:ascii="NanumSquare" w:hAnsi="NanumSquare" w:eastAsia="NanumSquare"/>
                <w:sz w:val="18"/>
              </w:rPr>
            </w:r>
            <w:r>
              <w:rPr>
                <w:rFonts w:ascii="NanumSquare" w:hAnsi="NanumSquare" w:eastAsia="NanumSquare"/>
                <w:b w:val="0"/>
                <w:sz w:val="18"/>
              </w:rPr>
              <w:t>상태 추적, 감사 검색</w:t>
            </w:r>
          </w:p>
        </w:tc>
      </w:tr>
      <w:tr>
        <w:tc>
          <w:tcPr>
            <w:tcW w:type="dxa" w:w="1152"/>
            <w:vAlign w:val="top"/>
          </w:tcPr>
          <w:p>
            <w:r>
              <w:rPr>
                <w:rFonts w:ascii="NanumSquare" w:hAnsi="NanumSquare" w:eastAsia="NanumSquare"/>
                <w:sz w:val="18"/>
              </w:rPr>
            </w:r>
            <w:r>
              <w:rPr>
                <w:rFonts w:ascii="NanumSquare" w:hAnsi="NanumSquare" w:eastAsia="NanumSquare"/>
                <w:b w:val="0"/>
                <w:sz w:val="18"/>
              </w:rPr>
              <w:t>PR-12</w:t>
            </w:r>
          </w:p>
        </w:tc>
        <w:tc>
          <w:tcPr>
            <w:tcW w:type="dxa" w:w="1584"/>
            <w:vAlign w:val="top"/>
          </w:tcPr>
          <w:p>
            <w:r>
              <w:rPr>
                <w:rFonts w:ascii="NanumSquare" w:hAnsi="NanumSquare" w:eastAsia="NanumSquare"/>
                <w:sz w:val="18"/>
              </w:rPr>
            </w:r>
            <w:r>
              <w:rPr>
                <w:rFonts w:ascii="NanumSquare" w:hAnsi="NanumSquare" w:eastAsia="NanumSquare"/>
                <w:b w:val="0"/>
                <w:sz w:val="18"/>
              </w:rPr>
              <w:t>Both</w:t>
            </w:r>
          </w:p>
        </w:tc>
        <w:tc>
          <w:tcPr>
            <w:tcW w:type="dxa" w:w="3024"/>
            <w:vAlign w:val="top"/>
          </w:tcPr>
          <w:p>
            <w:r>
              <w:rPr>
                <w:rFonts w:ascii="NanumSquare" w:hAnsi="NanumSquare" w:eastAsia="NanumSquare"/>
                <w:sz w:val="18"/>
              </w:rPr>
            </w:r>
            <w:r>
              <w:rPr>
                <w:rFonts w:ascii="NanumSquare" w:hAnsi="NanumSquare" w:eastAsia="NanumSquare"/>
                <w:b w:val="0"/>
                <w:sz w:val="18"/>
              </w:rPr>
              <w:t>Final E2E/Polish</w:t>
            </w:r>
          </w:p>
        </w:tc>
        <w:tc>
          <w:tcPr>
            <w:tcW w:type="dxa" w:w="4608"/>
            <w:vAlign w:val="top"/>
          </w:tcPr>
          <w:p>
            <w:r>
              <w:rPr>
                <w:rFonts w:ascii="NanumSquare" w:hAnsi="NanumSquare" w:eastAsia="NanumSquare"/>
                <w:sz w:val="18"/>
              </w:rPr>
            </w:r>
            <w:r>
              <w:rPr>
                <w:rFonts w:ascii="NanumSquare" w:hAnsi="NanumSquare" w:eastAsia="NanumSquare"/>
                <w:b w:val="0"/>
                <w:sz w:val="18"/>
              </w:rPr>
              <w:t>CI green, screenshots, README final</w:t>
            </w:r>
          </w:p>
        </w:tc>
      </w:tr>
    </w:tbl>
    <w:p/>
    <w:p>
      <w:pPr>
        <w:pStyle w:val="Heading1"/>
      </w:pPr>
      <w:r>
        <w:t>10. 바로 넣을 첫 프롬프트</w:t>
      </w:r>
    </w:p>
    <w:p>
      <w:pPr>
        <w:pStyle w:val="Heading2"/>
      </w:pPr>
      <w:r>
        <w:t>Antigravity 첫 프롬프트</w:t>
      </w:r>
    </w:p>
    <w:p>
      <w:pPr>
        <w:spacing w:before="80" w:after="80"/>
        <w:ind w:left="360"/>
      </w:pPr>
      <w:r>
        <w:rPr>
          <w:rFonts w:ascii="Consolas" w:hAnsi="Consolas" w:eastAsia="Consolas"/>
          <w:color w:val="1E1E1E"/>
          <w:sz w:val="16"/>
        </w:rPr>
        <w:t>You are building FabMind Agent. Read AGENTS.md, README.md, docs/00_project_one_page.md, and docs/04_golden_path_spec.md. Do not implement yet. Report the current structure, missing files, violated constraints, and the exact PR task to do next.</w:t>
      </w:r>
    </w:p>
    <w:p>
      <w:pPr>
        <w:pStyle w:val="Heading2"/>
      </w:pPr>
      <w:r>
        <w:t>Codex 첫 프롬프트</w:t>
      </w:r>
    </w:p>
    <w:p>
      <w:pPr>
        <w:spacing w:before="80" w:after="80"/>
        <w:ind w:left="360"/>
      </w:pPr>
      <w:r>
        <w:rPr>
          <w:rFonts w:ascii="Consolas" w:hAnsi="Consolas" w:eastAsia="Consolas"/>
          <w:color w:val="1E1E1E"/>
          <w:sz w:val="16"/>
        </w:rPr>
        <w:t>Read AGENTS.md and inspect the repository. Do not implement yet. Report current structure, missing files, violated constraints, next recommended PR, and exact files to modify.</w:t>
      </w:r>
    </w:p>
    <w:p>
      <w:pPr>
        <w:pStyle w:val="Heading1"/>
      </w:pPr>
      <w:r>
        <w:t>11. GitHub 사용 순서</w:t>
      </w:r>
    </w:p>
    <w:p>
      <w:r>
        <w:t>1) GitHub에서 fabmind-agent 빈 저장소를 만든다.</w:t>
      </w:r>
    </w:p>
    <w:p>
      <w:r>
        <w:t>2) ZIP 패키지 내용을 로컬 폴더에 압축 해제한다.</w:t>
      </w:r>
    </w:p>
    <w:p>
      <w:r>
        <w:t>3) git init, git add, git commit, git remote add origin, git push 순서로 main에 올린다.</w:t>
      </w:r>
    </w:p>
    <w:p>
      <w:r>
        <w:t>4) 이후에는 PR-00부터 PR-12까지 브랜치를 나눠 개발한다.</w:t>
      </w:r>
    </w:p>
    <w:p>
      <w:r>
        <w:t>5) README, screenshots, CI 결과, 발표 스크립트를 최종 정리한다.</w:t>
      </w:r>
    </w:p>
    <w:p>
      <w:pPr>
        <w:spacing w:before="80" w:after="80"/>
        <w:ind w:left="360"/>
      </w:pPr>
      <w:r>
        <w:rPr>
          <w:rFonts w:ascii="Consolas" w:hAnsi="Consolas" w:eastAsia="Consolas"/>
          <w:color w:val="1E1E1E"/>
          <w:sz w:val="16"/>
        </w:rPr>
        <w:t>git init</w:t>
        <w:br/>
        <w:t>git add .</w:t>
        <w:br/>
        <w:t>git commit -m "PR-00 initialize FabMind Agent repository"</w:t>
        <w:br/>
        <w:t>git branch -M main</w:t>
        <w:br/>
        <w:t>git remote add origin https://github.com/&lt;YOUR_ID&gt;/fabmind-agent.git</w:t>
        <w:br/>
        <w:t>git push -u origin main</w:t>
      </w:r>
    </w:p>
    <w:p>
      <w:pPr>
        <w:pStyle w:val="Heading1"/>
      </w:pPr>
      <w:r>
        <w:t>12. 최종 만점 판정</w:t>
      </w:r>
    </w:p>
    <w:tbl>
      <w:tblPr>
        <w:tblStyle w:val="TableGrid"/>
        <w:tblW w:type="auto" w:w="0"/>
        <w:jc w:val="center"/>
        <w:tblLook w:firstColumn="1" w:firstRow="1" w:lastColumn="0" w:lastRow="0" w:noHBand="0" w:noVBand="1" w:val="04A0"/>
      </w:tblPr>
      <w:tblGrid>
        <w:gridCol w:w="5184"/>
        <w:gridCol w:w="5184"/>
      </w:tblGrid>
      <w:tr>
        <w:tc>
          <w:tcPr>
            <w:tcW w:type="dxa" w:w="2160"/>
            <w:shd w:fill="1F334F"/>
          </w:tcPr>
          <w:p>
            <w:r>
              <w:rPr>
                <w:rFonts w:ascii="NanumSquare" w:hAnsi="NanumSquare" w:eastAsia="NanumSquare"/>
                <w:sz w:val="18"/>
              </w:rPr>
            </w:r>
            <w:r>
              <w:rPr>
                <w:rFonts w:ascii="NanumSquare" w:hAnsi="NanumSquare" w:eastAsia="NanumSquare"/>
                <w:b/>
                <w:color w:val="FFFFFF"/>
                <w:sz w:val="18"/>
              </w:rPr>
              <w:t>영역</w:t>
            </w:r>
          </w:p>
        </w:tc>
        <w:tc>
          <w:tcPr>
            <w:tcW w:type="dxa" w:w="8352"/>
            <w:shd w:fill="1F334F"/>
          </w:tcPr>
          <w:p>
            <w:r>
              <w:rPr>
                <w:rFonts w:ascii="NanumSquare" w:hAnsi="NanumSquare" w:eastAsia="NanumSquare"/>
                <w:sz w:val="18"/>
              </w:rPr>
            </w:r>
            <w:r>
              <w:rPr>
                <w:rFonts w:ascii="NanumSquare" w:hAnsi="NanumSquare" w:eastAsia="NanumSquare"/>
                <w:b/>
                <w:color w:val="FFFFFF"/>
                <w:sz w:val="18"/>
              </w:rPr>
              <w:t>만점 조건</w:t>
            </w:r>
          </w:p>
        </w:tc>
      </w:tr>
      <w:tr>
        <w:tc>
          <w:tcPr>
            <w:tcW w:type="dxa" w:w="2160"/>
            <w:vAlign w:val="top"/>
          </w:tcPr>
          <w:p>
            <w:r>
              <w:rPr>
                <w:rFonts w:ascii="NanumSquare" w:hAnsi="NanumSquare" w:eastAsia="NanumSquare"/>
                <w:sz w:val="18"/>
              </w:rPr>
            </w:r>
            <w:r>
              <w:rPr>
                <w:rFonts w:ascii="NanumSquare" w:hAnsi="NanumSquare" w:eastAsia="NanumSquare"/>
                <w:b w:val="0"/>
                <w:sz w:val="18"/>
              </w:rPr>
              <w:t>문제 정의</w:t>
            </w:r>
          </w:p>
        </w:tc>
        <w:tc>
          <w:tcPr>
            <w:tcW w:type="dxa" w:w="8352"/>
            <w:vAlign w:val="top"/>
          </w:tcPr>
          <w:p>
            <w:r>
              <w:rPr>
                <w:rFonts w:ascii="NanumSquare" w:hAnsi="NanumSquare" w:eastAsia="NanumSquare"/>
                <w:sz w:val="18"/>
              </w:rPr>
            </w:r>
            <w:r>
              <w:rPr>
                <w:rFonts w:ascii="NanumSquare" w:hAnsi="NanumSquare" w:eastAsia="NanumSquare"/>
                <w:b w:val="0"/>
                <w:sz w:val="18"/>
              </w:rPr>
              <w:t>반도체 현장 문제와 보안/호환/안전 제약을 설명</w:t>
            </w:r>
          </w:p>
        </w:tc>
      </w:tr>
      <w:tr>
        <w:tc>
          <w:tcPr>
            <w:tcW w:type="dxa" w:w="2160"/>
            <w:vAlign w:val="top"/>
          </w:tcPr>
          <w:p>
            <w:r>
              <w:rPr>
                <w:rFonts w:ascii="NanumSquare" w:hAnsi="NanumSquare" w:eastAsia="NanumSquare"/>
                <w:sz w:val="18"/>
              </w:rPr>
            </w:r>
            <w:r>
              <w:rPr>
                <w:rFonts w:ascii="NanumSquare" w:hAnsi="NanumSquare" w:eastAsia="NanumSquare"/>
                <w:b w:val="0"/>
                <w:sz w:val="18"/>
              </w:rPr>
              <w:t>제품 설계</w:t>
            </w:r>
          </w:p>
        </w:tc>
        <w:tc>
          <w:tcPr>
            <w:tcW w:type="dxa" w:w="8352"/>
            <w:vAlign w:val="top"/>
          </w:tcPr>
          <w:p>
            <w:r>
              <w:rPr>
                <w:rFonts w:ascii="NanumSquare" w:hAnsi="NanumSquare" w:eastAsia="NanumSquare"/>
                <w:sz w:val="18"/>
              </w:rPr>
            </w:r>
            <w:r>
              <w:rPr>
                <w:rFonts w:ascii="NanumSquare" w:hAnsi="NanumSquare" w:eastAsia="NanumSquare"/>
                <w:b w:val="0"/>
                <w:sz w:val="18"/>
              </w:rPr>
              <w:t>Load Port / FOUP Clamp 범위 고정, 내부망 읽기 전용</w:t>
            </w:r>
          </w:p>
        </w:tc>
      </w:tr>
      <w:tr>
        <w:tc>
          <w:tcPr>
            <w:tcW w:type="dxa" w:w="2160"/>
            <w:vAlign w:val="top"/>
          </w:tcPr>
          <w:p>
            <w:r>
              <w:rPr>
                <w:rFonts w:ascii="NanumSquare" w:hAnsi="NanumSquare" w:eastAsia="NanumSquare"/>
                <w:sz w:val="18"/>
              </w:rPr>
            </w:r>
            <w:r>
              <w:rPr>
                <w:rFonts w:ascii="NanumSquare" w:hAnsi="NanumSquare" w:eastAsia="NanumSquare"/>
                <w:b w:val="0"/>
                <w:sz w:val="18"/>
              </w:rPr>
              <w:t>Agentic AI</w:t>
            </w:r>
          </w:p>
        </w:tc>
        <w:tc>
          <w:tcPr>
            <w:tcW w:type="dxa" w:w="8352"/>
            <w:vAlign w:val="top"/>
          </w:tcPr>
          <w:p>
            <w:r>
              <w:rPr>
                <w:rFonts w:ascii="NanumSquare" w:hAnsi="NanumSquare" w:eastAsia="NanumSquare"/>
                <w:sz w:val="18"/>
              </w:rPr>
            </w:r>
            <w:r>
              <w:rPr>
                <w:rFonts w:ascii="NanumSquare" w:hAnsi="NanumSquare" w:eastAsia="NanumSquare"/>
                <w:b w:val="0"/>
                <w:sz w:val="18"/>
              </w:rPr>
              <w:t>단계별 workflow, deterministic rule, evidence link</w:t>
            </w:r>
          </w:p>
        </w:tc>
      </w:tr>
      <w:tr>
        <w:tc>
          <w:tcPr>
            <w:tcW w:type="dxa" w:w="2160"/>
            <w:vAlign w:val="top"/>
          </w:tcPr>
          <w:p>
            <w:r>
              <w:rPr>
                <w:rFonts w:ascii="NanumSquare" w:hAnsi="NanumSquare" w:eastAsia="NanumSquare"/>
                <w:sz w:val="18"/>
              </w:rPr>
            </w:r>
            <w:r>
              <w:rPr>
                <w:rFonts w:ascii="NanumSquare" w:hAnsi="NanumSquare" w:eastAsia="NanumSquare"/>
                <w:b w:val="0"/>
                <w:sz w:val="18"/>
              </w:rPr>
              <w:t>UI</w:t>
            </w:r>
          </w:p>
        </w:tc>
        <w:tc>
          <w:tcPr>
            <w:tcW w:type="dxa" w:w="8352"/>
            <w:vAlign w:val="top"/>
          </w:tcPr>
          <w:p>
            <w:r>
              <w:rPr>
                <w:rFonts w:ascii="NanumSquare" w:hAnsi="NanumSquare" w:eastAsia="NanumSquare"/>
                <w:sz w:val="18"/>
              </w:rPr>
            </w:r>
            <w:r>
              <w:rPr>
                <w:rFonts w:ascii="NanumSquare" w:hAnsi="NanumSquare" w:eastAsia="NanumSquare"/>
                <w:b w:val="0"/>
                <w:sz w:val="18"/>
              </w:rPr>
              <w:t>Agent Analysis 중심, 상태 처리, 고급 SaaS 느낌</w:t>
            </w:r>
          </w:p>
        </w:tc>
      </w:tr>
      <w:tr>
        <w:tc>
          <w:tcPr>
            <w:tcW w:type="dxa" w:w="2160"/>
            <w:vAlign w:val="top"/>
          </w:tcPr>
          <w:p>
            <w:r>
              <w:rPr>
                <w:rFonts w:ascii="NanumSquare" w:hAnsi="NanumSquare" w:eastAsia="NanumSquare"/>
                <w:sz w:val="18"/>
              </w:rPr>
            </w:r>
            <w:r>
              <w:rPr>
                <w:rFonts w:ascii="NanumSquare" w:hAnsi="NanumSquare" w:eastAsia="NanumSquare"/>
                <w:b w:val="0"/>
                <w:sz w:val="18"/>
              </w:rPr>
              <w:t>품질</w:t>
            </w:r>
          </w:p>
        </w:tc>
        <w:tc>
          <w:tcPr>
            <w:tcW w:type="dxa" w:w="8352"/>
            <w:vAlign w:val="top"/>
          </w:tcPr>
          <w:p>
            <w:r>
              <w:rPr>
                <w:rFonts w:ascii="NanumSquare" w:hAnsi="NanumSquare" w:eastAsia="NanumSquare"/>
                <w:sz w:val="18"/>
              </w:rPr>
            </w:r>
            <w:r>
              <w:rPr>
                <w:rFonts w:ascii="NanumSquare" w:hAnsi="NanumSquare" w:eastAsia="NanumSquare"/>
                <w:b w:val="0"/>
                <w:sz w:val="18"/>
              </w:rPr>
              <w:t>pytest, Playwright, GitHub Actions, PR 기록</w:t>
            </w:r>
          </w:p>
        </w:tc>
      </w:tr>
      <w:tr>
        <w:tc>
          <w:tcPr>
            <w:tcW w:type="dxa" w:w="2160"/>
            <w:vAlign w:val="top"/>
          </w:tcPr>
          <w:p>
            <w:r>
              <w:rPr>
                <w:rFonts w:ascii="NanumSquare" w:hAnsi="NanumSquare" w:eastAsia="NanumSquare"/>
                <w:sz w:val="18"/>
              </w:rPr>
            </w:r>
            <w:r>
              <w:rPr>
                <w:rFonts w:ascii="NanumSquare" w:hAnsi="NanumSquare" w:eastAsia="NanumSquare"/>
                <w:b w:val="0"/>
                <w:sz w:val="18"/>
              </w:rPr>
              <w:t>발표</w:t>
            </w:r>
          </w:p>
        </w:tc>
        <w:tc>
          <w:tcPr>
            <w:tcW w:type="dxa" w:w="8352"/>
            <w:vAlign w:val="top"/>
          </w:tcPr>
          <w:p>
            <w:r>
              <w:rPr>
                <w:rFonts w:ascii="NanumSquare" w:hAnsi="NanumSquare" w:eastAsia="NanumSquare"/>
                <w:sz w:val="18"/>
              </w:rPr>
            </w:r>
            <w:r>
              <w:rPr>
                <w:rFonts w:ascii="NanumSquare" w:hAnsi="NanumSquare" w:eastAsia="NanumSquare"/>
                <w:b w:val="0"/>
                <w:sz w:val="18"/>
              </w:rPr>
              <w:t>5분 Golden Path 시연, 근거 기반 방어 가능</w:t>
            </w:r>
          </w:p>
        </w:tc>
      </w:tr>
    </w:tbl>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08111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1F334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