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C1E4" w14:textId="77777777" w:rsidR="00752922" w:rsidRDefault="00752922" w:rsidP="008E5194">
      <w:pPr>
        <w:jc w:val="center"/>
        <w:rPr>
          <w:b/>
          <w:color w:val="1F4E79"/>
          <w:sz w:val="20"/>
          <w:lang w:val="pt-BR"/>
        </w:rPr>
      </w:pPr>
    </w:p>
    <w:p w14:paraId="2FBF5B42" w14:textId="77777777" w:rsidR="00752922" w:rsidRDefault="00752922" w:rsidP="008E5194">
      <w:pPr>
        <w:jc w:val="center"/>
        <w:rPr>
          <w:b/>
          <w:color w:val="1F4E79"/>
          <w:sz w:val="20"/>
          <w:lang w:val="pt-BR"/>
        </w:rPr>
      </w:pPr>
    </w:p>
    <w:p w14:paraId="23A2EF78" w14:textId="625D48D1" w:rsidR="00694BAE" w:rsidRPr="00252D66" w:rsidRDefault="006D28B0" w:rsidP="008E5194">
      <w:pPr>
        <w:jc w:val="center"/>
        <w:rPr>
          <w:lang w:val="pt-BR"/>
        </w:rPr>
      </w:pPr>
      <w:r>
        <w:rPr>
          <w:b/>
          <w:color w:val="1F4E79"/>
          <w:sz w:val="20"/>
          <w:lang w:val="pt-BR"/>
        </w:rPr>
        <w:t>RELATÓRIO ANALÍTICO · ANÁLISE EXPLORATÓRIA DE DADOS</w:t>
      </w:r>
    </w:p>
    <w:p w14:paraId="3CC986B7" w14:textId="160CE979" w:rsidR="00694BAE" w:rsidRPr="00252D66" w:rsidRDefault="006D28B0" w:rsidP="008E5194">
      <w:pPr>
        <w:pStyle w:val="Ttulo"/>
        <w:spacing w:line="276" w:lineRule="auto"/>
        <w:jc w:val="center"/>
        <w:rPr>
          <w:lang w:val="pt-BR"/>
        </w:rPr>
      </w:pPr>
      <w:r>
        <w:rPr>
          <w:lang w:val="pt-BR"/>
        </w:rPr>
        <w:t xml:space="preserve">Diagnóstico dos Acidentes Fatais nas </w:t>
      </w:r>
      <w:r>
        <w:rPr>
          <w:lang w:val="pt-BR"/>
        </w:rPr>
        <w:br/>
        <w:t>Rodovias Federais — PRF 2025</w:t>
      </w:r>
    </w:p>
    <w:p w14:paraId="7AA262D4" w14:textId="77777777" w:rsidR="00752922" w:rsidRDefault="00752922" w:rsidP="008E5194">
      <w:pPr>
        <w:jc w:val="center"/>
        <w:rPr>
          <w:i/>
          <w:sz w:val="22"/>
          <w:lang w:val="pt-BR"/>
        </w:rPr>
      </w:pPr>
    </w:p>
    <w:p w14:paraId="678FAE9C" w14:textId="77777777" w:rsidR="00752922" w:rsidRDefault="00752922" w:rsidP="008E5194">
      <w:pPr>
        <w:jc w:val="center"/>
        <w:rPr>
          <w:i/>
          <w:sz w:val="22"/>
          <w:lang w:val="pt-BR"/>
        </w:rPr>
      </w:pPr>
    </w:p>
    <w:p w14:paraId="1A41F632" w14:textId="42B652B4" w:rsidR="00694BAE" w:rsidRPr="00252D66" w:rsidRDefault="006D28B0" w:rsidP="008E5194">
      <w:pPr>
        <w:jc w:val="center"/>
        <w:rPr>
          <w:lang w:val="pt-BR"/>
        </w:rPr>
      </w:pPr>
      <w:r>
        <w:rPr>
          <w:i/>
          <w:sz w:val="22"/>
          <w:lang w:val="pt-BR"/>
        </w:rPr>
        <w:t xml:space="preserve">Exploração de padrões de frequência, gravidade e associações com acidentes fatais registrados pela </w:t>
      </w:r>
      <w:r>
        <w:rPr>
          <w:i/>
          <w:sz w:val="22"/>
          <w:lang w:val="pt-BR"/>
        </w:rPr>
        <w:br/>
        <w:t>PRF em 2025</w:t>
      </w:r>
    </w:p>
    <w:p w14:paraId="6F8E9C3A" w14:textId="0E2A941B" w:rsidR="00694BAE" w:rsidRDefault="006D28B0" w:rsidP="008E5194">
      <w:pPr>
        <w:jc w:val="center"/>
        <w:rPr>
          <w:b/>
          <w:lang w:val="pt-BR"/>
        </w:rPr>
      </w:pPr>
      <w:r>
        <w:rPr>
          <w:b/>
          <w:lang w:val="pt-BR"/>
        </w:rPr>
        <w:t>Fonte dos dados: dados abertos PRF — base datatran 2025</w:t>
      </w:r>
    </w:p>
    <w:p w14:paraId="128085D6" w14:textId="679B14CB" w:rsidR="00752922" w:rsidRDefault="00752922" w:rsidP="008E5194">
      <w:pPr>
        <w:jc w:val="center"/>
        <w:rPr>
          <w:b/>
          <w:lang w:val="pt-BR"/>
        </w:rPr>
      </w:pPr>
    </w:p>
    <w:p w14:paraId="43799679" w14:textId="77777777" w:rsidR="00752922" w:rsidRPr="00252D66" w:rsidRDefault="00752922" w:rsidP="008E5194">
      <w:pPr>
        <w:jc w:val="center"/>
        <w:rPr>
          <w:lang w:val="pt-BR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642"/>
      </w:tblGrid>
      <w:tr w:rsidR="00694BAE" w14:paraId="6A60E66B" w14:textId="77777777" w:rsidTr="00252D66">
        <w:tc>
          <w:tcPr>
            <w:tcW w:w="5000" w:type="pct"/>
            <w:shd w:val="clear" w:color="auto" w:fill="D9EAF7"/>
          </w:tcPr>
          <w:p w14:paraId="4D0C4286" w14:textId="3BE25A49" w:rsidR="00694BAE" w:rsidRDefault="006D28B0" w:rsidP="008E5194">
            <w:pPr>
              <w:spacing w:line="276" w:lineRule="auto"/>
              <w:jc w:val="center"/>
            </w:pPr>
            <w:r>
              <w:rPr>
                <w:b/>
                <w:color w:val="1F4E79"/>
                <w:sz w:val="18"/>
                <w:lang w:val="pt-BR"/>
              </w:rPr>
              <w:t xml:space="preserve">Variável-alvo: </w:t>
            </w:r>
            <w:r>
              <w:rPr>
                <w:sz w:val="18"/>
                <w:lang w:val="pt-BR"/>
              </w:rPr>
              <w:t xml:space="preserve">acidente_fatal — ocorrência classificada como fatal quando mortos &gt; 0. </w:t>
            </w:r>
            <w:r>
              <w:rPr>
                <w:sz w:val="18"/>
              </w:rPr>
              <w:t xml:space="preserve">Período: 2025. </w:t>
            </w:r>
            <w:r>
              <w:rPr>
                <w:sz w:val="18"/>
              </w:rPr>
              <w:br/>
              <w:t>Registros analisados: 72.529.</w:t>
            </w:r>
          </w:p>
        </w:tc>
      </w:tr>
    </w:tbl>
    <w:p w14:paraId="22748B9D" w14:textId="2A8E7AEC" w:rsidR="00694BAE" w:rsidRDefault="00694BAE" w:rsidP="008E5194"/>
    <w:p w14:paraId="370E76D8" w14:textId="40F1FE68" w:rsidR="00752922" w:rsidRDefault="00752922" w:rsidP="008E5194"/>
    <w:p w14:paraId="1EB9AFA1" w14:textId="77777777" w:rsidR="00752922" w:rsidRDefault="00752922" w:rsidP="008E5194"/>
    <w:p w14:paraId="6C1CB95C" w14:textId="77777777" w:rsidR="00694BAE" w:rsidRDefault="006D28B0" w:rsidP="008E5194">
      <w:pPr>
        <w:jc w:val="center"/>
      </w:pPr>
      <w:r>
        <w:rPr>
          <w:b/>
          <w:sz w:val="22"/>
        </w:rPr>
        <w:t>Elaborado por: Jefferson Araújo</w:t>
      </w:r>
    </w:p>
    <w:p w14:paraId="24FFE886" w14:textId="77777777" w:rsidR="00694BAE" w:rsidRDefault="006D28B0" w:rsidP="008E5194">
      <w:r>
        <w:br w:type="page"/>
      </w:r>
    </w:p>
    <w:p w14:paraId="088817F4" w14:textId="77777777" w:rsidR="00694BAE" w:rsidRDefault="006D28B0" w:rsidP="008E5194">
      <w:pPr>
        <w:pStyle w:val="Ttulo1"/>
      </w:pPr>
      <w:r>
        <w:lastRenderedPageBreak/>
        <w:t>1. Sumário executivo</w:t>
      </w:r>
    </w:p>
    <w:p w14:paraId="680B92C0" w14:textId="23052EFB" w:rsidR="00694BAE" w:rsidRPr="00252D66" w:rsidRDefault="006D28B0" w:rsidP="008E5194">
      <w:pPr>
        <w:rPr>
          <w:lang w:val="pt-BR"/>
        </w:rPr>
      </w:pPr>
      <w:r>
        <w:rPr>
          <w:lang w:val="pt-BR"/>
        </w:rPr>
        <w:t xml:space="preserve">Em 2025, a base analisada registrou 72.529 acidentes em rodovias federais. Desse total, 5.210 ocorrências (7,18%) foram classificadas como acidentes fatais, somando 6.043 mortos. A análise segue o roteiro de EDA proposto no modelo: indicadores globais, rankings, recortes temporais, análise bivariada, combinações de fatores e síntese de hipóteses. </w:t>
      </w:r>
      <w:r>
        <w:rPr>
          <w:lang w:val="pt-BR"/>
        </w:rPr>
        <w:br/>
        <w:t>O contraste mais importante é que volume e gravidade não caminham necessariamente juntos: categorias muito frequentes podem ter baixa proporção de fatalidade, enquanto categorias menos frequentes apresentam risco proporcional muito maior.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660"/>
        <w:gridCol w:w="2660"/>
        <w:gridCol w:w="2661"/>
        <w:gridCol w:w="2661"/>
      </w:tblGrid>
      <w:tr w:rsidR="00694BAE" w14:paraId="53732C37" w14:textId="77777777" w:rsidTr="00252D66">
        <w:trPr>
          <w:jc w:val="center"/>
        </w:trPr>
        <w:tc>
          <w:tcPr>
            <w:tcW w:w="1250" w:type="pct"/>
            <w:shd w:val="clear" w:color="auto" w:fill="EAF2F8"/>
          </w:tcPr>
          <w:p w14:paraId="1F09C8E9" w14:textId="77777777" w:rsidR="00694BAE" w:rsidRDefault="006D28B0" w:rsidP="008E5194">
            <w:pPr>
              <w:spacing w:line="276" w:lineRule="auto"/>
              <w:jc w:val="center"/>
            </w:pPr>
            <w:r>
              <w:rPr>
                <w:b/>
                <w:color w:val="595959"/>
                <w:sz w:val="16"/>
              </w:rPr>
              <w:t>TOTAL DE REGISTROS</w:t>
            </w:r>
            <w:r>
              <w:rPr>
                <w:b/>
                <w:color w:val="595959"/>
                <w:sz w:val="16"/>
              </w:rPr>
              <w:br/>
            </w:r>
            <w:r>
              <w:rPr>
                <w:b/>
                <w:color w:val="1F4E79"/>
                <w:sz w:val="30"/>
              </w:rPr>
              <w:t>72.529</w:t>
            </w:r>
          </w:p>
        </w:tc>
        <w:tc>
          <w:tcPr>
            <w:tcW w:w="1250" w:type="pct"/>
            <w:shd w:val="clear" w:color="auto" w:fill="EAF2F8"/>
          </w:tcPr>
          <w:p w14:paraId="556D6178" w14:textId="77777777" w:rsidR="00694BAE" w:rsidRDefault="006D28B0" w:rsidP="008E5194">
            <w:pPr>
              <w:spacing w:line="276" w:lineRule="auto"/>
              <w:jc w:val="center"/>
            </w:pPr>
            <w:r>
              <w:rPr>
                <w:b/>
                <w:color w:val="595959"/>
                <w:sz w:val="16"/>
              </w:rPr>
              <w:t>EVENTOS-ALVO</w:t>
            </w:r>
            <w:r>
              <w:rPr>
                <w:b/>
                <w:color w:val="595959"/>
                <w:sz w:val="16"/>
              </w:rPr>
              <w:br/>
            </w:r>
            <w:r>
              <w:rPr>
                <w:b/>
                <w:color w:val="1F4E79"/>
                <w:sz w:val="30"/>
              </w:rPr>
              <w:t>5.210 (7,18%)</w:t>
            </w:r>
          </w:p>
        </w:tc>
        <w:tc>
          <w:tcPr>
            <w:tcW w:w="1250" w:type="pct"/>
            <w:shd w:val="clear" w:color="auto" w:fill="EAF2F8"/>
          </w:tcPr>
          <w:p w14:paraId="604115BA" w14:textId="77777777" w:rsidR="00694BAE" w:rsidRDefault="006D28B0" w:rsidP="008E5194">
            <w:pPr>
              <w:spacing w:line="276" w:lineRule="auto"/>
              <w:jc w:val="center"/>
            </w:pPr>
            <w:r>
              <w:rPr>
                <w:b/>
                <w:color w:val="595959"/>
                <w:sz w:val="16"/>
              </w:rPr>
              <w:t>TOTAL DE MORTOS</w:t>
            </w:r>
            <w:r>
              <w:rPr>
                <w:b/>
                <w:color w:val="595959"/>
                <w:sz w:val="16"/>
              </w:rPr>
              <w:br/>
            </w:r>
            <w:r>
              <w:rPr>
                <w:b/>
                <w:color w:val="1F4E79"/>
                <w:sz w:val="30"/>
              </w:rPr>
              <w:t>6.043</w:t>
            </w:r>
          </w:p>
        </w:tc>
        <w:tc>
          <w:tcPr>
            <w:tcW w:w="1250" w:type="pct"/>
            <w:shd w:val="clear" w:color="auto" w:fill="EAF2F8"/>
          </w:tcPr>
          <w:p w14:paraId="3BEB784E" w14:textId="77777777" w:rsidR="00694BAE" w:rsidRDefault="006D28B0" w:rsidP="008E5194">
            <w:pPr>
              <w:spacing w:line="276" w:lineRule="auto"/>
              <w:jc w:val="center"/>
            </w:pPr>
            <w:r>
              <w:rPr>
                <w:b/>
                <w:color w:val="595959"/>
                <w:sz w:val="16"/>
              </w:rPr>
              <w:t>TAXA / 100 ACIDENTES</w:t>
            </w:r>
            <w:r>
              <w:rPr>
                <w:b/>
                <w:color w:val="595959"/>
                <w:sz w:val="16"/>
              </w:rPr>
              <w:br/>
            </w:r>
            <w:r>
              <w:rPr>
                <w:b/>
                <w:color w:val="1F4E79"/>
                <w:sz w:val="30"/>
              </w:rPr>
              <w:t>7,18</w:t>
            </w:r>
          </w:p>
        </w:tc>
      </w:tr>
    </w:tbl>
    <w:p w14:paraId="047418B2" w14:textId="77777777" w:rsidR="00694BAE" w:rsidRDefault="00694BAE" w:rsidP="008E519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98"/>
      </w:tblGrid>
      <w:tr w:rsidR="00694BAE" w:rsidRPr="008E5D1A" w14:paraId="6B2909A6" w14:textId="77777777" w:rsidTr="004F5892">
        <w:tc>
          <w:tcPr>
            <w:tcW w:w="10598" w:type="dxa"/>
            <w:shd w:val="clear" w:color="auto" w:fill="FFF2CC"/>
          </w:tcPr>
          <w:p w14:paraId="74E4088D" w14:textId="77777777" w:rsidR="00694BAE" w:rsidRPr="00252D66" w:rsidRDefault="006D28B0" w:rsidP="008E5194">
            <w:pPr>
              <w:spacing w:line="276" w:lineRule="auto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 xml:space="preserve">Achado central: </w:t>
            </w:r>
            <w:r>
              <w:rPr>
                <w:sz w:val="18"/>
                <w:lang w:val="pt-BR"/>
              </w:rPr>
              <w:t>A colisão traseira foi o tipo de acidente mais frequente (14.360 registros), mas teve somente 4,31% de acidentes fatais. Em contraste, atropelamento de pedestre e colisão frontal ficaram próximos de 30% de fatalidade. O mesmo padrão aparece por fase do dia: pleno dia concentra o maior volume, mas amanhecer e plena noite apresentam proporções fatais muito superiores.</w:t>
            </w:r>
          </w:p>
        </w:tc>
      </w:tr>
    </w:tbl>
    <w:p w14:paraId="20640C09" w14:textId="77777777" w:rsidR="00694BAE" w:rsidRPr="00252D66" w:rsidRDefault="00694BAE" w:rsidP="008E5194">
      <w:pPr>
        <w:rPr>
          <w:lang w:val="pt-BR"/>
        </w:rPr>
      </w:pPr>
    </w:p>
    <w:p w14:paraId="392E69F2" w14:textId="77777777" w:rsidR="00694BAE" w:rsidRDefault="006D28B0" w:rsidP="008E5194">
      <w:pPr>
        <w:pStyle w:val="Ttulo1"/>
      </w:pPr>
      <w:r>
        <w:t>2. Estatística descritiva e indicadores globais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6651"/>
        <w:gridCol w:w="3991"/>
      </w:tblGrid>
      <w:tr w:rsidR="00694BAE" w14:paraId="341C8293" w14:textId="77777777" w:rsidTr="00252D66">
        <w:trPr>
          <w:jc w:val="center"/>
        </w:trPr>
        <w:tc>
          <w:tcPr>
            <w:tcW w:w="3125" w:type="pct"/>
            <w:shd w:val="clear" w:color="auto" w:fill="F2F2F2"/>
            <w:vAlign w:val="center"/>
          </w:tcPr>
          <w:p w14:paraId="44A336FD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Indicador</w:t>
            </w:r>
          </w:p>
        </w:tc>
        <w:tc>
          <w:tcPr>
            <w:tcW w:w="1875" w:type="pct"/>
            <w:shd w:val="clear" w:color="auto" w:fill="F2F2F2"/>
            <w:vAlign w:val="center"/>
          </w:tcPr>
          <w:p w14:paraId="44816C17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Valor</w:t>
            </w:r>
          </w:p>
        </w:tc>
      </w:tr>
      <w:tr w:rsidR="00694BAE" w14:paraId="46FD755E" w14:textId="77777777" w:rsidTr="00252D66">
        <w:trPr>
          <w:jc w:val="center"/>
        </w:trPr>
        <w:tc>
          <w:tcPr>
            <w:tcW w:w="3125" w:type="pct"/>
            <w:vAlign w:val="center"/>
          </w:tcPr>
          <w:p w14:paraId="44CA218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Total de acidentes</w:t>
            </w:r>
          </w:p>
        </w:tc>
        <w:tc>
          <w:tcPr>
            <w:tcW w:w="1875" w:type="pct"/>
            <w:vAlign w:val="center"/>
          </w:tcPr>
          <w:p w14:paraId="1975605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72.529</w:t>
            </w:r>
          </w:p>
        </w:tc>
      </w:tr>
      <w:tr w:rsidR="00694BAE" w14:paraId="7C2AA98A" w14:textId="77777777" w:rsidTr="00252D66">
        <w:trPr>
          <w:jc w:val="center"/>
        </w:trPr>
        <w:tc>
          <w:tcPr>
            <w:tcW w:w="3125" w:type="pct"/>
            <w:vAlign w:val="center"/>
          </w:tcPr>
          <w:p w14:paraId="048C84D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Acidentes fatais</w:t>
            </w:r>
          </w:p>
        </w:tc>
        <w:tc>
          <w:tcPr>
            <w:tcW w:w="1875" w:type="pct"/>
            <w:vAlign w:val="center"/>
          </w:tcPr>
          <w:p w14:paraId="1DD1295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5.210</w:t>
            </w:r>
          </w:p>
        </w:tc>
      </w:tr>
      <w:tr w:rsidR="00694BAE" w14:paraId="312E7D4E" w14:textId="77777777" w:rsidTr="00252D66">
        <w:trPr>
          <w:jc w:val="center"/>
        </w:trPr>
        <w:tc>
          <w:tcPr>
            <w:tcW w:w="3125" w:type="pct"/>
            <w:vAlign w:val="center"/>
          </w:tcPr>
          <w:p w14:paraId="0BB71E4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% de acidentes fatais</w:t>
            </w:r>
          </w:p>
        </w:tc>
        <w:tc>
          <w:tcPr>
            <w:tcW w:w="1875" w:type="pct"/>
            <w:vAlign w:val="center"/>
          </w:tcPr>
          <w:p w14:paraId="0B11491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7,18%</w:t>
            </w:r>
          </w:p>
        </w:tc>
      </w:tr>
      <w:tr w:rsidR="00694BAE" w14:paraId="73730354" w14:textId="77777777" w:rsidTr="00252D66">
        <w:trPr>
          <w:jc w:val="center"/>
        </w:trPr>
        <w:tc>
          <w:tcPr>
            <w:tcW w:w="3125" w:type="pct"/>
            <w:vAlign w:val="center"/>
          </w:tcPr>
          <w:p w14:paraId="5F89F3C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Total de mortos</w:t>
            </w:r>
          </w:p>
        </w:tc>
        <w:tc>
          <w:tcPr>
            <w:tcW w:w="1875" w:type="pct"/>
            <w:vAlign w:val="center"/>
          </w:tcPr>
          <w:p w14:paraId="4A59D5F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6.043</w:t>
            </w:r>
          </w:p>
        </w:tc>
      </w:tr>
      <w:tr w:rsidR="00694BAE" w14:paraId="176F38EB" w14:textId="77777777" w:rsidTr="00252D66">
        <w:trPr>
          <w:jc w:val="center"/>
        </w:trPr>
        <w:tc>
          <w:tcPr>
            <w:tcW w:w="3125" w:type="pct"/>
            <w:vAlign w:val="center"/>
          </w:tcPr>
          <w:p w14:paraId="1E53A51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Total de feridos</w:t>
            </w:r>
          </w:p>
        </w:tc>
        <w:tc>
          <w:tcPr>
            <w:tcW w:w="1875" w:type="pct"/>
            <w:vAlign w:val="center"/>
          </w:tcPr>
          <w:p w14:paraId="09F1AC6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83.550</w:t>
            </w:r>
          </w:p>
        </w:tc>
      </w:tr>
      <w:tr w:rsidR="00694BAE" w14:paraId="2986DA1C" w14:textId="77777777" w:rsidTr="00252D66">
        <w:trPr>
          <w:jc w:val="center"/>
        </w:trPr>
        <w:tc>
          <w:tcPr>
            <w:tcW w:w="3125" w:type="pct"/>
            <w:vAlign w:val="center"/>
          </w:tcPr>
          <w:p w14:paraId="20E758E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Total de vítimas</w:t>
            </w:r>
          </w:p>
        </w:tc>
        <w:tc>
          <w:tcPr>
            <w:tcW w:w="1875" w:type="pct"/>
            <w:vAlign w:val="center"/>
          </w:tcPr>
          <w:p w14:paraId="66496A7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89.593</w:t>
            </w:r>
          </w:p>
        </w:tc>
      </w:tr>
      <w:tr w:rsidR="00694BAE" w14:paraId="567B0A64" w14:textId="77777777" w:rsidTr="00252D66">
        <w:trPr>
          <w:jc w:val="center"/>
        </w:trPr>
        <w:tc>
          <w:tcPr>
            <w:tcW w:w="3125" w:type="pct"/>
            <w:vAlign w:val="center"/>
          </w:tcPr>
          <w:p w14:paraId="356A2D7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Taxa de letalidade operacional</w:t>
            </w:r>
          </w:p>
        </w:tc>
        <w:tc>
          <w:tcPr>
            <w:tcW w:w="1875" w:type="pct"/>
            <w:vAlign w:val="center"/>
          </w:tcPr>
          <w:p w14:paraId="455E875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6,74%</w:t>
            </w:r>
          </w:p>
        </w:tc>
      </w:tr>
    </w:tbl>
    <w:p w14:paraId="494A8CD9" w14:textId="77777777" w:rsidR="00694BAE" w:rsidRDefault="00694BAE" w:rsidP="008E5194">
      <w:pPr>
        <w:spacing w:after="20"/>
      </w:pPr>
    </w:p>
    <w:p w14:paraId="4C0A3799" w14:textId="18366091" w:rsidR="00162E34" w:rsidRDefault="006D28B0" w:rsidP="008E5194">
      <w:pPr>
        <w:rPr>
          <w:lang w:val="pt-BR"/>
        </w:rPr>
      </w:pPr>
      <w:r>
        <w:rPr>
          <w:b/>
          <w:lang w:val="pt-BR"/>
        </w:rPr>
        <w:t xml:space="preserve">Leitura: </w:t>
      </w:r>
      <w:r>
        <w:rPr>
          <w:lang w:val="pt-BR"/>
        </w:rPr>
        <w:t>A variável-alvo é binária e bastante desbalanceada, com 7,18% das ocorrências classificadas como fatais. Por isso, a interpretação prioriza proporções e comparações relativas, sempre acompanhadas de volume mínimo de registros para reduzir instabilidade. Variáveis de contagem de vítimas tendem a apresentar assimetria, pois a maioria dos acidentes concentra poucos desfechos graves, enquanto uma parcela menor reúne múltiplas vítimas.</w:t>
      </w:r>
    </w:p>
    <w:p w14:paraId="79234F0C" w14:textId="40A5AB55" w:rsidR="00162E34" w:rsidRDefault="00162E34">
      <w:pPr>
        <w:rPr>
          <w:lang w:val="pt-BR"/>
        </w:rPr>
      </w:pPr>
    </w:p>
    <w:p w14:paraId="3F03CF75" w14:textId="77777777" w:rsidR="00694BAE" w:rsidRPr="00252D66" w:rsidRDefault="006D28B0" w:rsidP="008E5194">
      <w:pPr>
        <w:pStyle w:val="Ttulo1"/>
        <w:rPr>
          <w:lang w:val="pt-BR"/>
        </w:rPr>
      </w:pPr>
      <w:r>
        <w:rPr>
          <w:lang w:val="pt-BR"/>
        </w:rPr>
        <w:t>3. Rankings — onde os eventos acontecem</w:t>
      </w:r>
    </w:p>
    <w:p w14:paraId="103AA468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3.1 Por fase do dia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758"/>
        <w:gridCol w:w="2504"/>
        <w:gridCol w:w="2503"/>
        <w:gridCol w:w="1877"/>
      </w:tblGrid>
      <w:tr w:rsidR="00694BAE" w14:paraId="1B5F5FAC" w14:textId="77777777" w:rsidTr="00252D66">
        <w:trPr>
          <w:jc w:val="center"/>
        </w:trPr>
        <w:tc>
          <w:tcPr>
            <w:tcW w:w="1765" w:type="pct"/>
            <w:shd w:val="clear" w:color="auto" w:fill="F2F2F2"/>
            <w:vAlign w:val="center"/>
          </w:tcPr>
          <w:p w14:paraId="34C1E8A6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Fase do dia</w:t>
            </w:r>
          </w:p>
        </w:tc>
        <w:tc>
          <w:tcPr>
            <w:tcW w:w="1176" w:type="pct"/>
            <w:shd w:val="clear" w:color="auto" w:fill="F2F2F2"/>
            <w:vAlign w:val="center"/>
          </w:tcPr>
          <w:p w14:paraId="0E06EAFF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</w:t>
            </w:r>
          </w:p>
        </w:tc>
        <w:tc>
          <w:tcPr>
            <w:tcW w:w="1176" w:type="pct"/>
            <w:shd w:val="clear" w:color="auto" w:fill="F2F2F2"/>
            <w:vAlign w:val="center"/>
          </w:tcPr>
          <w:p w14:paraId="3A71DF13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 fatais</w:t>
            </w:r>
          </w:p>
        </w:tc>
        <w:tc>
          <w:tcPr>
            <w:tcW w:w="882" w:type="pct"/>
            <w:shd w:val="clear" w:color="auto" w:fill="F2F2F2"/>
            <w:vAlign w:val="center"/>
          </w:tcPr>
          <w:p w14:paraId="3D87BCB6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fatal</w:t>
            </w:r>
          </w:p>
        </w:tc>
      </w:tr>
      <w:tr w:rsidR="00694BAE" w14:paraId="7BFDF629" w14:textId="77777777" w:rsidTr="00252D66">
        <w:trPr>
          <w:jc w:val="center"/>
        </w:trPr>
        <w:tc>
          <w:tcPr>
            <w:tcW w:w="1765" w:type="pct"/>
            <w:vAlign w:val="center"/>
          </w:tcPr>
          <w:p w14:paraId="34E5FCE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Pleno dia</w:t>
            </w:r>
          </w:p>
        </w:tc>
        <w:tc>
          <w:tcPr>
            <w:tcW w:w="1176" w:type="pct"/>
            <w:vAlign w:val="center"/>
          </w:tcPr>
          <w:p w14:paraId="76235B2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40.375</w:t>
            </w:r>
          </w:p>
        </w:tc>
        <w:tc>
          <w:tcPr>
            <w:tcW w:w="1176" w:type="pct"/>
            <w:vAlign w:val="center"/>
          </w:tcPr>
          <w:p w14:paraId="456D5E2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2.049</w:t>
            </w:r>
          </w:p>
        </w:tc>
        <w:tc>
          <w:tcPr>
            <w:tcW w:w="882" w:type="pct"/>
            <w:vAlign w:val="center"/>
          </w:tcPr>
          <w:p w14:paraId="0FC10C3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5,07%</w:t>
            </w:r>
          </w:p>
        </w:tc>
      </w:tr>
      <w:tr w:rsidR="00694BAE" w14:paraId="4D1F6C85" w14:textId="77777777" w:rsidTr="00252D66">
        <w:trPr>
          <w:jc w:val="center"/>
        </w:trPr>
        <w:tc>
          <w:tcPr>
            <w:tcW w:w="1765" w:type="pct"/>
            <w:vAlign w:val="center"/>
          </w:tcPr>
          <w:p w14:paraId="58D989D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</w:t>
            </w:r>
          </w:p>
        </w:tc>
        <w:tc>
          <w:tcPr>
            <w:tcW w:w="1176" w:type="pct"/>
            <w:vAlign w:val="center"/>
          </w:tcPr>
          <w:p w14:paraId="2C89DC3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24.781</w:t>
            </w:r>
          </w:p>
        </w:tc>
        <w:tc>
          <w:tcPr>
            <w:tcW w:w="1176" w:type="pct"/>
            <w:vAlign w:val="center"/>
          </w:tcPr>
          <w:p w14:paraId="3FD10A8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2.522</w:t>
            </w:r>
          </w:p>
        </w:tc>
        <w:tc>
          <w:tcPr>
            <w:tcW w:w="882" w:type="pct"/>
            <w:vAlign w:val="center"/>
          </w:tcPr>
          <w:p w14:paraId="518DEF3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10,18%</w:t>
            </w:r>
          </w:p>
        </w:tc>
      </w:tr>
      <w:tr w:rsidR="00694BAE" w14:paraId="6F9FF877" w14:textId="77777777" w:rsidTr="00252D66">
        <w:trPr>
          <w:jc w:val="center"/>
        </w:trPr>
        <w:tc>
          <w:tcPr>
            <w:tcW w:w="1765" w:type="pct"/>
            <w:vAlign w:val="center"/>
          </w:tcPr>
          <w:p w14:paraId="49930C1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Anoitecer</w:t>
            </w:r>
          </w:p>
        </w:tc>
        <w:tc>
          <w:tcPr>
            <w:tcW w:w="1176" w:type="pct"/>
            <w:vAlign w:val="center"/>
          </w:tcPr>
          <w:p w14:paraId="2943F67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3.926</w:t>
            </w:r>
          </w:p>
        </w:tc>
        <w:tc>
          <w:tcPr>
            <w:tcW w:w="1176" w:type="pct"/>
            <w:vAlign w:val="center"/>
          </w:tcPr>
          <w:p w14:paraId="2F5430B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253</w:t>
            </w:r>
          </w:p>
        </w:tc>
        <w:tc>
          <w:tcPr>
            <w:tcW w:w="882" w:type="pct"/>
            <w:vAlign w:val="center"/>
          </w:tcPr>
          <w:p w14:paraId="4BDCC5E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6,44%</w:t>
            </w:r>
          </w:p>
        </w:tc>
      </w:tr>
      <w:tr w:rsidR="00694BAE" w14:paraId="7219C699" w14:textId="77777777" w:rsidTr="00252D66">
        <w:trPr>
          <w:jc w:val="center"/>
        </w:trPr>
        <w:tc>
          <w:tcPr>
            <w:tcW w:w="1765" w:type="pct"/>
            <w:vAlign w:val="center"/>
          </w:tcPr>
          <w:p w14:paraId="670BE21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</w:t>
            </w:r>
          </w:p>
        </w:tc>
        <w:tc>
          <w:tcPr>
            <w:tcW w:w="1176" w:type="pct"/>
            <w:vAlign w:val="center"/>
          </w:tcPr>
          <w:p w14:paraId="4DEE808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3.447</w:t>
            </w:r>
          </w:p>
        </w:tc>
        <w:tc>
          <w:tcPr>
            <w:tcW w:w="1176" w:type="pct"/>
            <w:vAlign w:val="center"/>
          </w:tcPr>
          <w:p w14:paraId="51C5768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386</w:t>
            </w:r>
          </w:p>
        </w:tc>
        <w:tc>
          <w:tcPr>
            <w:tcW w:w="882" w:type="pct"/>
            <w:vAlign w:val="center"/>
          </w:tcPr>
          <w:p w14:paraId="1F61482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11,20%</w:t>
            </w:r>
          </w:p>
        </w:tc>
      </w:tr>
    </w:tbl>
    <w:p w14:paraId="61E4D1E4" w14:textId="77777777" w:rsidR="00694BAE" w:rsidRDefault="00694BAE" w:rsidP="008E5194">
      <w:pPr>
        <w:spacing w:after="20"/>
      </w:pPr>
    </w:p>
    <w:p w14:paraId="225510D7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Leitura: </w:t>
      </w:r>
      <w:r>
        <w:rPr>
          <w:lang w:val="pt-BR"/>
        </w:rPr>
        <w:t>Pleno dia concentra 55,7% dos acidentes, mas apresenta a menor proporção fatal (5,07%). Amanhecer tem apenas 4,75% do volume, porém a maior proporção fatal (11,20%). Plena noite combina volume elevado com fatalidade elevada e concentra o maior número absoluto de acidentes fatais (2.522).</w:t>
      </w:r>
    </w:p>
    <w:p w14:paraId="3473C8FF" w14:textId="77777777" w:rsidR="00694BAE" w:rsidRDefault="006D28B0" w:rsidP="008E5194">
      <w:pPr>
        <w:jc w:val="center"/>
      </w:pPr>
      <w:r>
        <w:rPr>
          <w:noProof/>
        </w:rPr>
        <w:lastRenderedPageBreak/>
        <w:drawing>
          <wp:inline distT="0" distB="0" distL="0" distR="0" wp14:anchorId="6487B5BF" wp14:editId="45543DF9">
            <wp:extent cx="5897880" cy="2770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9DA6" w14:textId="2EAABC8A" w:rsidR="00694BAE" w:rsidRDefault="006D28B0" w:rsidP="008E5194">
      <w:pPr>
        <w:jc w:val="center"/>
        <w:rPr>
          <w:i/>
          <w:lang w:val="pt-BR"/>
        </w:rPr>
      </w:pPr>
      <w:r>
        <w:rPr>
          <w:i/>
          <w:lang w:val="pt-BR"/>
        </w:rPr>
        <w:t xml:space="preserve">Gráfico 1 — Volume de acidentes e percentual de acidentes fatais por fase do dia; </w:t>
      </w:r>
      <w:r>
        <w:rPr>
          <w:i/>
          <w:lang w:val="pt-BR"/>
        </w:rPr>
        <w:br/>
        <w:t>linha tracejada indica a taxa global de 7,18%.</w:t>
      </w:r>
    </w:p>
    <w:p w14:paraId="670FB9BF" w14:textId="77777777" w:rsidR="00162E34" w:rsidRPr="00162E34" w:rsidRDefault="00162E34" w:rsidP="008E5194">
      <w:pPr>
        <w:jc w:val="center"/>
        <w:rPr>
          <w:u w:val="single"/>
          <w:lang w:val="pt-BR"/>
        </w:rPr>
      </w:pPr>
    </w:p>
    <w:p w14:paraId="2D2761CF" w14:textId="77777777" w:rsidR="00694BAE" w:rsidRDefault="006D28B0" w:rsidP="008E5194">
      <w:pPr>
        <w:pStyle w:val="Ttulo2"/>
      </w:pPr>
      <w:r>
        <w:t>3.2 Por unidade federativa</w:t>
      </w:r>
    </w:p>
    <w:p w14:paraId="5ADFFD77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4BDA4E47" wp14:editId="10F9C4F3">
            <wp:extent cx="5897880" cy="3272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211" w14:textId="706A55E7" w:rsidR="00694BAE" w:rsidRDefault="006D28B0" w:rsidP="008E5194">
      <w:pPr>
        <w:jc w:val="center"/>
        <w:rPr>
          <w:i/>
          <w:lang w:val="pt-BR"/>
        </w:rPr>
      </w:pPr>
      <w:r>
        <w:rPr>
          <w:i/>
          <w:lang w:val="pt-BR"/>
        </w:rPr>
        <w:t>Gráfico 2 — Percentual de acidentes fatais por UF; linha tracejada indica a taxa global de 7,18%.</w:t>
      </w:r>
    </w:p>
    <w:p w14:paraId="656DC518" w14:textId="3F2F0B80" w:rsidR="00DD10E3" w:rsidRPr="00252D66" w:rsidRDefault="00DD10E3" w:rsidP="00DD10E3">
      <w:pPr>
        <w:rPr>
          <w:lang w:val="pt-BR"/>
        </w:rPr>
      </w:pPr>
      <w:r>
        <w:rPr>
          <w:lang w:val="pt-BR"/>
        </w:rPr>
        <w:br w:type="page"/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757"/>
        <w:gridCol w:w="3131"/>
        <w:gridCol w:w="3754"/>
      </w:tblGrid>
      <w:tr w:rsidR="00694BAE" w14:paraId="493EB76E" w14:textId="77777777" w:rsidTr="00252D66">
        <w:trPr>
          <w:jc w:val="center"/>
        </w:trPr>
        <w:tc>
          <w:tcPr>
            <w:tcW w:w="1765" w:type="pct"/>
            <w:shd w:val="clear" w:color="auto" w:fill="F2F2F2"/>
            <w:vAlign w:val="center"/>
          </w:tcPr>
          <w:p w14:paraId="01BB2F57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lastRenderedPageBreak/>
              <w:t>UF</w:t>
            </w:r>
          </w:p>
        </w:tc>
        <w:tc>
          <w:tcPr>
            <w:tcW w:w="1471" w:type="pct"/>
            <w:shd w:val="clear" w:color="auto" w:fill="F2F2F2"/>
            <w:vAlign w:val="center"/>
          </w:tcPr>
          <w:p w14:paraId="0513C512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de acidentes fatais</w:t>
            </w:r>
          </w:p>
        </w:tc>
        <w:tc>
          <w:tcPr>
            <w:tcW w:w="1765" w:type="pct"/>
            <w:shd w:val="clear" w:color="auto" w:fill="F2F2F2"/>
            <w:vAlign w:val="center"/>
          </w:tcPr>
          <w:p w14:paraId="627BFA50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Comparação com taxa global</w:t>
            </w:r>
          </w:p>
        </w:tc>
      </w:tr>
      <w:tr w:rsidR="00694BAE" w14:paraId="0EA3A0E1" w14:textId="77777777" w:rsidTr="00252D66">
        <w:trPr>
          <w:jc w:val="center"/>
        </w:trPr>
        <w:tc>
          <w:tcPr>
            <w:tcW w:w="1765" w:type="pct"/>
            <w:vAlign w:val="center"/>
          </w:tcPr>
          <w:p w14:paraId="060FC27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Maranhão (MA)</w:t>
            </w:r>
          </w:p>
        </w:tc>
        <w:tc>
          <w:tcPr>
            <w:tcW w:w="1471" w:type="pct"/>
            <w:vAlign w:val="center"/>
          </w:tcPr>
          <w:p w14:paraId="25A512D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18,70%</w:t>
            </w:r>
          </w:p>
        </w:tc>
        <w:tc>
          <w:tcPr>
            <w:tcW w:w="1765" w:type="pct"/>
            <w:vAlign w:val="center"/>
          </w:tcPr>
          <w:p w14:paraId="48D0D5B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2,60x a taxa global</w:t>
            </w:r>
          </w:p>
        </w:tc>
      </w:tr>
      <w:tr w:rsidR="00694BAE" w14:paraId="75798CE8" w14:textId="77777777" w:rsidTr="00252D66">
        <w:trPr>
          <w:jc w:val="center"/>
        </w:trPr>
        <w:tc>
          <w:tcPr>
            <w:tcW w:w="1765" w:type="pct"/>
            <w:vAlign w:val="center"/>
          </w:tcPr>
          <w:p w14:paraId="365F919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Pará (PA)</w:t>
            </w:r>
          </w:p>
        </w:tc>
        <w:tc>
          <w:tcPr>
            <w:tcW w:w="1471" w:type="pct"/>
            <w:vAlign w:val="center"/>
          </w:tcPr>
          <w:p w14:paraId="0B60E3A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17,28%</w:t>
            </w:r>
          </w:p>
        </w:tc>
        <w:tc>
          <w:tcPr>
            <w:tcW w:w="1765" w:type="pct"/>
            <w:vAlign w:val="center"/>
          </w:tcPr>
          <w:p w14:paraId="1F0A9EC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2,41x a taxa global</w:t>
            </w:r>
          </w:p>
        </w:tc>
      </w:tr>
      <w:tr w:rsidR="00694BAE" w14:paraId="2270FC89" w14:textId="77777777" w:rsidTr="00252D66">
        <w:trPr>
          <w:jc w:val="center"/>
        </w:trPr>
        <w:tc>
          <w:tcPr>
            <w:tcW w:w="1765" w:type="pct"/>
            <w:vAlign w:val="center"/>
          </w:tcPr>
          <w:p w14:paraId="531F99F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Roraima (RR)</w:t>
            </w:r>
          </w:p>
        </w:tc>
        <w:tc>
          <w:tcPr>
            <w:tcW w:w="1471" w:type="pct"/>
            <w:vAlign w:val="center"/>
          </w:tcPr>
          <w:p w14:paraId="7E6271F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~16%</w:t>
            </w:r>
          </w:p>
        </w:tc>
        <w:tc>
          <w:tcPr>
            <w:tcW w:w="1765" w:type="pct"/>
            <w:vAlign w:val="center"/>
          </w:tcPr>
          <w:p w14:paraId="21BB1DB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12FC8602" w14:textId="77777777" w:rsidTr="00252D66">
        <w:trPr>
          <w:jc w:val="center"/>
        </w:trPr>
        <w:tc>
          <w:tcPr>
            <w:tcW w:w="1765" w:type="pct"/>
            <w:vAlign w:val="center"/>
          </w:tcPr>
          <w:p w14:paraId="6394C69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Amazonas (AM)</w:t>
            </w:r>
          </w:p>
        </w:tc>
        <w:tc>
          <w:tcPr>
            <w:tcW w:w="1471" w:type="pct"/>
            <w:vAlign w:val="center"/>
          </w:tcPr>
          <w:p w14:paraId="5D92AEB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~14%</w:t>
            </w:r>
          </w:p>
        </w:tc>
        <w:tc>
          <w:tcPr>
            <w:tcW w:w="1765" w:type="pct"/>
            <w:vAlign w:val="center"/>
          </w:tcPr>
          <w:p w14:paraId="5F45C75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0196C224" w14:textId="77777777" w:rsidTr="00252D66">
        <w:trPr>
          <w:jc w:val="center"/>
        </w:trPr>
        <w:tc>
          <w:tcPr>
            <w:tcW w:w="1765" w:type="pct"/>
            <w:vAlign w:val="center"/>
          </w:tcPr>
          <w:p w14:paraId="7CADBFC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Alagoas (AL)</w:t>
            </w:r>
          </w:p>
        </w:tc>
        <w:tc>
          <w:tcPr>
            <w:tcW w:w="1471" w:type="pct"/>
            <w:vAlign w:val="center"/>
          </w:tcPr>
          <w:p w14:paraId="30A4542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~14%</w:t>
            </w:r>
          </w:p>
        </w:tc>
        <w:tc>
          <w:tcPr>
            <w:tcW w:w="1765" w:type="pct"/>
            <w:vAlign w:val="center"/>
          </w:tcPr>
          <w:p w14:paraId="2B3DEC1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4C74BFB1" w14:textId="77777777" w:rsidTr="00252D66">
        <w:trPr>
          <w:jc w:val="center"/>
        </w:trPr>
        <w:tc>
          <w:tcPr>
            <w:tcW w:w="1765" w:type="pct"/>
            <w:vAlign w:val="center"/>
          </w:tcPr>
          <w:p w14:paraId="0FA290C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São Paulo (SP)</w:t>
            </w:r>
          </w:p>
        </w:tc>
        <w:tc>
          <w:tcPr>
            <w:tcW w:w="1471" w:type="pct"/>
            <w:vAlign w:val="center"/>
          </w:tcPr>
          <w:p w14:paraId="6A98265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4,38%</w:t>
            </w:r>
          </w:p>
        </w:tc>
        <w:tc>
          <w:tcPr>
            <w:tcW w:w="1765" w:type="pct"/>
            <w:vAlign w:val="center"/>
          </w:tcPr>
          <w:p w14:paraId="6A04927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abaixo da taxa global</w:t>
            </w:r>
          </w:p>
        </w:tc>
      </w:tr>
      <w:tr w:rsidR="00694BAE" w14:paraId="35A958B9" w14:textId="77777777" w:rsidTr="00252D66">
        <w:trPr>
          <w:jc w:val="center"/>
        </w:trPr>
        <w:tc>
          <w:tcPr>
            <w:tcW w:w="1765" w:type="pct"/>
            <w:vAlign w:val="center"/>
          </w:tcPr>
          <w:p w14:paraId="35EAD3E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Distrito Federal (DF)</w:t>
            </w:r>
          </w:p>
        </w:tc>
        <w:tc>
          <w:tcPr>
            <w:tcW w:w="1471" w:type="pct"/>
            <w:vAlign w:val="center"/>
          </w:tcPr>
          <w:p w14:paraId="0CD0F0C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~4%</w:t>
            </w:r>
          </w:p>
        </w:tc>
        <w:tc>
          <w:tcPr>
            <w:tcW w:w="1765" w:type="pct"/>
            <w:vAlign w:val="center"/>
          </w:tcPr>
          <w:p w14:paraId="46B1FFA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abaixo da taxa global</w:t>
            </w:r>
          </w:p>
        </w:tc>
      </w:tr>
    </w:tbl>
    <w:p w14:paraId="3CBD8DBE" w14:textId="77777777" w:rsidR="00694BAE" w:rsidRDefault="00694BAE" w:rsidP="008E5194">
      <w:pPr>
        <w:spacing w:after="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98"/>
      </w:tblGrid>
      <w:tr w:rsidR="00694BAE" w:rsidRPr="008E5D1A" w14:paraId="7229795B" w14:textId="77777777" w:rsidTr="004F5892">
        <w:tc>
          <w:tcPr>
            <w:tcW w:w="10598" w:type="dxa"/>
            <w:shd w:val="clear" w:color="auto" w:fill="FCE4D6"/>
          </w:tcPr>
          <w:p w14:paraId="4EF39860" w14:textId="77777777" w:rsidR="00694BAE" w:rsidRPr="00252D66" w:rsidRDefault="006D28B0" w:rsidP="008E5194">
            <w:pPr>
              <w:spacing w:line="276" w:lineRule="auto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 xml:space="preserve">Atenção à confusão volume x proporção: </w:t>
            </w:r>
            <w:r>
              <w:rPr>
                <w:sz w:val="18"/>
                <w:lang w:val="pt-BR"/>
              </w:rPr>
              <w:t>Estados com grande volume de acidentes não aparecem necessariamente no topo da taxa de fatalidade. Santa Catarina e Minas Gerais têm volume elevado, mas proporções fatais menores que os estados líderes. Percentuais de UFs com baixo número de acidentes devem ser interpretados junto com o volume.</w:t>
            </w:r>
          </w:p>
        </w:tc>
      </w:tr>
    </w:tbl>
    <w:p w14:paraId="3C219A22" w14:textId="77777777" w:rsidR="00694BAE" w:rsidRPr="00252D66" w:rsidRDefault="00694BAE" w:rsidP="008E5194">
      <w:pPr>
        <w:rPr>
          <w:lang w:val="pt-BR"/>
        </w:rPr>
      </w:pPr>
    </w:p>
    <w:p w14:paraId="7022F0C7" w14:textId="77777777" w:rsidR="00694BAE" w:rsidRDefault="006D28B0" w:rsidP="008E5194">
      <w:pPr>
        <w:pStyle w:val="Ttulo2"/>
      </w:pPr>
      <w:r>
        <w:t>3.3 Por tipo de acidente</w:t>
      </w:r>
    </w:p>
    <w:p w14:paraId="077BE7C0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590558DF" wp14:editId="3D2F3E80">
            <wp:extent cx="5897880" cy="3247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i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6221" w14:textId="1D1FF508" w:rsidR="00694BAE" w:rsidRPr="00252D66" w:rsidRDefault="006D28B0" w:rsidP="008E5194">
      <w:pPr>
        <w:jc w:val="center"/>
        <w:rPr>
          <w:lang w:val="pt-BR"/>
        </w:rPr>
      </w:pPr>
      <w:r>
        <w:rPr>
          <w:i/>
          <w:lang w:val="pt-BR"/>
        </w:rPr>
        <w:t xml:space="preserve">Gráfico 3 — Percentual de acidentes fatais nos tipos de acidente com dados consolidados; </w:t>
      </w:r>
      <w:r>
        <w:rPr>
          <w:i/>
          <w:lang w:val="pt-BR"/>
        </w:rPr>
        <w:br/>
        <w:t>linha tracejada indica a taxa global de 7,18%.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4257"/>
        <w:gridCol w:w="2254"/>
        <w:gridCol w:w="2254"/>
        <w:gridCol w:w="1877"/>
      </w:tblGrid>
      <w:tr w:rsidR="00694BAE" w14:paraId="15CE0553" w14:textId="77777777" w:rsidTr="00252D66">
        <w:trPr>
          <w:jc w:val="center"/>
        </w:trPr>
        <w:tc>
          <w:tcPr>
            <w:tcW w:w="2000" w:type="pct"/>
            <w:shd w:val="clear" w:color="auto" w:fill="F2F2F2"/>
            <w:vAlign w:val="center"/>
          </w:tcPr>
          <w:p w14:paraId="539F5A5D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1059" w:type="pct"/>
            <w:shd w:val="clear" w:color="auto" w:fill="F2F2F2"/>
            <w:vAlign w:val="center"/>
          </w:tcPr>
          <w:p w14:paraId="235A7B7A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</w:t>
            </w:r>
          </w:p>
        </w:tc>
        <w:tc>
          <w:tcPr>
            <w:tcW w:w="1059" w:type="pct"/>
            <w:shd w:val="clear" w:color="auto" w:fill="F2F2F2"/>
            <w:vAlign w:val="center"/>
          </w:tcPr>
          <w:p w14:paraId="613FBB0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 fatais</w:t>
            </w:r>
          </w:p>
        </w:tc>
        <w:tc>
          <w:tcPr>
            <w:tcW w:w="882" w:type="pct"/>
            <w:shd w:val="clear" w:color="auto" w:fill="F2F2F2"/>
            <w:vAlign w:val="center"/>
          </w:tcPr>
          <w:p w14:paraId="64F7E9B7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fatal</w:t>
            </w:r>
          </w:p>
        </w:tc>
      </w:tr>
      <w:tr w:rsidR="00694BAE" w14:paraId="2C27B875" w14:textId="77777777" w:rsidTr="00252D66">
        <w:trPr>
          <w:jc w:val="center"/>
        </w:trPr>
        <w:tc>
          <w:tcPr>
            <w:tcW w:w="2000" w:type="pct"/>
            <w:vAlign w:val="center"/>
          </w:tcPr>
          <w:p w14:paraId="1BAEED9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traseira</w:t>
            </w:r>
          </w:p>
        </w:tc>
        <w:tc>
          <w:tcPr>
            <w:tcW w:w="1059" w:type="pct"/>
            <w:vAlign w:val="center"/>
          </w:tcPr>
          <w:p w14:paraId="20DD625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14.360</w:t>
            </w:r>
          </w:p>
        </w:tc>
        <w:tc>
          <w:tcPr>
            <w:tcW w:w="1059" w:type="pct"/>
            <w:vAlign w:val="center"/>
          </w:tcPr>
          <w:p w14:paraId="68119A8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619</w:t>
            </w:r>
          </w:p>
        </w:tc>
        <w:tc>
          <w:tcPr>
            <w:tcW w:w="882" w:type="pct"/>
            <w:vAlign w:val="center"/>
          </w:tcPr>
          <w:p w14:paraId="066357B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4,31%</w:t>
            </w:r>
          </w:p>
        </w:tc>
      </w:tr>
      <w:tr w:rsidR="00694BAE" w14:paraId="3DC14A9A" w14:textId="77777777" w:rsidTr="00252D66">
        <w:trPr>
          <w:jc w:val="center"/>
        </w:trPr>
        <w:tc>
          <w:tcPr>
            <w:tcW w:w="2000" w:type="pct"/>
            <w:vAlign w:val="center"/>
          </w:tcPr>
          <w:p w14:paraId="0ADC18D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Saída de leito carroçável</w:t>
            </w:r>
          </w:p>
        </w:tc>
        <w:tc>
          <w:tcPr>
            <w:tcW w:w="1059" w:type="pct"/>
            <w:vAlign w:val="center"/>
          </w:tcPr>
          <w:p w14:paraId="38B22D7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10.209</w:t>
            </w:r>
          </w:p>
        </w:tc>
        <w:tc>
          <w:tcPr>
            <w:tcW w:w="1059" w:type="pct"/>
            <w:vAlign w:val="center"/>
          </w:tcPr>
          <w:p w14:paraId="26866ED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605</w:t>
            </w:r>
          </w:p>
        </w:tc>
        <w:tc>
          <w:tcPr>
            <w:tcW w:w="882" w:type="pct"/>
            <w:vAlign w:val="center"/>
          </w:tcPr>
          <w:p w14:paraId="0E5714B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5,93%</w:t>
            </w:r>
          </w:p>
        </w:tc>
      </w:tr>
      <w:tr w:rsidR="00694BAE" w14:paraId="7D490922" w14:textId="77777777" w:rsidTr="00252D66">
        <w:trPr>
          <w:jc w:val="center"/>
        </w:trPr>
        <w:tc>
          <w:tcPr>
            <w:tcW w:w="2000" w:type="pct"/>
            <w:vAlign w:val="center"/>
          </w:tcPr>
          <w:p w14:paraId="3B57C54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transversal</w:t>
            </w:r>
          </w:p>
        </w:tc>
        <w:tc>
          <w:tcPr>
            <w:tcW w:w="1059" w:type="pct"/>
            <w:vAlign w:val="center"/>
          </w:tcPr>
          <w:p w14:paraId="3138B5C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9.306</w:t>
            </w:r>
          </w:p>
        </w:tc>
        <w:tc>
          <w:tcPr>
            <w:tcW w:w="1059" w:type="pct"/>
            <w:vAlign w:val="center"/>
          </w:tcPr>
          <w:p w14:paraId="67A32DF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82" w:type="pct"/>
            <w:vAlign w:val="center"/>
          </w:tcPr>
          <w:p w14:paraId="7A28762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</w:tr>
      <w:tr w:rsidR="00694BAE" w14:paraId="2CC0E0BA" w14:textId="77777777" w:rsidTr="00252D66">
        <w:trPr>
          <w:jc w:val="center"/>
        </w:trPr>
        <w:tc>
          <w:tcPr>
            <w:tcW w:w="2000" w:type="pct"/>
            <w:vAlign w:val="center"/>
          </w:tcPr>
          <w:p w14:paraId="75F0574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lateral mesmo sentido</w:t>
            </w:r>
          </w:p>
        </w:tc>
        <w:tc>
          <w:tcPr>
            <w:tcW w:w="1059" w:type="pct"/>
            <w:vAlign w:val="center"/>
          </w:tcPr>
          <w:p w14:paraId="20506D3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7.885</w:t>
            </w:r>
          </w:p>
        </w:tc>
        <w:tc>
          <w:tcPr>
            <w:tcW w:w="1059" w:type="pct"/>
            <w:vAlign w:val="center"/>
          </w:tcPr>
          <w:p w14:paraId="4879F87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82" w:type="pct"/>
            <w:vAlign w:val="center"/>
          </w:tcPr>
          <w:p w14:paraId="0A3EF81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</w:tr>
      <w:tr w:rsidR="00694BAE" w14:paraId="573637B0" w14:textId="77777777" w:rsidTr="00252D66">
        <w:trPr>
          <w:jc w:val="center"/>
        </w:trPr>
        <w:tc>
          <w:tcPr>
            <w:tcW w:w="2000" w:type="pct"/>
            <w:vAlign w:val="center"/>
          </w:tcPr>
          <w:p w14:paraId="7E7A0CE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Tombamento</w:t>
            </w:r>
          </w:p>
        </w:tc>
        <w:tc>
          <w:tcPr>
            <w:tcW w:w="1059" w:type="pct"/>
            <w:vAlign w:val="center"/>
          </w:tcPr>
          <w:p w14:paraId="2B4D986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6.351</w:t>
            </w:r>
          </w:p>
        </w:tc>
        <w:tc>
          <w:tcPr>
            <w:tcW w:w="1059" w:type="pct"/>
            <w:vAlign w:val="center"/>
          </w:tcPr>
          <w:p w14:paraId="5ADCF1A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82" w:type="pct"/>
            <w:vAlign w:val="center"/>
          </w:tcPr>
          <w:p w14:paraId="692F50A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</w:tr>
      <w:tr w:rsidR="00694BAE" w14:paraId="5CC35E79" w14:textId="77777777" w:rsidTr="00252D66">
        <w:trPr>
          <w:jc w:val="center"/>
        </w:trPr>
        <w:tc>
          <w:tcPr>
            <w:tcW w:w="2000" w:type="pct"/>
            <w:vAlign w:val="center"/>
          </w:tcPr>
          <w:p w14:paraId="5603420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Atropelamento de Pedestre</w:t>
            </w:r>
          </w:p>
        </w:tc>
        <w:tc>
          <w:tcPr>
            <w:tcW w:w="1059" w:type="pct"/>
            <w:vAlign w:val="center"/>
          </w:tcPr>
          <w:p w14:paraId="5609511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3.057</w:t>
            </w:r>
          </w:p>
        </w:tc>
        <w:tc>
          <w:tcPr>
            <w:tcW w:w="1059" w:type="pct"/>
            <w:vAlign w:val="center"/>
          </w:tcPr>
          <w:p w14:paraId="3E781EC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902</w:t>
            </w:r>
          </w:p>
        </w:tc>
        <w:tc>
          <w:tcPr>
            <w:tcW w:w="882" w:type="pct"/>
            <w:vAlign w:val="center"/>
          </w:tcPr>
          <w:p w14:paraId="21412F6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29,51%</w:t>
            </w:r>
          </w:p>
        </w:tc>
      </w:tr>
      <w:tr w:rsidR="00694BAE" w14:paraId="08CAA1FF" w14:textId="77777777" w:rsidTr="00252D66">
        <w:trPr>
          <w:jc w:val="center"/>
        </w:trPr>
        <w:tc>
          <w:tcPr>
            <w:tcW w:w="2000" w:type="pct"/>
            <w:vAlign w:val="center"/>
          </w:tcPr>
          <w:p w14:paraId="4E0C37A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frontal</w:t>
            </w:r>
          </w:p>
        </w:tc>
        <w:tc>
          <w:tcPr>
            <w:tcW w:w="1059" w:type="pct"/>
            <w:vAlign w:val="center"/>
          </w:tcPr>
          <w:p w14:paraId="45C0BB0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4.739</w:t>
            </w:r>
          </w:p>
        </w:tc>
        <w:tc>
          <w:tcPr>
            <w:tcW w:w="1059" w:type="pct"/>
            <w:vAlign w:val="center"/>
          </w:tcPr>
          <w:p w14:paraId="0DD37A1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1.396</w:t>
            </w:r>
          </w:p>
        </w:tc>
        <w:tc>
          <w:tcPr>
            <w:tcW w:w="882" w:type="pct"/>
            <w:vAlign w:val="center"/>
          </w:tcPr>
          <w:p w14:paraId="0500BFC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29,46%</w:t>
            </w:r>
          </w:p>
        </w:tc>
      </w:tr>
    </w:tbl>
    <w:p w14:paraId="60B55F8B" w14:textId="77777777" w:rsidR="00694BAE" w:rsidRDefault="00694BAE" w:rsidP="008E5194">
      <w:pPr>
        <w:spacing w:after="20"/>
      </w:pPr>
    </w:p>
    <w:p w14:paraId="291F4245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Concentração: </w:t>
      </w:r>
      <w:r>
        <w:rPr>
          <w:lang w:val="pt-BR"/>
        </w:rPr>
        <w:t xml:space="preserve">Colisão traseira sozinha representa cerca de 19,8% de todos os acidentes. Porém, os tipos mais graves proporcionalmente são atropelamento de pedestre e colisão frontal, ambos próximos de 30% de acidentes fatais. Isso reforça que o ranking de volume responde a uma pergunta diferente do ranking de gravidade. </w:t>
      </w:r>
      <w:r>
        <w:rPr>
          <w:i/>
          <w:lang w:val="pt-BR"/>
        </w:rPr>
        <w:t>Nota: colisão transversal, colisão lateral mesmo sentido e tombamento aparecem apenas com volume nesta tabela; o percentual fatal dessas categorias ainda não foi consolidado nos artefatos consultados.</w:t>
      </w:r>
    </w:p>
    <w:p w14:paraId="7F635173" w14:textId="77777777" w:rsidR="00694BAE" w:rsidRPr="00252D66" w:rsidRDefault="006D28B0" w:rsidP="008E5194">
      <w:pPr>
        <w:pStyle w:val="Ttulo1"/>
        <w:rPr>
          <w:lang w:val="pt-BR"/>
        </w:rPr>
      </w:pPr>
      <w:r>
        <w:rPr>
          <w:lang w:val="pt-BR"/>
        </w:rPr>
        <w:lastRenderedPageBreak/>
        <w:t>4. Séries temporais</w:t>
      </w:r>
    </w:p>
    <w:p w14:paraId="20389A39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4.1 Série mensal</w:t>
      </w:r>
    </w:p>
    <w:p w14:paraId="3681307C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A série mensal não está consolidada nos artefatos atualmente disponíveis no repositório consultado. </w:t>
      </w:r>
      <w:r>
        <w:rPr>
          <w:lang w:val="pt-BR"/>
        </w:rPr>
        <w:t>O modelo solicita comparar o volume mensal com a proporção de acidentes fatais. Para manter o relatório integralmente rastreável, esta seção deve ser preenchida quando o ranking mensal estiver disponível.</w:t>
      </w:r>
    </w:p>
    <w:p w14:paraId="152DCC3B" w14:textId="3088F53E" w:rsidR="00694BAE" w:rsidRPr="00252D66" w:rsidRDefault="00694BAE" w:rsidP="008E5194">
      <w:pPr>
        <w:rPr>
          <w:lang w:val="pt-BR"/>
        </w:rPr>
      </w:pPr>
    </w:p>
    <w:p w14:paraId="1900BC57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4.2 Recorte temporal secundário — dia da semana</w:t>
      </w:r>
    </w:p>
    <w:p w14:paraId="4C462554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587D8605" wp14:editId="628B5FA1">
            <wp:extent cx="5897880" cy="32608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EB8C" w14:textId="77777777" w:rsidR="00694BAE" w:rsidRPr="00252D66" w:rsidRDefault="006D28B0" w:rsidP="008E5194">
      <w:pPr>
        <w:jc w:val="center"/>
        <w:rPr>
          <w:lang w:val="pt-BR"/>
        </w:rPr>
      </w:pPr>
      <w:r>
        <w:rPr>
          <w:i/>
          <w:lang w:val="pt-BR"/>
        </w:rPr>
        <w:t>Gráfico 4 — Percentual de acidentes fatais por dia da semana; linha tracejada indica a taxa global.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326"/>
        <w:gridCol w:w="2661"/>
        <w:gridCol w:w="2661"/>
        <w:gridCol w:w="1994"/>
      </w:tblGrid>
      <w:tr w:rsidR="00694BAE" w14:paraId="3EF56DF9" w14:textId="77777777" w:rsidTr="00252D66">
        <w:trPr>
          <w:jc w:val="center"/>
        </w:trPr>
        <w:tc>
          <w:tcPr>
            <w:tcW w:w="1563" w:type="pct"/>
            <w:shd w:val="clear" w:color="auto" w:fill="F2F2F2"/>
            <w:vAlign w:val="center"/>
          </w:tcPr>
          <w:p w14:paraId="02E32025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Dia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E54ED74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7B2655F4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 fatais</w:t>
            </w:r>
          </w:p>
        </w:tc>
        <w:tc>
          <w:tcPr>
            <w:tcW w:w="938" w:type="pct"/>
            <w:shd w:val="clear" w:color="auto" w:fill="F2F2F2"/>
            <w:vAlign w:val="center"/>
          </w:tcPr>
          <w:p w14:paraId="08BC682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fatal</w:t>
            </w:r>
          </w:p>
        </w:tc>
      </w:tr>
      <w:tr w:rsidR="00694BAE" w14:paraId="73495839" w14:textId="77777777" w:rsidTr="00252D66">
        <w:trPr>
          <w:jc w:val="center"/>
        </w:trPr>
        <w:tc>
          <w:tcPr>
            <w:tcW w:w="1563" w:type="pct"/>
            <w:vAlign w:val="center"/>
          </w:tcPr>
          <w:p w14:paraId="6888CB5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domingo</w:t>
            </w:r>
          </w:p>
        </w:tc>
        <w:tc>
          <w:tcPr>
            <w:tcW w:w="1250" w:type="pct"/>
            <w:vAlign w:val="center"/>
          </w:tcPr>
          <w:p w14:paraId="62EC9E7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11.470</w:t>
            </w:r>
          </w:p>
        </w:tc>
        <w:tc>
          <w:tcPr>
            <w:tcW w:w="1250" w:type="pct"/>
            <w:vAlign w:val="center"/>
          </w:tcPr>
          <w:p w14:paraId="2A8741D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1.017</w:t>
            </w:r>
          </w:p>
        </w:tc>
        <w:tc>
          <w:tcPr>
            <w:tcW w:w="938" w:type="pct"/>
            <w:vAlign w:val="center"/>
          </w:tcPr>
          <w:p w14:paraId="21F5F1C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8,87%</w:t>
            </w:r>
          </w:p>
        </w:tc>
      </w:tr>
      <w:tr w:rsidR="00694BAE" w14:paraId="364997DC" w14:textId="77777777" w:rsidTr="00252D66">
        <w:trPr>
          <w:jc w:val="center"/>
        </w:trPr>
        <w:tc>
          <w:tcPr>
            <w:tcW w:w="1563" w:type="pct"/>
            <w:vAlign w:val="center"/>
          </w:tcPr>
          <w:p w14:paraId="5FCA895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sábado</w:t>
            </w:r>
          </w:p>
        </w:tc>
        <w:tc>
          <w:tcPr>
            <w:tcW w:w="1250" w:type="pct"/>
            <w:vAlign w:val="center"/>
          </w:tcPr>
          <w:p w14:paraId="78042B4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11.554</w:t>
            </w:r>
          </w:p>
        </w:tc>
        <w:tc>
          <w:tcPr>
            <w:tcW w:w="1250" w:type="pct"/>
            <w:vAlign w:val="center"/>
          </w:tcPr>
          <w:p w14:paraId="52FCCD4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953</w:t>
            </w:r>
          </w:p>
        </w:tc>
        <w:tc>
          <w:tcPr>
            <w:tcW w:w="938" w:type="pct"/>
            <w:vAlign w:val="center"/>
          </w:tcPr>
          <w:p w14:paraId="475C2D7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8,25%</w:t>
            </w:r>
          </w:p>
        </w:tc>
      </w:tr>
      <w:tr w:rsidR="00694BAE" w14:paraId="05B12F22" w14:textId="77777777" w:rsidTr="00252D66">
        <w:trPr>
          <w:jc w:val="center"/>
        </w:trPr>
        <w:tc>
          <w:tcPr>
            <w:tcW w:w="1563" w:type="pct"/>
            <w:vAlign w:val="center"/>
          </w:tcPr>
          <w:p w14:paraId="4053940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sexta-feira</w:t>
            </w:r>
          </w:p>
        </w:tc>
        <w:tc>
          <w:tcPr>
            <w:tcW w:w="1250" w:type="pct"/>
            <w:vAlign w:val="center"/>
          </w:tcPr>
          <w:p w14:paraId="6162F13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11.197</w:t>
            </w:r>
          </w:p>
        </w:tc>
        <w:tc>
          <w:tcPr>
            <w:tcW w:w="1250" w:type="pct"/>
            <w:vAlign w:val="center"/>
          </w:tcPr>
          <w:p w14:paraId="2BCBA91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766</w:t>
            </w:r>
          </w:p>
        </w:tc>
        <w:tc>
          <w:tcPr>
            <w:tcW w:w="938" w:type="pct"/>
            <w:vAlign w:val="center"/>
          </w:tcPr>
          <w:p w14:paraId="3F21907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6,84%</w:t>
            </w:r>
          </w:p>
        </w:tc>
      </w:tr>
      <w:tr w:rsidR="00694BAE" w14:paraId="64222CC4" w14:textId="77777777" w:rsidTr="00252D66">
        <w:trPr>
          <w:jc w:val="center"/>
        </w:trPr>
        <w:tc>
          <w:tcPr>
            <w:tcW w:w="1563" w:type="pct"/>
            <w:vAlign w:val="center"/>
          </w:tcPr>
          <w:p w14:paraId="7969DA6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quinta-feira</w:t>
            </w:r>
          </w:p>
        </w:tc>
        <w:tc>
          <w:tcPr>
            <w:tcW w:w="1250" w:type="pct"/>
            <w:vAlign w:val="center"/>
          </w:tcPr>
          <w:p w14:paraId="6CECA45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9.405</w:t>
            </w:r>
          </w:p>
        </w:tc>
        <w:tc>
          <w:tcPr>
            <w:tcW w:w="1250" w:type="pct"/>
            <w:vAlign w:val="center"/>
          </w:tcPr>
          <w:p w14:paraId="4D689DD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625</w:t>
            </w:r>
          </w:p>
        </w:tc>
        <w:tc>
          <w:tcPr>
            <w:tcW w:w="938" w:type="pct"/>
            <w:vAlign w:val="center"/>
          </w:tcPr>
          <w:p w14:paraId="417C99B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6,65%</w:t>
            </w:r>
          </w:p>
        </w:tc>
      </w:tr>
      <w:tr w:rsidR="00694BAE" w14:paraId="3BB92F17" w14:textId="77777777" w:rsidTr="00252D66">
        <w:trPr>
          <w:jc w:val="center"/>
        </w:trPr>
        <w:tc>
          <w:tcPr>
            <w:tcW w:w="1563" w:type="pct"/>
            <w:vAlign w:val="center"/>
          </w:tcPr>
          <w:p w14:paraId="0E1C3DE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terça-feira</w:t>
            </w:r>
          </w:p>
        </w:tc>
        <w:tc>
          <w:tcPr>
            <w:tcW w:w="1250" w:type="pct"/>
            <w:vAlign w:val="center"/>
          </w:tcPr>
          <w:p w14:paraId="6C7EE96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9.062</w:t>
            </w:r>
          </w:p>
        </w:tc>
        <w:tc>
          <w:tcPr>
            <w:tcW w:w="1250" w:type="pct"/>
            <w:vAlign w:val="center"/>
          </w:tcPr>
          <w:p w14:paraId="5BCD209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586</w:t>
            </w:r>
          </w:p>
        </w:tc>
        <w:tc>
          <w:tcPr>
            <w:tcW w:w="938" w:type="pct"/>
            <w:vAlign w:val="center"/>
          </w:tcPr>
          <w:p w14:paraId="6768D4D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6,47%</w:t>
            </w:r>
          </w:p>
        </w:tc>
      </w:tr>
      <w:tr w:rsidR="00694BAE" w14:paraId="5680C34C" w14:textId="77777777" w:rsidTr="00252D66">
        <w:trPr>
          <w:jc w:val="center"/>
        </w:trPr>
        <w:tc>
          <w:tcPr>
            <w:tcW w:w="1563" w:type="pct"/>
            <w:vAlign w:val="center"/>
          </w:tcPr>
          <w:p w14:paraId="4A50650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segunda-feira</w:t>
            </w:r>
          </w:p>
        </w:tc>
        <w:tc>
          <w:tcPr>
            <w:tcW w:w="1250" w:type="pct"/>
            <w:vAlign w:val="center"/>
          </w:tcPr>
          <w:p w14:paraId="094108C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10.285</w:t>
            </w:r>
          </w:p>
        </w:tc>
        <w:tc>
          <w:tcPr>
            <w:tcW w:w="1250" w:type="pct"/>
            <w:vAlign w:val="center"/>
          </w:tcPr>
          <w:p w14:paraId="1EF9789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655</w:t>
            </w:r>
          </w:p>
        </w:tc>
        <w:tc>
          <w:tcPr>
            <w:tcW w:w="938" w:type="pct"/>
            <w:vAlign w:val="center"/>
          </w:tcPr>
          <w:p w14:paraId="6394976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6,37%</w:t>
            </w:r>
          </w:p>
        </w:tc>
      </w:tr>
      <w:tr w:rsidR="00694BAE" w14:paraId="3B80CD2C" w14:textId="77777777" w:rsidTr="00252D66">
        <w:trPr>
          <w:jc w:val="center"/>
        </w:trPr>
        <w:tc>
          <w:tcPr>
            <w:tcW w:w="1563" w:type="pct"/>
            <w:vAlign w:val="center"/>
          </w:tcPr>
          <w:p w14:paraId="24D1310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quarta-feira</w:t>
            </w:r>
          </w:p>
        </w:tc>
        <w:tc>
          <w:tcPr>
            <w:tcW w:w="1250" w:type="pct"/>
            <w:vAlign w:val="center"/>
          </w:tcPr>
          <w:p w14:paraId="0851802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9.556</w:t>
            </w:r>
          </w:p>
        </w:tc>
        <w:tc>
          <w:tcPr>
            <w:tcW w:w="1250" w:type="pct"/>
            <w:vAlign w:val="center"/>
          </w:tcPr>
          <w:p w14:paraId="39AF1A8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608</w:t>
            </w:r>
          </w:p>
        </w:tc>
        <w:tc>
          <w:tcPr>
            <w:tcW w:w="938" w:type="pct"/>
            <w:vAlign w:val="center"/>
          </w:tcPr>
          <w:p w14:paraId="0D98D71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6,36%</w:t>
            </w:r>
          </w:p>
        </w:tc>
      </w:tr>
    </w:tbl>
    <w:p w14:paraId="574BEAD3" w14:textId="77777777" w:rsidR="00694BAE" w:rsidRDefault="00694BAE" w:rsidP="008E5194">
      <w:pPr>
        <w:spacing w:after="20"/>
      </w:pPr>
    </w:p>
    <w:p w14:paraId="167C7254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Leitura: </w:t>
      </w:r>
      <w:r>
        <w:rPr>
          <w:lang w:val="pt-BR"/>
        </w:rPr>
        <w:t>O fim de semana se destaca claramente em proporção do alvo. Domingo apresenta 8,87% e sábado 8,25%, ambos acima da taxa global de 7,18%. O volume também é alto nesses dias, mas a diferença mais relevante está na elevação proporcional da fatalidade.</w:t>
      </w:r>
    </w:p>
    <w:p w14:paraId="1D814E59" w14:textId="77777777" w:rsidR="00694BAE" w:rsidRPr="00252D66" w:rsidRDefault="006D28B0" w:rsidP="008E5194">
      <w:pPr>
        <w:pStyle w:val="Ttulo1"/>
        <w:rPr>
          <w:lang w:val="pt-BR"/>
        </w:rPr>
      </w:pPr>
      <w:r>
        <w:rPr>
          <w:lang w:val="pt-BR"/>
        </w:rPr>
        <w:t>5. Análise bivariada — o que mais se associa ao indicador-alvo</w:t>
      </w:r>
    </w:p>
    <w:p w14:paraId="04A76701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5.1 Tipo de acidente</w:t>
      </w:r>
    </w:p>
    <w:p w14:paraId="25274D75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Este é um dos achados mais fortes da base: </w:t>
      </w:r>
      <w:r>
        <w:rPr>
          <w:lang w:val="pt-BR"/>
        </w:rPr>
        <w:t>a categoria mais frequente, colisão traseira (14.360 casos), apresenta 4,31% de acidentes fatais, enquanto atropelamento de pedestre (29,51%) e colisão frontal (29,46%) ficam aproximadamente 4,1 vezes acima da taxa global de 7,18%.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4486"/>
        <w:gridCol w:w="2116"/>
        <w:gridCol w:w="2116"/>
        <w:gridCol w:w="1924"/>
      </w:tblGrid>
      <w:tr w:rsidR="00694BAE" w14:paraId="0056A24B" w14:textId="77777777" w:rsidTr="00252D66">
        <w:trPr>
          <w:jc w:val="center"/>
        </w:trPr>
        <w:tc>
          <w:tcPr>
            <w:tcW w:w="2108" w:type="pct"/>
            <w:shd w:val="clear" w:color="auto" w:fill="F2F2F2"/>
            <w:vAlign w:val="center"/>
          </w:tcPr>
          <w:p w14:paraId="6FD34EE7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lastRenderedPageBreak/>
              <w:t>Categoria</w:t>
            </w:r>
          </w:p>
        </w:tc>
        <w:tc>
          <w:tcPr>
            <w:tcW w:w="994" w:type="pct"/>
            <w:shd w:val="clear" w:color="auto" w:fill="F2F2F2"/>
            <w:vAlign w:val="center"/>
          </w:tcPr>
          <w:p w14:paraId="1886E61D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Registros</w:t>
            </w:r>
          </w:p>
        </w:tc>
        <w:tc>
          <w:tcPr>
            <w:tcW w:w="994" w:type="pct"/>
            <w:shd w:val="clear" w:color="auto" w:fill="F2F2F2"/>
            <w:vAlign w:val="center"/>
          </w:tcPr>
          <w:p w14:paraId="0A36931F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Eventos-alvo</w:t>
            </w:r>
          </w:p>
        </w:tc>
        <w:tc>
          <w:tcPr>
            <w:tcW w:w="904" w:type="pct"/>
            <w:shd w:val="clear" w:color="auto" w:fill="F2F2F2"/>
            <w:vAlign w:val="center"/>
          </w:tcPr>
          <w:p w14:paraId="6AB6C2A8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alvo</w:t>
            </w:r>
          </w:p>
        </w:tc>
      </w:tr>
      <w:tr w:rsidR="00694BAE" w14:paraId="260D6848" w14:textId="77777777" w:rsidTr="00252D66">
        <w:trPr>
          <w:jc w:val="center"/>
        </w:trPr>
        <w:tc>
          <w:tcPr>
            <w:tcW w:w="2108" w:type="pct"/>
            <w:vAlign w:val="center"/>
          </w:tcPr>
          <w:p w14:paraId="169CC30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traseira</w:t>
            </w:r>
          </w:p>
        </w:tc>
        <w:tc>
          <w:tcPr>
            <w:tcW w:w="994" w:type="pct"/>
            <w:vAlign w:val="center"/>
          </w:tcPr>
          <w:p w14:paraId="16F1DA3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14.360</w:t>
            </w:r>
          </w:p>
        </w:tc>
        <w:tc>
          <w:tcPr>
            <w:tcW w:w="994" w:type="pct"/>
            <w:vAlign w:val="center"/>
          </w:tcPr>
          <w:p w14:paraId="574CC0C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619</w:t>
            </w:r>
          </w:p>
        </w:tc>
        <w:tc>
          <w:tcPr>
            <w:tcW w:w="904" w:type="pct"/>
            <w:vAlign w:val="center"/>
          </w:tcPr>
          <w:p w14:paraId="368BA38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4,31%</w:t>
            </w:r>
          </w:p>
        </w:tc>
      </w:tr>
      <w:tr w:rsidR="00694BAE" w14:paraId="00663AED" w14:textId="77777777" w:rsidTr="00252D66">
        <w:trPr>
          <w:jc w:val="center"/>
        </w:trPr>
        <w:tc>
          <w:tcPr>
            <w:tcW w:w="2108" w:type="pct"/>
            <w:vAlign w:val="center"/>
          </w:tcPr>
          <w:p w14:paraId="6B665DC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Saída de leito carroçável</w:t>
            </w:r>
          </w:p>
        </w:tc>
        <w:tc>
          <w:tcPr>
            <w:tcW w:w="994" w:type="pct"/>
            <w:vAlign w:val="center"/>
          </w:tcPr>
          <w:p w14:paraId="5127BFE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10.209</w:t>
            </w:r>
          </w:p>
        </w:tc>
        <w:tc>
          <w:tcPr>
            <w:tcW w:w="994" w:type="pct"/>
            <w:vAlign w:val="center"/>
          </w:tcPr>
          <w:p w14:paraId="7CF903D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605</w:t>
            </w:r>
          </w:p>
        </w:tc>
        <w:tc>
          <w:tcPr>
            <w:tcW w:w="904" w:type="pct"/>
            <w:vAlign w:val="center"/>
          </w:tcPr>
          <w:p w14:paraId="7816090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5,93%</w:t>
            </w:r>
          </w:p>
        </w:tc>
      </w:tr>
      <w:tr w:rsidR="00694BAE" w14:paraId="08907E0D" w14:textId="77777777" w:rsidTr="00252D66">
        <w:trPr>
          <w:jc w:val="center"/>
        </w:trPr>
        <w:tc>
          <w:tcPr>
            <w:tcW w:w="2108" w:type="pct"/>
            <w:vAlign w:val="center"/>
          </w:tcPr>
          <w:p w14:paraId="6CEF4BA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Atropelamento de Pedestre</w:t>
            </w:r>
          </w:p>
        </w:tc>
        <w:tc>
          <w:tcPr>
            <w:tcW w:w="994" w:type="pct"/>
            <w:vAlign w:val="center"/>
          </w:tcPr>
          <w:p w14:paraId="3336DA7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3.057</w:t>
            </w:r>
          </w:p>
        </w:tc>
        <w:tc>
          <w:tcPr>
            <w:tcW w:w="994" w:type="pct"/>
            <w:vAlign w:val="center"/>
          </w:tcPr>
          <w:p w14:paraId="5A677B9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902</w:t>
            </w:r>
          </w:p>
        </w:tc>
        <w:tc>
          <w:tcPr>
            <w:tcW w:w="904" w:type="pct"/>
            <w:vAlign w:val="center"/>
          </w:tcPr>
          <w:p w14:paraId="4EFE305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29,51%</w:t>
            </w:r>
          </w:p>
        </w:tc>
      </w:tr>
      <w:tr w:rsidR="00694BAE" w14:paraId="3D019813" w14:textId="77777777" w:rsidTr="00252D66">
        <w:trPr>
          <w:jc w:val="center"/>
        </w:trPr>
        <w:tc>
          <w:tcPr>
            <w:tcW w:w="2108" w:type="pct"/>
            <w:vAlign w:val="center"/>
          </w:tcPr>
          <w:p w14:paraId="2A407E6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Colisão frontal</w:t>
            </w:r>
          </w:p>
        </w:tc>
        <w:tc>
          <w:tcPr>
            <w:tcW w:w="994" w:type="pct"/>
            <w:vAlign w:val="center"/>
          </w:tcPr>
          <w:p w14:paraId="073E32C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4.739</w:t>
            </w:r>
          </w:p>
        </w:tc>
        <w:tc>
          <w:tcPr>
            <w:tcW w:w="994" w:type="pct"/>
            <w:vAlign w:val="center"/>
          </w:tcPr>
          <w:p w14:paraId="782EAB5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1.396</w:t>
            </w:r>
          </w:p>
        </w:tc>
        <w:tc>
          <w:tcPr>
            <w:tcW w:w="904" w:type="pct"/>
            <w:vAlign w:val="center"/>
          </w:tcPr>
          <w:p w14:paraId="317051D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29,46%</w:t>
            </w:r>
          </w:p>
        </w:tc>
      </w:tr>
      <w:tr w:rsidR="00694BAE" w14:paraId="0B03983A" w14:textId="77777777" w:rsidTr="00252D66">
        <w:trPr>
          <w:jc w:val="center"/>
        </w:trPr>
        <w:tc>
          <w:tcPr>
            <w:tcW w:w="2108" w:type="pct"/>
            <w:vAlign w:val="center"/>
          </w:tcPr>
          <w:p w14:paraId="0133F65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Capotamento</w:t>
            </w:r>
          </w:p>
        </w:tc>
        <w:tc>
          <w:tcPr>
            <w:tcW w:w="994" w:type="pct"/>
            <w:vAlign w:val="center"/>
          </w:tcPr>
          <w:p w14:paraId="417ED8A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1.373</w:t>
            </w:r>
          </w:p>
        </w:tc>
        <w:tc>
          <w:tcPr>
            <w:tcW w:w="994" w:type="pct"/>
            <w:vAlign w:val="center"/>
          </w:tcPr>
          <w:p w14:paraId="3A4A3F1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63</w:t>
            </w:r>
          </w:p>
        </w:tc>
        <w:tc>
          <w:tcPr>
            <w:tcW w:w="904" w:type="pct"/>
            <w:vAlign w:val="center"/>
          </w:tcPr>
          <w:p w14:paraId="4D63DC3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4,59%</w:t>
            </w:r>
          </w:p>
        </w:tc>
      </w:tr>
    </w:tbl>
    <w:p w14:paraId="23F39AAD" w14:textId="77777777" w:rsidR="00694BAE" w:rsidRDefault="00694BAE" w:rsidP="008E5194">
      <w:pPr>
        <w:spacing w:after="20"/>
      </w:pPr>
    </w:p>
    <w:p w14:paraId="53819BC3" w14:textId="77777777" w:rsidR="00694BAE" w:rsidRPr="00252D66" w:rsidRDefault="006D28B0" w:rsidP="008E5194">
      <w:pPr>
        <w:jc w:val="center"/>
      </w:pPr>
      <w:r>
        <w:rPr>
          <w:noProof/>
        </w:rPr>
        <w:drawing>
          <wp:inline distT="0" distB="0" distL="0" distR="0" wp14:anchorId="1A2B3C4D" wp14:editId="1A2B3C4E">
            <wp:extent cx="5897880" cy="34076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mposi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3C50" w14:textId="1A2B3C51" w:rsidR="00694BAE" w:rsidRDefault="006D28B0" w:rsidP="008E5194">
      <w:pPr>
        <w:jc w:val="center"/>
        <w:rPr>
          <w:i/>
          <w:lang w:val="pt-BR"/>
        </w:rPr>
      </w:pPr>
      <w:r>
        <w:rPr>
          <w:i/>
          <w:lang w:val="pt-BR"/>
        </w:rPr>
        <w:t>Gráfico 5 — Composição por desfecho (fatal x não fatal) nos tipos de acidente mais frequentes.</w:t>
      </w:r>
    </w:p>
    <w:p w14:paraId="212CD544" w14:textId="28E7BC24" w:rsidR="00E84FCD" w:rsidRDefault="00E84FCD" w:rsidP="008E5194">
      <w:pPr>
        <w:rPr>
          <w:lang w:val="pt-BR"/>
        </w:rPr>
      </w:pPr>
    </w:p>
    <w:p w14:paraId="5D29732A" w14:textId="450A242C" w:rsidR="00E84FCD" w:rsidRDefault="00E84FCD">
      <w:pPr>
        <w:rPr>
          <w:lang w:val="pt-BR"/>
        </w:rPr>
      </w:pPr>
    </w:p>
    <w:p w14:paraId="6E0629F3" w14:textId="77777777" w:rsidR="00694BAE" w:rsidRDefault="006D28B0" w:rsidP="008E5194">
      <w:pPr>
        <w:pStyle w:val="Ttulo2"/>
      </w:pPr>
      <w:r>
        <w:lastRenderedPageBreak/>
        <w:t>5.2 Causa do acidente</w:t>
      </w:r>
    </w:p>
    <w:p w14:paraId="7D844E0D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17E0A052" wp14:editId="1F7334CB">
            <wp:extent cx="5897880" cy="3245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us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55D0" w14:textId="0AD908EB" w:rsidR="00694BAE" w:rsidRDefault="006D28B0" w:rsidP="008E5194">
      <w:pPr>
        <w:jc w:val="center"/>
        <w:rPr>
          <w:i/>
          <w:lang w:val="pt-BR"/>
        </w:rPr>
      </w:pPr>
      <w:r>
        <w:rPr>
          <w:i/>
          <w:lang w:val="pt-BR"/>
        </w:rPr>
        <w:t>Gráfico 6 — Causas selecionadas por percentual de acidentes fatais, com referência da taxa global.</w:t>
      </w:r>
    </w:p>
    <w:p w14:paraId="001DEC90" w14:textId="1A340B0B" w:rsidR="00DD10E3" w:rsidRPr="00DD10E3" w:rsidRDefault="00DD10E3" w:rsidP="00DD10E3">
      <w:pPr>
        <w:rPr>
          <w:i/>
          <w:lang w:val="pt-BR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5323"/>
        <w:gridCol w:w="1773"/>
        <w:gridCol w:w="1773"/>
        <w:gridCol w:w="1773"/>
      </w:tblGrid>
      <w:tr w:rsidR="00694BAE" w14:paraId="21504FB2" w14:textId="77777777" w:rsidTr="00252D66">
        <w:trPr>
          <w:jc w:val="center"/>
        </w:trPr>
        <w:tc>
          <w:tcPr>
            <w:tcW w:w="2500" w:type="pct"/>
            <w:shd w:val="clear" w:color="auto" w:fill="F2F2F2"/>
            <w:vAlign w:val="center"/>
          </w:tcPr>
          <w:p w14:paraId="15EFE79A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Causa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2F94CD06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Registros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7A8A1CF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Eventos-alvo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1F8736DC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alvo</w:t>
            </w:r>
          </w:p>
        </w:tc>
      </w:tr>
      <w:tr w:rsidR="00694BAE" w14:paraId="3578C494" w14:textId="77777777" w:rsidTr="00252D66">
        <w:trPr>
          <w:jc w:val="center"/>
        </w:trPr>
        <w:tc>
          <w:tcPr>
            <w:tcW w:w="2500" w:type="pct"/>
            <w:vAlign w:val="center"/>
          </w:tcPr>
          <w:p w14:paraId="210E14D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Pedestre andava na pista</w:t>
            </w:r>
          </w:p>
        </w:tc>
        <w:tc>
          <w:tcPr>
            <w:tcW w:w="833" w:type="pct"/>
            <w:vAlign w:val="center"/>
          </w:tcPr>
          <w:p w14:paraId="34433AC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33" w:type="pct"/>
            <w:vAlign w:val="center"/>
          </w:tcPr>
          <w:p w14:paraId="1232ABA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33" w:type="pct"/>
            <w:vAlign w:val="center"/>
          </w:tcPr>
          <w:p w14:paraId="3CEEEFF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41,25%</w:t>
            </w:r>
          </w:p>
        </w:tc>
      </w:tr>
      <w:tr w:rsidR="00694BAE" w14:paraId="17A66C57" w14:textId="77777777" w:rsidTr="00252D66">
        <w:trPr>
          <w:jc w:val="center"/>
        </w:trPr>
        <w:tc>
          <w:tcPr>
            <w:tcW w:w="2500" w:type="pct"/>
            <w:vAlign w:val="center"/>
          </w:tcPr>
          <w:p w14:paraId="751A202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Entrada inopinada do pedestre</w:t>
            </w:r>
          </w:p>
        </w:tc>
        <w:tc>
          <w:tcPr>
            <w:tcW w:w="833" w:type="pct"/>
            <w:vAlign w:val="center"/>
          </w:tcPr>
          <w:p w14:paraId="06516A5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667</w:t>
            </w:r>
          </w:p>
        </w:tc>
        <w:tc>
          <w:tcPr>
            <w:tcW w:w="833" w:type="pct"/>
            <w:vAlign w:val="center"/>
          </w:tcPr>
          <w:p w14:paraId="7C68649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203</w:t>
            </w:r>
          </w:p>
        </w:tc>
        <w:tc>
          <w:tcPr>
            <w:tcW w:w="833" w:type="pct"/>
            <w:vAlign w:val="center"/>
          </w:tcPr>
          <w:p w14:paraId="4BE7D36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30,43%</w:t>
            </w:r>
          </w:p>
        </w:tc>
      </w:tr>
      <w:tr w:rsidR="00694BAE" w14:paraId="02C8A72D" w14:textId="77777777" w:rsidTr="00252D66">
        <w:trPr>
          <w:jc w:val="center"/>
        </w:trPr>
        <w:tc>
          <w:tcPr>
            <w:tcW w:w="2500" w:type="pct"/>
            <w:vAlign w:val="center"/>
          </w:tcPr>
          <w:p w14:paraId="66970F7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Transitar na contramão</w:t>
            </w:r>
          </w:p>
        </w:tc>
        <w:tc>
          <w:tcPr>
            <w:tcW w:w="833" w:type="pct"/>
            <w:vAlign w:val="center"/>
          </w:tcPr>
          <w:p w14:paraId="4C39E5A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33" w:type="pct"/>
            <w:vAlign w:val="center"/>
          </w:tcPr>
          <w:p w14:paraId="642B4CA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833" w:type="pct"/>
            <w:vAlign w:val="center"/>
          </w:tcPr>
          <w:p w14:paraId="6C292DA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29,74%</w:t>
            </w:r>
          </w:p>
        </w:tc>
      </w:tr>
      <w:tr w:rsidR="00694BAE" w14:paraId="47CBE940" w14:textId="77777777" w:rsidTr="00252D66">
        <w:trPr>
          <w:jc w:val="center"/>
        </w:trPr>
        <w:tc>
          <w:tcPr>
            <w:tcW w:w="2500" w:type="pct"/>
            <w:vAlign w:val="center"/>
          </w:tcPr>
          <w:p w14:paraId="66C21E9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Ultrapassagem Indevida</w:t>
            </w:r>
          </w:p>
        </w:tc>
        <w:tc>
          <w:tcPr>
            <w:tcW w:w="833" w:type="pct"/>
            <w:vAlign w:val="center"/>
          </w:tcPr>
          <w:p w14:paraId="401D993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1.770</w:t>
            </w:r>
          </w:p>
        </w:tc>
        <w:tc>
          <w:tcPr>
            <w:tcW w:w="833" w:type="pct"/>
            <w:vAlign w:val="center"/>
          </w:tcPr>
          <w:p w14:paraId="4A8BF9E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302</w:t>
            </w:r>
          </w:p>
        </w:tc>
        <w:tc>
          <w:tcPr>
            <w:tcW w:w="833" w:type="pct"/>
            <w:vAlign w:val="center"/>
          </w:tcPr>
          <w:p w14:paraId="76FFA0E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17,06%</w:t>
            </w:r>
          </w:p>
        </w:tc>
      </w:tr>
      <w:tr w:rsidR="00694BAE" w14:paraId="3C8ABD07" w14:textId="77777777" w:rsidTr="00252D66">
        <w:trPr>
          <w:jc w:val="center"/>
        </w:trPr>
        <w:tc>
          <w:tcPr>
            <w:tcW w:w="2500" w:type="pct"/>
            <w:vAlign w:val="center"/>
          </w:tcPr>
          <w:p w14:paraId="74C00C7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Velocidade Incompatível</w:t>
            </w:r>
          </w:p>
        </w:tc>
        <w:tc>
          <w:tcPr>
            <w:tcW w:w="833" w:type="pct"/>
            <w:vAlign w:val="center"/>
          </w:tcPr>
          <w:p w14:paraId="06AC529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4.088</w:t>
            </w:r>
          </w:p>
        </w:tc>
        <w:tc>
          <w:tcPr>
            <w:tcW w:w="833" w:type="pct"/>
            <w:vAlign w:val="center"/>
          </w:tcPr>
          <w:p w14:paraId="1BE8EE1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385</w:t>
            </w:r>
          </w:p>
        </w:tc>
        <w:tc>
          <w:tcPr>
            <w:tcW w:w="833" w:type="pct"/>
            <w:vAlign w:val="center"/>
          </w:tcPr>
          <w:p w14:paraId="520247D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9,42%</w:t>
            </w:r>
          </w:p>
        </w:tc>
      </w:tr>
      <w:tr w:rsidR="00694BAE" w14:paraId="0882A2B8" w14:textId="77777777" w:rsidTr="00252D66">
        <w:trPr>
          <w:jc w:val="center"/>
        </w:trPr>
        <w:tc>
          <w:tcPr>
            <w:tcW w:w="2500" w:type="pct"/>
            <w:vAlign w:val="center"/>
          </w:tcPr>
          <w:p w14:paraId="318278AE" w14:textId="77777777" w:rsidR="00694BAE" w:rsidRPr="00252D66" w:rsidRDefault="006D28B0" w:rsidP="008E5194">
            <w:pPr>
              <w:spacing w:line="276" w:lineRule="auto"/>
              <w:rPr>
                <w:lang w:val="pt-BR"/>
              </w:rPr>
            </w:pPr>
            <w:r>
              <w:rPr>
                <w:sz w:val="17"/>
                <w:lang w:val="pt-BR"/>
              </w:rPr>
              <w:t>Reação tardia ou ineficiente do condutor</w:t>
            </w:r>
          </w:p>
        </w:tc>
        <w:tc>
          <w:tcPr>
            <w:tcW w:w="833" w:type="pct"/>
            <w:vAlign w:val="center"/>
          </w:tcPr>
          <w:p w14:paraId="755C7B7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10.799</w:t>
            </w:r>
          </w:p>
        </w:tc>
        <w:tc>
          <w:tcPr>
            <w:tcW w:w="833" w:type="pct"/>
            <w:vAlign w:val="center"/>
          </w:tcPr>
          <w:p w14:paraId="77F925F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528</w:t>
            </w:r>
          </w:p>
        </w:tc>
        <w:tc>
          <w:tcPr>
            <w:tcW w:w="833" w:type="pct"/>
            <w:vAlign w:val="center"/>
          </w:tcPr>
          <w:p w14:paraId="2C31AB3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4,89%</w:t>
            </w:r>
          </w:p>
        </w:tc>
      </w:tr>
    </w:tbl>
    <w:p w14:paraId="16A92DBC" w14:textId="77777777" w:rsidR="00694BAE" w:rsidRDefault="00694BAE" w:rsidP="008E5194">
      <w:pPr>
        <w:spacing w:after="20"/>
      </w:pPr>
    </w:p>
    <w:p w14:paraId="734C444F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Leitura: </w:t>
      </w:r>
      <w:r>
        <w:rPr>
          <w:lang w:val="pt-BR"/>
        </w:rPr>
        <w:t xml:space="preserve">Causas relacionadas à presença de pedestre e circulação em sentido contrário aparecem com taxas muito elevadas. Entretanto, o relatório deve privilegiar categorias com volume suficiente. A reação tardia do condutor é muito frequente, mas sua proporção fatal é inferior à média global; ultrapassagem indevida e velocidade incompatível mostram proporções mais altas, com volume relevante. </w:t>
      </w:r>
      <w:r>
        <w:rPr>
          <w:i/>
          <w:lang w:val="pt-BR"/>
        </w:rPr>
        <w:t>Nota: "pedestre andava na pista" e "transitar na contramão" aparecem apenas com % alvo nesta tabela, sem o número de registros; por isso, seguindo o princípio deste relatório, esses percentuais não devem ser tratados como achados robustos até que o volume seja confirmado.</w:t>
      </w:r>
    </w:p>
    <w:p w14:paraId="74E7E12B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lastRenderedPageBreak/>
        <w:t>5.3 Variáveis contextuais — condição meteorológica e fase do dia</w:t>
      </w:r>
    </w:p>
    <w:p w14:paraId="7EB62BE6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21BD22C5" wp14:editId="6FEB9CEE">
            <wp:extent cx="5897880" cy="29681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e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0B5F" w14:textId="77777777" w:rsidR="00694BAE" w:rsidRPr="00252D66" w:rsidRDefault="006D28B0" w:rsidP="008E5194">
      <w:pPr>
        <w:jc w:val="center"/>
        <w:rPr>
          <w:lang w:val="pt-BR"/>
        </w:rPr>
      </w:pPr>
      <w:r>
        <w:rPr>
          <w:i/>
          <w:lang w:val="pt-BR"/>
        </w:rPr>
        <w:t>Gráfico 7 — Matriz de percentual de acidentes fatais por fase do dia e condição meteorológica.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315"/>
        <w:gridCol w:w="3327"/>
      </w:tblGrid>
      <w:tr w:rsidR="00694BAE" w14:paraId="578D0875" w14:textId="77777777" w:rsidTr="00252D66">
        <w:trPr>
          <w:jc w:val="center"/>
        </w:trPr>
        <w:tc>
          <w:tcPr>
            <w:tcW w:w="3437" w:type="pct"/>
            <w:shd w:val="clear" w:color="auto" w:fill="F2F2F2"/>
            <w:vAlign w:val="center"/>
          </w:tcPr>
          <w:p w14:paraId="1523F5E2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Fase / condição</w:t>
            </w:r>
          </w:p>
        </w:tc>
        <w:tc>
          <w:tcPr>
            <w:tcW w:w="1563" w:type="pct"/>
            <w:shd w:val="clear" w:color="auto" w:fill="F2F2F2"/>
            <w:vAlign w:val="center"/>
          </w:tcPr>
          <w:p w14:paraId="1F9CA5B0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fatal</w:t>
            </w:r>
          </w:p>
        </w:tc>
      </w:tr>
      <w:tr w:rsidR="00694BAE" w14:paraId="04D80CA0" w14:textId="77777777" w:rsidTr="00252D66">
        <w:trPr>
          <w:jc w:val="center"/>
        </w:trPr>
        <w:tc>
          <w:tcPr>
            <w:tcW w:w="3437" w:type="pct"/>
            <w:vAlign w:val="center"/>
          </w:tcPr>
          <w:p w14:paraId="588A613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 — Sol</w:t>
            </w:r>
          </w:p>
        </w:tc>
        <w:tc>
          <w:tcPr>
            <w:tcW w:w="1563" w:type="pct"/>
            <w:vAlign w:val="center"/>
          </w:tcPr>
          <w:p w14:paraId="4FBF9C3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14,08%</w:t>
            </w:r>
          </w:p>
        </w:tc>
      </w:tr>
      <w:tr w:rsidR="00694BAE" w14:paraId="05A11EF1" w14:textId="77777777" w:rsidTr="00252D66">
        <w:trPr>
          <w:jc w:val="center"/>
        </w:trPr>
        <w:tc>
          <w:tcPr>
            <w:tcW w:w="3437" w:type="pct"/>
            <w:vAlign w:val="center"/>
          </w:tcPr>
          <w:p w14:paraId="6F68FD2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 — Céu Claro</w:t>
            </w:r>
          </w:p>
        </w:tc>
        <w:tc>
          <w:tcPr>
            <w:tcW w:w="1563" w:type="pct"/>
            <w:vAlign w:val="center"/>
          </w:tcPr>
          <w:p w14:paraId="29C5001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11,99%</w:t>
            </w:r>
          </w:p>
        </w:tc>
      </w:tr>
      <w:tr w:rsidR="00694BAE" w14:paraId="53038E1B" w14:textId="77777777" w:rsidTr="00252D66">
        <w:trPr>
          <w:jc w:val="center"/>
        </w:trPr>
        <w:tc>
          <w:tcPr>
            <w:tcW w:w="3437" w:type="pct"/>
            <w:vAlign w:val="center"/>
          </w:tcPr>
          <w:p w14:paraId="112CB9F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 — Chuva</w:t>
            </w:r>
          </w:p>
        </w:tc>
        <w:tc>
          <w:tcPr>
            <w:tcW w:w="1563" w:type="pct"/>
            <w:vAlign w:val="center"/>
          </w:tcPr>
          <w:p w14:paraId="7BE6742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9,09%</w:t>
            </w:r>
          </w:p>
        </w:tc>
      </w:tr>
      <w:tr w:rsidR="00694BAE" w14:paraId="4F80BBD6" w14:textId="77777777" w:rsidTr="00252D66">
        <w:trPr>
          <w:jc w:val="center"/>
        </w:trPr>
        <w:tc>
          <w:tcPr>
            <w:tcW w:w="3437" w:type="pct"/>
            <w:vAlign w:val="center"/>
          </w:tcPr>
          <w:p w14:paraId="4A6F7EA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 — Nevoeiro/Neblina</w:t>
            </w:r>
          </w:p>
        </w:tc>
        <w:tc>
          <w:tcPr>
            <w:tcW w:w="1563" w:type="pct"/>
            <w:vAlign w:val="center"/>
          </w:tcPr>
          <w:p w14:paraId="325A5BC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15,10%</w:t>
            </w:r>
          </w:p>
        </w:tc>
      </w:tr>
      <w:tr w:rsidR="00694BAE" w14:paraId="262DC9F2" w14:textId="77777777" w:rsidTr="00252D66">
        <w:trPr>
          <w:jc w:val="center"/>
        </w:trPr>
        <w:tc>
          <w:tcPr>
            <w:tcW w:w="3437" w:type="pct"/>
            <w:vAlign w:val="center"/>
          </w:tcPr>
          <w:p w14:paraId="18B2DDF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 — Céu Claro</w:t>
            </w:r>
          </w:p>
        </w:tc>
        <w:tc>
          <w:tcPr>
            <w:tcW w:w="1563" w:type="pct"/>
            <w:vAlign w:val="center"/>
          </w:tcPr>
          <w:p w14:paraId="20F9B1F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10,49%</w:t>
            </w:r>
          </w:p>
        </w:tc>
      </w:tr>
      <w:tr w:rsidR="00694BAE" w14:paraId="33B57FBD" w14:textId="77777777" w:rsidTr="00252D66">
        <w:trPr>
          <w:jc w:val="center"/>
        </w:trPr>
        <w:tc>
          <w:tcPr>
            <w:tcW w:w="3437" w:type="pct"/>
            <w:vAlign w:val="center"/>
          </w:tcPr>
          <w:p w14:paraId="45A901A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 — Nublado</w:t>
            </w:r>
          </w:p>
        </w:tc>
        <w:tc>
          <w:tcPr>
            <w:tcW w:w="1563" w:type="pct"/>
            <w:vAlign w:val="center"/>
          </w:tcPr>
          <w:p w14:paraId="7FB090F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10,34%</w:t>
            </w:r>
          </w:p>
        </w:tc>
      </w:tr>
      <w:tr w:rsidR="00694BAE" w14:paraId="1E5BC2ED" w14:textId="77777777" w:rsidTr="00252D66">
        <w:trPr>
          <w:jc w:val="center"/>
        </w:trPr>
        <w:tc>
          <w:tcPr>
            <w:tcW w:w="3437" w:type="pct"/>
            <w:vAlign w:val="center"/>
          </w:tcPr>
          <w:p w14:paraId="54F237D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Pleno dia — Chuva</w:t>
            </w:r>
          </w:p>
        </w:tc>
        <w:tc>
          <w:tcPr>
            <w:tcW w:w="1563" w:type="pct"/>
            <w:vAlign w:val="center"/>
          </w:tcPr>
          <w:p w14:paraId="6B545C09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4,92%</w:t>
            </w:r>
          </w:p>
        </w:tc>
      </w:tr>
      <w:tr w:rsidR="00694BAE" w14:paraId="0D1D61F7" w14:textId="77777777" w:rsidTr="00252D66">
        <w:trPr>
          <w:jc w:val="center"/>
        </w:trPr>
        <w:tc>
          <w:tcPr>
            <w:tcW w:w="3437" w:type="pct"/>
            <w:vAlign w:val="center"/>
          </w:tcPr>
          <w:p w14:paraId="4151C91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Pleno dia — Céu Claro</w:t>
            </w:r>
          </w:p>
        </w:tc>
        <w:tc>
          <w:tcPr>
            <w:tcW w:w="1563" w:type="pct"/>
            <w:vAlign w:val="center"/>
          </w:tcPr>
          <w:p w14:paraId="799CBD7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5,15%</w:t>
            </w:r>
          </w:p>
        </w:tc>
      </w:tr>
    </w:tbl>
    <w:p w14:paraId="3B43EB37" w14:textId="77777777" w:rsidR="00694BAE" w:rsidRDefault="00694BAE" w:rsidP="008E5194">
      <w:pPr>
        <w:spacing w:after="20"/>
      </w:pPr>
    </w:p>
    <w:p w14:paraId="37A37672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Padrão robusto: </w:t>
      </w:r>
      <w:r>
        <w:rPr>
          <w:lang w:val="pt-BR"/>
        </w:rPr>
        <w:t>A base não sustenta uma conclusão genérica de que chuva, isoladamente, aumente a fatalidade. O efeito observado depende da fase do dia e do volume. Em pleno dia, chuva fica em 4,92%; no amanhecer, chega a 9,09%. Nevoeiro/neblina pode apresentar taxas altas, mas algumas combinações têm volume baixo e devem ser tratadas com cautela.</w:t>
      </w:r>
    </w:p>
    <w:p w14:paraId="23B2994D" w14:textId="77777777" w:rsidR="00694BAE" w:rsidRPr="00252D66" w:rsidRDefault="006D28B0" w:rsidP="008E5194">
      <w:pPr>
        <w:rPr>
          <w:lang w:val="pt-BR"/>
        </w:rPr>
      </w:pPr>
      <w:r>
        <w:rPr>
          <w:lang w:val="pt-BR"/>
        </w:rPr>
        <w:br w:type="page"/>
      </w:r>
    </w:p>
    <w:p w14:paraId="15AFDEE4" w14:textId="77777777" w:rsidR="00694BAE" w:rsidRDefault="006D28B0" w:rsidP="008E5194">
      <w:pPr>
        <w:pStyle w:val="Ttulo2"/>
      </w:pPr>
      <w:r>
        <w:lastRenderedPageBreak/>
        <w:t>5.4 Variáveis estruturais — rodovia e localização</w:t>
      </w:r>
    </w:p>
    <w:p w14:paraId="170681FC" w14:textId="77777777" w:rsidR="00694BAE" w:rsidRDefault="006D28B0" w:rsidP="008E5194">
      <w:pPr>
        <w:jc w:val="center"/>
      </w:pPr>
      <w:r>
        <w:rPr>
          <w:noProof/>
        </w:rPr>
        <w:drawing>
          <wp:inline distT="0" distB="0" distL="0" distR="0" wp14:anchorId="3CF04D99" wp14:editId="69DDB93A">
            <wp:extent cx="5897880" cy="32563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5A04" w14:textId="77777777" w:rsidR="00694BAE" w:rsidRPr="00252D66" w:rsidRDefault="006D28B0" w:rsidP="008E5194">
      <w:pPr>
        <w:jc w:val="center"/>
        <w:rPr>
          <w:lang w:val="pt-BR"/>
        </w:rPr>
      </w:pPr>
      <w:r>
        <w:rPr>
          <w:i/>
          <w:lang w:val="pt-BR"/>
        </w:rPr>
        <w:t>Gráfico 8 — Top 5 rodovias federais por número de mortos.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838"/>
        <w:gridCol w:w="2129"/>
        <w:gridCol w:w="2129"/>
        <w:gridCol w:w="1773"/>
        <w:gridCol w:w="1773"/>
      </w:tblGrid>
      <w:tr w:rsidR="00694BAE" w14:paraId="5BA8D7ED" w14:textId="77777777" w:rsidTr="00252D66">
        <w:trPr>
          <w:jc w:val="center"/>
        </w:trPr>
        <w:tc>
          <w:tcPr>
            <w:tcW w:w="1333" w:type="pct"/>
            <w:shd w:val="clear" w:color="auto" w:fill="F2F2F2"/>
            <w:vAlign w:val="center"/>
          </w:tcPr>
          <w:p w14:paraId="1B4B3182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Rodovia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2EB70AFD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3F2D5FA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Acidentes fatais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4ABC72E6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Mortos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3A90AF7B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fatal</w:t>
            </w:r>
          </w:p>
        </w:tc>
      </w:tr>
      <w:tr w:rsidR="00694BAE" w14:paraId="15B3A133" w14:textId="77777777" w:rsidTr="00252D66">
        <w:trPr>
          <w:jc w:val="center"/>
        </w:trPr>
        <w:tc>
          <w:tcPr>
            <w:tcW w:w="1333" w:type="pct"/>
            <w:vAlign w:val="center"/>
          </w:tcPr>
          <w:p w14:paraId="77707B8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BR-101</w:t>
            </w:r>
          </w:p>
        </w:tc>
        <w:tc>
          <w:tcPr>
            <w:tcW w:w="1000" w:type="pct"/>
            <w:vAlign w:val="center"/>
          </w:tcPr>
          <w:p w14:paraId="3140FC5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13.014</w:t>
            </w:r>
          </w:p>
        </w:tc>
        <w:tc>
          <w:tcPr>
            <w:tcW w:w="1000" w:type="pct"/>
            <w:vAlign w:val="center"/>
          </w:tcPr>
          <w:p w14:paraId="251D2B9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682</w:t>
            </w:r>
          </w:p>
        </w:tc>
        <w:tc>
          <w:tcPr>
            <w:tcW w:w="833" w:type="pct"/>
            <w:vAlign w:val="center"/>
          </w:tcPr>
          <w:p w14:paraId="6B1CEF4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760</w:t>
            </w:r>
          </w:p>
        </w:tc>
        <w:tc>
          <w:tcPr>
            <w:tcW w:w="833" w:type="pct"/>
            <w:vAlign w:val="center"/>
          </w:tcPr>
          <w:p w14:paraId="5013767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5,24%</w:t>
            </w:r>
          </w:p>
        </w:tc>
      </w:tr>
      <w:tr w:rsidR="00694BAE" w14:paraId="1C4288C6" w14:textId="77777777" w:rsidTr="00252D66">
        <w:trPr>
          <w:jc w:val="center"/>
        </w:trPr>
        <w:tc>
          <w:tcPr>
            <w:tcW w:w="1333" w:type="pct"/>
            <w:vAlign w:val="center"/>
          </w:tcPr>
          <w:p w14:paraId="273BD455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BR-116</w:t>
            </w:r>
          </w:p>
        </w:tc>
        <w:tc>
          <w:tcPr>
            <w:tcW w:w="1000" w:type="pct"/>
            <w:vAlign w:val="center"/>
          </w:tcPr>
          <w:p w14:paraId="3D4D7A3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11.021</w:t>
            </w:r>
          </w:p>
        </w:tc>
        <w:tc>
          <w:tcPr>
            <w:tcW w:w="1000" w:type="pct"/>
            <w:vAlign w:val="center"/>
          </w:tcPr>
          <w:p w14:paraId="6055CEA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638</w:t>
            </w:r>
          </w:p>
        </w:tc>
        <w:tc>
          <w:tcPr>
            <w:tcW w:w="833" w:type="pct"/>
            <w:vAlign w:val="center"/>
          </w:tcPr>
          <w:p w14:paraId="56E55AC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708</w:t>
            </w:r>
          </w:p>
        </w:tc>
        <w:tc>
          <w:tcPr>
            <w:tcW w:w="833" w:type="pct"/>
            <w:vAlign w:val="center"/>
          </w:tcPr>
          <w:p w14:paraId="37D9093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5,79%</w:t>
            </w:r>
          </w:p>
        </w:tc>
      </w:tr>
      <w:tr w:rsidR="00694BAE" w14:paraId="1B8783A4" w14:textId="77777777" w:rsidTr="00252D66">
        <w:trPr>
          <w:jc w:val="center"/>
        </w:trPr>
        <w:tc>
          <w:tcPr>
            <w:tcW w:w="1333" w:type="pct"/>
            <w:vAlign w:val="center"/>
          </w:tcPr>
          <w:p w14:paraId="3F85E3F4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BR-40</w:t>
            </w:r>
          </w:p>
        </w:tc>
        <w:tc>
          <w:tcPr>
            <w:tcW w:w="1000" w:type="pct"/>
            <w:vAlign w:val="center"/>
          </w:tcPr>
          <w:p w14:paraId="0E86E12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3.502</w:t>
            </w:r>
          </w:p>
        </w:tc>
        <w:tc>
          <w:tcPr>
            <w:tcW w:w="1000" w:type="pct"/>
            <w:vAlign w:val="center"/>
          </w:tcPr>
          <w:p w14:paraId="67797DD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833" w:type="pct"/>
            <w:vAlign w:val="center"/>
          </w:tcPr>
          <w:p w14:paraId="3ADEBDE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214</w:t>
            </w:r>
          </w:p>
        </w:tc>
        <w:tc>
          <w:tcPr>
            <w:tcW w:w="833" w:type="pct"/>
            <w:vAlign w:val="center"/>
          </w:tcPr>
          <w:p w14:paraId="0E277A3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5,14%</w:t>
            </w:r>
          </w:p>
        </w:tc>
      </w:tr>
      <w:tr w:rsidR="00694BAE" w14:paraId="0B3B0323" w14:textId="77777777" w:rsidTr="00252D66">
        <w:trPr>
          <w:jc w:val="center"/>
        </w:trPr>
        <w:tc>
          <w:tcPr>
            <w:tcW w:w="1333" w:type="pct"/>
            <w:vAlign w:val="center"/>
          </w:tcPr>
          <w:p w14:paraId="38D1FC40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BR-153</w:t>
            </w:r>
          </w:p>
        </w:tc>
        <w:tc>
          <w:tcPr>
            <w:tcW w:w="1000" w:type="pct"/>
            <w:vAlign w:val="center"/>
          </w:tcPr>
          <w:p w14:paraId="6AC6FCA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2.789</w:t>
            </w:r>
          </w:p>
        </w:tc>
        <w:tc>
          <w:tcPr>
            <w:tcW w:w="1000" w:type="pct"/>
            <w:vAlign w:val="center"/>
          </w:tcPr>
          <w:p w14:paraId="6ED6EDC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226</w:t>
            </w:r>
          </w:p>
        </w:tc>
        <w:tc>
          <w:tcPr>
            <w:tcW w:w="833" w:type="pct"/>
            <w:vAlign w:val="center"/>
          </w:tcPr>
          <w:p w14:paraId="466DC39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282</w:t>
            </w:r>
          </w:p>
        </w:tc>
        <w:tc>
          <w:tcPr>
            <w:tcW w:w="833" w:type="pct"/>
            <w:vAlign w:val="center"/>
          </w:tcPr>
          <w:p w14:paraId="7BF543E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8,10%</w:t>
            </w:r>
          </w:p>
        </w:tc>
      </w:tr>
      <w:tr w:rsidR="00694BAE" w14:paraId="3866AB73" w14:textId="77777777" w:rsidTr="00252D66">
        <w:trPr>
          <w:jc w:val="center"/>
        </w:trPr>
        <w:tc>
          <w:tcPr>
            <w:tcW w:w="1333" w:type="pct"/>
            <w:vAlign w:val="center"/>
          </w:tcPr>
          <w:p w14:paraId="71F3FFE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BR-163</w:t>
            </w:r>
          </w:p>
        </w:tc>
        <w:tc>
          <w:tcPr>
            <w:tcW w:w="1000" w:type="pct"/>
            <w:vAlign w:val="center"/>
          </w:tcPr>
          <w:p w14:paraId="38ACFE8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2.519</w:t>
            </w:r>
          </w:p>
        </w:tc>
        <w:tc>
          <w:tcPr>
            <w:tcW w:w="1000" w:type="pct"/>
            <w:vAlign w:val="center"/>
          </w:tcPr>
          <w:p w14:paraId="5FACA70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173</w:t>
            </w:r>
          </w:p>
        </w:tc>
        <w:tc>
          <w:tcPr>
            <w:tcW w:w="833" w:type="pct"/>
            <w:vAlign w:val="center"/>
          </w:tcPr>
          <w:p w14:paraId="7D91982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210</w:t>
            </w:r>
          </w:p>
        </w:tc>
        <w:tc>
          <w:tcPr>
            <w:tcW w:w="833" w:type="pct"/>
            <w:vAlign w:val="center"/>
          </w:tcPr>
          <w:p w14:paraId="558708B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6,87%</w:t>
            </w:r>
          </w:p>
        </w:tc>
      </w:tr>
    </w:tbl>
    <w:p w14:paraId="55CC397C" w14:textId="77777777" w:rsidR="00694BAE" w:rsidRDefault="00694BAE" w:rsidP="008E5194">
      <w:pPr>
        <w:spacing w:after="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98"/>
      </w:tblGrid>
      <w:tr w:rsidR="00694BAE" w:rsidRPr="008E5D1A" w14:paraId="4DC565D2" w14:textId="77777777" w:rsidTr="006937D9">
        <w:tc>
          <w:tcPr>
            <w:tcW w:w="10598" w:type="dxa"/>
            <w:shd w:val="clear" w:color="auto" w:fill="FFF2CC"/>
          </w:tcPr>
          <w:p w14:paraId="16C63AAB" w14:textId="77777777" w:rsidR="00694BAE" w:rsidRPr="00252D66" w:rsidRDefault="006D28B0" w:rsidP="008E5194">
            <w:pPr>
              <w:spacing w:line="276" w:lineRule="auto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 xml:space="preserve">Achados mais acionáveis: </w:t>
            </w:r>
            <w:r>
              <w:rPr>
                <w:sz w:val="18"/>
                <w:lang w:val="pt-BR"/>
              </w:rPr>
              <w:t>BR-101 e BR-116 concentram grande volume absoluto de acidentes e mortes, enquanto a BR-153 apresenta proporção fatal superior à taxa global (8,10%). Para priorização operacional, o volume absoluto e a proporção fatal devem ser usados em conjunto, evitando tratar uma única métrica como sinônimo de risco.</w:t>
            </w:r>
          </w:p>
        </w:tc>
      </w:tr>
    </w:tbl>
    <w:p w14:paraId="28E00FDE" w14:textId="77777777" w:rsidR="00694BAE" w:rsidRPr="00252D66" w:rsidRDefault="00694BAE" w:rsidP="008E5194">
      <w:pPr>
        <w:rPr>
          <w:lang w:val="pt-BR"/>
        </w:rPr>
      </w:pPr>
    </w:p>
    <w:p w14:paraId="75DF55B6" w14:textId="103074DB" w:rsidR="00E84FCD" w:rsidRDefault="00E84FCD" w:rsidP="008E5194">
      <w:pPr>
        <w:rPr>
          <w:lang w:val="pt-BR"/>
        </w:rPr>
      </w:pPr>
    </w:p>
    <w:p w14:paraId="2DFFAFDB" w14:textId="77777777" w:rsidR="00E84FCD" w:rsidRDefault="00E84FCD">
      <w:pPr>
        <w:rPr>
          <w:lang w:val="pt-BR"/>
        </w:rPr>
      </w:pPr>
      <w:r>
        <w:rPr>
          <w:lang w:val="pt-BR"/>
        </w:rPr>
        <w:br w:type="page"/>
      </w:r>
    </w:p>
    <w:p w14:paraId="13E8285F" w14:textId="77777777" w:rsidR="00694BAE" w:rsidRPr="00252D66" w:rsidRDefault="006D28B0" w:rsidP="008E5194">
      <w:pPr>
        <w:pStyle w:val="Ttulo1"/>
        <w:rPr>
          <w:lang w:val="pt-BR"/>
        </w:rPr>
      </w:pPr>
      <w:r>
        <w:rPr>
          <w:lang w:val="pt-BR"/>
        </w:rPr>
        <w:lastRenderedPageBreak/>
        <w:t>6. Combinações de fatores e correlação</w:t>
      </w:r>
    </w:p>
    <w:p w14:paraId="4C6184BA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Primeiro cruzamento — fase do dia x condição meteorológica. </w:t>
      </w:r>
      <w:r>
        <w:rPr>
          <w:lang w:val="pt-BR"/>
        </w:rPr>
        <w:t>Entre as combinações com interpretação possível, destacam-se amanhecer com sol (14,08%), amanhecer com céu claro (11,99%), plena noite com nevoeiro/neblina (15,10%) e plena noite com céu claro (10,49%). Percentuais extremos em combinações raras — por exemplo, 25% em anoitecer com nevoeiro/neblina — não devem ser tratados como achados robustos sem volume mínimo.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365"/>
        <w:gridCol w:w="3548"/>
        <w:gridCol w:w="1773"/>
        <w:gridCol w:w="2956"/>
      </w:tblGrid>
      <w:tr w:rsidR="00694BAE" w14:paraId="069A0424" w14:textId="77777777" w:rsidTr="00252D66">
        <w:trPr>
          <w:jc w:val="center"/>
        </w:trPr>
        <w:tc>
          <w:tcPr>
            <w:tcW w:w="1111" w:type="pct"/>
            <w:shd w:val="clear" w:color="auto" w:fill="F2F2F2"/>
            <w:vAlign w:val="center"/>
          </w:tcPr>
          <w:p w14:paraId="542DA098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Variável 1</w:t>
            </w:r>
          </w:p>
        </w:tc>
        <w:tc>
          <w:tcPr>
            <w:tcW w:w="1667" w:type="pct"/>
            <w:shd w:val="clear" w:color="auto" w:fill="F2F2F2"/>
            <w:vAlign w:val="center"/>
          </w:tcPr>
          <w:p w14:paraId="7576DCE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Variável 2</w:t>
            </w:r>
          </w:p>
        </w:tc>
        <w:tc>
          <w:tcPr>
            <w:tcW w:w="833" w:type="pct"/>
            <w:shd w:val="clear" w:color="auto" w:fill="F2F2F2"/>
            <w:vAlign w:val="center"/>
          </w:tcPr>
          <w:p w14:paraId="6C067E02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% alvo</w:t>
            </w:r>
          </w:p>
        </w:tc>
        <w:tc>
          <w:tcPr>
            <w:tcW w:w="1389" w:type="pct"/>
            <w:shd w:val="clear" w:color="auto" w:fill="F2F2F2"/>
            <w:vAlign w:val="center"/>
          </w:tcPr>
          <w:p w14:paraId="501D1421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7"/>
              </w:rPr>
              <w:t>Observação</w:t>
            </w:r>
          </w:p>
        </w:tc>
      </w:tr>
      <w:tr w:rsidR="00694BAE" w14:paraId="15639DDF" w14:textId="77777777" w:rsidTr="00252D66">
        <w:trPr>
          <w:jc w:val="center"/>
        </w:trPr>
        <w:tc>
          <w:tcPr>
            <w:tcW w:w="1111" w:type="pct"/>
            <w:vAlign w:val="center"/>
          </w:tcPr>
          <w:p w14:paraId="5D9D9DD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</w:t>
            </w:r>
          </w:p>
        </w:tc>
        <w:tc>
          <w:tcPr>
            <w:tcW w:w="1667" w:type="pct"/>
            <w:vAlign w:val="center"/>
          </w:tcPr>
          <w:p w14:paraId="02BDF763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Sol</w:t>
            </w:r>
          </w:p>
        </w:tc>
        <w:tc>
          <w:tcPr>
            <w:tcW w:w="833" w:type="pct"/>
            <w:vAlign w:val="center"/>
          </w:tcPr>
          <w:p w14:paraId="4CC84B1C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14,08%</w:t>
            </w:r>
          </w:p>
        </w:tc>
        <w:tc>
          <w:tcPr>
            <w:tcW w:w="1389" w:type="pct"/>
            <w:vAlign w:val="center"/>
          </w:tcPr>
          <w:p w14:paraId="3AF6493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3012041C" w14:textId="77777777" w:rsidTr="00252D66">
        <w:trPr>
          <w:jc w:val="center"/>
        </w:trPr>
        <w:tc>
          <w:tcPr>
            <w:tcW w:w="1111" w:type="pct"/>
            <w:vAlign w:val="center"/>
          </w:tcPr>
          <w:p w14:paraId="29AC342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Amanhecer</w:t>
            </w:r>
          </w:p>
        </w:tc>
        <w:tc>
          <w:tcPr>
            <w:tcW w:w="1667" w:type="pct"/>
            <w:vAlign w:val="center"/>
          </w:tcPr>
          <w:p w14:paraId="4E59823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Céu Claro</w:t>
            </w:r>
          </w:p>
        </w:tc>
        <w:tc>
          <w:tcPr>
            <w:tcW w:w="833" w:type="pct"/>
            <w:vAlign w:val="center"/>
          </w:tcPr>
          <w:p w14:paraId="5AE5BE8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11,99%</w:t>
            </w:r>
          </w:p>
        </w:tc>
        <w:tc>
          <w:tcPr>
            <w:tcW w:w="1389" w:type="pct"/>
            <w:vAlign w:val="center"/>
          </w:tcPr>
          <w:p w14:paraId="3ACB9B4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0FDBB0EE" w14:textId="77777777" w:rsidTr="00252D66">
        <w:trPr>
          <w:jc w:val="center"/>
        </w:trPr>
        <w:tc>
          <w:tcPr>
            <w:tcW w:w="1111" w:type="pct"/>
            <w:vAlign w:val="center"/>
          </w:tcPr>
          <w:p w14:paraId="3E347AEB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</w:t>
            </w:r>
          </w:p>
        </w:tc>
        <w:tc>
          <w:tcPr>
            <w:tcW w:w="1667" w:type="pct"/>
            <w:vAlign w:val="center"/>
          </w:tcPr>
          <w:p w14:paraId="7E5C4D8D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Nevoeiro/Neblina</w:t>
            </w:r>
          </w:p>
        </w:tc>
        <w:tc>
          <w:tcPr>
            <w:tcW w:w="833" w:type="pct"/>
            <w:vAlign w:val="center"/>
          </w:tcPr>
          <w:p w14:paraId="361825A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15,10%</w:t>
            </w:r>
          </w:p>
        </w:tc>
        <w:tc>
          <w:tcPr>
            <w:tcW w:w="1389" w:type="pct"/>
            <w:vAlign w:val="center"/>
          </w:tcPr>
          <w:p w14:paraId="5769C5F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avaliar volume</w:t>
            </w:r>
          </w:p>
        </w:tc>
      </w:tr>
      <w:tr w:rsidR="00694BAE" w14:paraId="3862E1C0" w14:textId="77777777" w:rsidTr="00252D66">
        <w:trPr>
          <w:jc w:val="center"/>
        </w:trPr>
        <w:tc>
          <w:tcPr>
            <w:tcW w:w="1111" w:type="pct"/>
            <w:vAlign w:val="center"/>
          </w:tcPr>
          <w:p w14:paraId="7A1F5008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Plena Noite</w:t>
            </w:r>
          </w:p>
        </w:tc>
        <w:tc>
          <w:tcPr>
            <w:tcW w:w="1667" w:type="pct"/>
            <w:vAlign w:val="center"/>
          </w:tcPr>
          <w:p w14:paraId="1E4E3E3E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Céu Claro</w:t>
            </w:r>
          </w:p>
        </w:tc>
        <w:tc>
          <w:tcPr>
            <w:tcW w:w="833" w:type="pct"/>
            <w:vAlign w:val="center"/>
          </w:tcPr>
          <w:p w14:paraId="3AB68367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10,49%</w:t>
            </w:r>
          </w:p>
        </w:tc>
        <w:tc>
          <w:tcPr>
            <w:tcW w:w="1389" w:type="pct"/>
            <w:vAlign w:val="center"/>
          </w:tcPr>
          <w:p w14:paraId="06DBC6B6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acima da taxa global</w:t>
            </w:r>
          </w:p>
        </w:tc>
      </w:tr>
      <w:tr w:rsidR="00694BAE" w14:paraId="25279A06" w14:textId="77777777" w:rsidTr="00252D66">
        <w:trPr>
          <w:jc w:val="center"/>
        </w:trPr>
        <w:tc>
          <w:tcPr>
            <w:tcW w:w="1111" w:type="pct"/>
            <w:vAlign w:val="center"/>
          </w:tcPr>
          <w:p w14:paraId="447B4DFA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Pleno dia</w:t>
            </w:r>
          </w:p>
        </w:tc>
        <w:tc>
          <w:tcPr>
            <w:tcW w:w="1667" w:type="pct"/>
            <w:vAlign w:val="center"/>
          </w:tcPr>
          <w:p w14:paraId="496B57BF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Chuva</w:t>
            </w:r>
          </w:p>
        </w:tc>
        <w:tc>
          <w:tcPr>
            <w:tcW w:w="833" w:type="pct"/>
            <w:vAlign w:val="center"/>
          </w:tcPr>
          <w:p w14:paraId="361211C1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4,92%</w:t>
            </w:r>
          </w:p>
        </w:tc>
        <w:tc>
          <w:tcPr>
            <w:tcW w:w="1389" w:type="pct"/>
            <w:vAlign w:val="center"/>
          </w:tcPr>
          <w:p w14:paraId="6E3FEB02" w14:textId="77777777" w:rsidR="00694BAE" w:rsidRDefault="006D28B0" w:rsidP="008E5194">
            <w:pPr>
              <w:spacing w:line="276" w:lineRule="auto"/>
            </w:pPr>
            <w:r>
              <w:rPr>
                <w:sz w:val="17"/>
              </w:rPr>
              <w:t>abaixo da taxa global</w:t>
            </w:r>
          </w:p>
        </w:tc>
      </w:tr>
    </w:tbl>
    <w:p w14:paraId="7B4C9A0A" w14:textId="77777777" w:rsidR="00694BAE" w:rsidRDefault="00694BAE" w:rsidP="008E5194">
      <w:pPr>
        <w:spacing w:after="20"/>
      </w:pPr>
    </w:p>
    <w:p w14:paraId="44BE64DF" w14:textId="77777777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Segundo cruzamento — tipo de acidente x fatalidade. </w:t>
      </w:r>
      <w:r>
        <w:rPr>
          <w:lang w:val="pt-BR"/>
        </w:rPr>
        <w:t>Colisão frontal e atropelamento de pedestre apresentam proporções fatais próximas de 30%, enquanto colisão traseira, mesmo sendo a categoria mais volumosa, apresenta 4,31%.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598"/>
      </w:tblGrid>
      <w:tr w:rsidR="00694BAE" w:rsidRPr="008E5D1A" w14:paraId="00811C8F" w14:textId="77777777" w:rsidTr="006937D9">
        <w:tc>
          <w:tcPr>
            <w:tcW w:w="10598" w:type="dxa"/>
            <w:shd w:val="clear" w:color="auto" w:fill="EAF2F8"/>
          </w:tcPr>
          <w:p w14:paraId="5730A6F0" w14:textId="77777777" w:rsidR="00694BAE" w:rsidRPr="00252D66" w:rsidRDefault="006D28B0" w:rsidP="008E5194">
            <w:pPr>
              <w:spacing w:line="276" w:lineRule="auto"/>
              <w:rPr>
                <w:lang w:val="pt-BR"/>
              </w:rPr>
            </w:pPr>
            <w:r>
              <w:rPr>
                <w:b/>
                <w:color w:val="1F4E79"/>
                <w:sz w:val="18"/>
                <w:lang w:val="pt-BR"/>
              </w:rPr>
              <w:t xml:space="preserve">Matriz de correlação de Pearson: </w:t>
            </w:r>
            <w:r>
              <w:rPr>
                <w:sz w:val="18"/>
                <w:lang w:val="pt-BR"/>
              </w:rPr>
              <w:t>deve ser interpretada apenas como ferramenta de associação. Variáveis como mortos, total de vítimas e acidente_fatal possuem relação estrutural por definição; portanto, correlações elevadas entre elas não representam evidência causal independente.</w:t>
            </w:r>
          </w:p>
        </w:tc>
      </w:tr>
    </w:tbl>
    <w:p w14:paraId="7431457B" w14:textId="77777777" w:rsidR="00694BAE" w:rsidRPr="00252D66" w:rsidRDefault="00694BAE" w:rsidP="008E5194">
      <w:pPr>
        <w:rPr>
          <w:lang w:val="pt-BR"/>
        </w:rPr>
      </w:pPr>
    </w:p>
    <w:p w14:paraId="21436DFB" w14:textId="3DD61EBE" w:rsidR="00694BAE" w:rsidRPr="00252D66" w:rsidRDefault="00694BAE" w:rsidP="008E5194">
      <w:pPr>
        <w:rPr>
          <w:lang w:val="pt-BR"/>
        </w:rPr>
      </w:pPr>
    </w:p>
    <w:p w14:paraId="32DF0396" w14:textId="77777777" w:rsidR="00694BAE" w:rsidRDefault="006D28B0" w:rsidP="008E5194">
      <w:pPr>
        <w:pStyle w:val="Ttulo1"/>
      </w:pPr>
      <w:r>
        <w:t>7. Síntese, hipóteses e limitações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443"/>
        <w:gridCol w:w="2520"/>
        <w:gridCol w:w="2850"/>
        <w:gridCol w:w="2829"/>
      </w:tblGrid>
      <w:tr w:rsidR="00694BAE" w14:paraId="3D66D02A" w14:textId="77777777" w:rsidTr="00252D66">
        <w:trPr>
          <w:jc w:val="center"/>
        </w:trPr>
        <w:tc>
          <w:tcPr>
            <w:tcW w:w="1148" w:type="pct"/>
            <w:shd w:val="clear" w:color="auto" w:fill="F2F2F2"/>
            <w:vAlign w:val="center"/>
          </w:tcPr>
          <w:p w14:paraId="30995D52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4"/>
              </w:rPr>
              <w:t>Achado</w:t>
            </w:r>
          </w:p>
        </w:tc>
        <w:tc>
          <w:tcPr>
            <w:tcW w:w="1184" w:type="pct"/>
            <w:shd w:val="clear" w:color="auto" w:fill="F2F2F2"/>
            <w:vAlign w:val="center"/>
          </w:tcPr>
          <w:p w14:paraId="069DE5BD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4"/>
              </w:rPr>
              <w:t>Evidência</w:t>
            </w:r>
          </w:p>
        </w:tc>
        <w:tc>
          <w:tcPr>
            <w:tcW w:w="1339" w:type="pct"/>
            <w:shd w:val="clear" w:color="auto" w:fill="F2F2F2"/>
            <w:vAlign w:val="center"/>
          </w:tcPr>
          <w:p w14:paraId="72833A0E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4"/>
              </w:rPr>
              <w:t>Hipótese (a investigar)</w:t>
            </w:r>
          </w:p>
        </w:tc>
        <w:tc>
          <w:tcPr>
            <w:tcW w:w="1329" w:type="pct"/>
            <w:shd w:val="clear" w:color="auto" w:fill="F2F2F2"/>
            <w:vAlign w:val="center"/>
          </w:tcPr>
          <w:p w14:paraId="2F572658" w14:textId="77777777" w:rsidR="00694BAE" w:rsidRDefault="006D28B0" w:rsidP="008E5194">
            <w:pPr>
              <w:spacing w:line="276" w:lineRule="auto"/>
            </w:pPr>
            <w:r>
              <w:rPr>
                <w:b/>
                <w:sz w:val="14"/>
              </w:rPr>
              <w:t>Limitação</w:t>
            </w:r>
          </w:p>
        </w:tc>
      </w:tr>
      <w:tr w:rsidR="00694BAE" w:rsidRPr="008E5D1A" w14:paraId="21011B30" w14:textId="77777777" w:rsidTr="00252D66">
        <w:trPr>
          <w:jc w:val="center"/>
        </w:trPr>
        <w:tc>
          <w:tcPr>
            <w:tcW w:w="1148" w:type="pct"/>
            <w:vAlign w:val="center"/>
          </w:tcPr>
          <w:p w14:paraId="2C4CBF10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Volume e fatalidade divergem por tipo de acidente</w:t>
            </w:r>
          </w:p>
        </w:tc>
        <w:tc>
          <w:tcPr>
            <w:tcW w:w="1184" w:type="pct"/>
            <w:vAlign w:val="center"/>
          </w:tcPr>
          <w:p w14:paraId="174AA08E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Colisão traseira: 14.360 e 4,31%; atropelamento: 29,51%; colisão frontal: 29,46%</w:t>
            </w:r>
          </w:p>
        </w:tc>
        <w:tc>
          <w:tcPr>
            <w:tcW w:w="1339" w:type="pct"/>
            <w:vAlign w:val="center"/>
          </w:tcPr>
          <w:p w14:paraId="24FE35F7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Velocidade de impacto, vulnerabilidade do pedestre e dinâmica de colisão podem explicar maior severidade</w:t>
            </w:r>
          </w:p>
        </w:tc>
        <w:tc>
          <w:tcPr>
            <w:tcW w:w="1329" w:type="pct"/>
            <w:vAlign w:val="center"/>
          </w:tcPr>
          <w:p w14:paraId="4768F80E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Análise descritiva; não controla exposição, velocidade nem características da via</w:t>
            </w:r>
          </w:p>
        </w:tc>
      </w:tr>
      <w:tr w:rsidR="00694BAE" w:rsidRPr="008E5D1A" w14:paraId="281DD51D" w14:textId="77777777" w:rsidTr="00252D66">
        <w:trPr>
          <w:jc w:val="center"/>
        </w:trPr>
        <w:tc>
          <w:tcPr>
            <w:tcW w:w="1148" w:type="pct"/>
            <w:vAlign w:val="center"/>
          </w:tcPr>
          <w:p w14:paraId="427CBBB5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Amanhecer e plena noite têm maior proporção fatal</w:t>
            </w:r>
          </w:p>
        </w:tc>
        <w:tc>
          <w:tcPr>
            <w:tcW w:w="1184" w:type="pct"/>
            <w:vAlign w:val="center"/>
          </w:tcPr>
          <w:p w14:paraId="4639DC3B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11,20% e 10,18%, versus 5,07% no pleno dia</w:t>
            </w:r>
          </w:p>
        </w:tc>
        <w:tc>
          <w:tcPr>
            <w:tcW w:w="1339" w:type="pct"/>
            <w:vAlign w:val="center"/>
          </w:tcPr>
          <w:p w14:paraId="34C2963B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Menor visibilidade, fadiga e condições operacionais podem contribuir</w:t>
            </w:r>
          </w:p>
        </w:tc>
        <w:tc>
          <w:tcPr>
            <w:tcW w:w="1329" w:type="pct"/>
            <w:vAlign w:val="center"/>
          </w:tcPr>
          <w:p w14:paraId="280A2443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Fase do dia é proxy; outras variáveis podem confundir a associação</w:t>
            </w:r>
          </w:p>
        </w:tc>
      </w:tr>
      <w:tr w:rsidR="00694BAE" w:rsidRPr="008E5D1A" w14:paraId="05AE2F61" w14:textId="77777777" w:rsidTr="00252D66">
        <w:trPr>
          <w:jc w:val="center"/>
        </w:trPr>
        <w:tc>
          <w:tcPr>
            <w:tcW w:w="1148" w:type="pct"/>
            <w:vAlign w:val="center"/>
          </w:tcPr>
          <w:p w14:paraId="1B858AE9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Fim de semana apresenta maior fatalidade proporcional</w:t>
            </w:r>
          </w:p>
        </w:tc>
        <w:tc>
          <w:tcPr>
            <w:tcW w:w="1184" w:type="pct"/>
            <w:vAlign w:val="center"/>
          </w:tcPr>
          <w:p w14:paraId="6D2ECA29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domingo 8,87%; sábado 8,25%; taxa global 7,18%</w:t>
            </w:r>
          </w:p>
        </w:tc>
        <w:tc>
          <w:tcPr>
            <w:tcW w:w="1339" w:type="pct"/>
            <w:vAlign w:val="center"/>
          </w:tcPr>
          <w:p w14:paraId="370E659B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Mudança do perfil de viagens, horários e comportamento dos condutores</w:t>
            </w:r>
          </w:p>
        </w:tc>
        <w:tc>
          <w:tcPr>
            <w:tcW w:w="1329" w:type="pct"/>
            <w:vAlign w:val="center"/>
          </w:tcPr>
          <w:p w14:paraId="3E5CB590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Não há controle por volume de tráfego ou exposição quilométrica</w:t>
            </w:r>
          </w:p>
        </w:tc>
      </w:tr>
      <w:tr w:rsidR="00694BAE" w:rsidRPr="008E5D1A" w14:paraId="56F308D4" w14:textId="77777777" w:rsidTr="00252D66">
        <w:trPr>
          <w:jc w:val="center"/>
        </w:trPr>
        <w:tc>
          <w:tcPr>
            <w:tcW w:w="1148" w:type="pct"/>
            <w:vAlign w:val="center"/>
          </w:tcPr>
          <w:p w14:paraId="065C5C75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Diferenças relevantes entre UFs</w:t>
            </w:r>
          </w:p>
        </w:tc>
        <w:tc>
          <w:tcPr>
            <w:tcW w:w="1184" w:type="pct"/>
            <w:vAlign w:val="center"/>
          </w:tcPr>
          <w:p w14:paraId="20539B2B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MA 18,70%; PA 17,28%; SP 4,38%</w:t>
            </w:r>
          </w:p>
        </w:tc>
        <w:tc>
          <w:tcPr>
            <w:tcW w:w="1339" w:type="pct"/>
            <w:vAlign w:val="center"/>
          </w:tcPr>
          <w:p w14:paraId="42748FF8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Infraestrutura, composição das rodovias, fiscalização e atendimento podem variar regionalmente</w:t>
            </w:r>
          </w:p>
        </w:tc>
        <w:tc>
          <w:tcPr>
            <w:tcW w:w="1329" w:type="pct"/>
            <w:vAlign w:val="center"/>
          </w:tcPr>
          <w:p w14:paraId="0CC404A6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UF agrega contextos muito heterogêneos; estados pequenos podem ter percentuais instáveis</w:t>
            </w:r>
          </w:p>
        </w:tc>
      </w:tr>
      <w:tr w:rsidR="00694BAE" w:rsidRPr="008E5D1A" w14:paraId="5D98B1D9" w14:textId="77777777" w:rsidTr="00252D66">
        <w:trPr>
          <w:jc w:val="center"/>
        </w:trPr>
        <w:tc>
          <w:tcPr>
            <w:tcW w:w="1148" w:type="pct"/>
            <w:vAlign w:val="center"/>
          </w:tcPr>
          <w:p w14:paraId="44A69384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BRs de grande volume não são necessariamente as de maior proporção fatal</w:t>
            </w:r>
          </w:p>
        </w:tc>
        <w:tc>
          <w:tcPr>
            <w:tcW w:w="1184" w:type="pct"/>
            <w:vAlign w:val="center"/>
          </w:tcPr>
          <w:p w14:paraId="45761B60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BR-101 5,24%; BR-116 5,79%; BR-153 8,10%</w:t>
            </w:r>
          </w:p>
        </w:tc>
        <w:tc>
          <w:tcPr>
            <w:tcW w:w="1339" w:type="pct"/>
            <w:vAlign w:val="center"/>
          </w:tcPr>
          <w:p w14:paraId="5F050558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Geometria, pista simples/dupla e perfil do tráfego podem alterar a severidade</w:t>
            </w:r>
          </w:p>
        </w:tc>
        <w:tc>
          <w:tcPr>
            <w:tcW w:w="1329" w:type="pct"/>
            <w:vAlign w:val="center"/>
          </w:tcPr>
          <w:p w14:paraId="5EAAE825" w14:textId="77777777" w:rsidR="00694BAE" w:rsidRPr="00DD10E3" w:rsidRDefault="006D28B0" w:rsidP="00DD10E3">
            <w:pPr>
              <w:spacing w:line="276" w:lineRule="auto"/>
              <w:rPr>
                <w:sz w:val="16"/>
                <w:szCs w:val="24"/>
                <w:lang w:val="pt-BR"/>
              </w:rPr>
            </w:pPr>
            <w:r>
              <w:rPr>
                <w:sz w:val="16"/>
                <w:szCs w:val="24"/>
                <w:lang w:val="pt-BR"/>
              </w:rPr>
              <w:t>Não controla extensão da rodovia nem fluxo de veículos</w:t>
            </w:r>
          </w:p>
        </w:tc>
      </w:tr>
    </w:tbl>
    <w:p w14:paraId="45EBCCF0" w14:textId="77777777" w:rsidR="00694BAE" w:rsidRPr="00252D66" w:rsidRDefault="00694BAE" w:rsidP="008E5194">
      <w:pPr>
        <w:spacing w:after="20"/>
        <w:rPr>
          <w:lang w:val="pt-BR"/>
        </w:rPr>
      </w:pPr>
    </w:p>
    <w:p w14:paraId="0221FDBD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Erros a evitar na leitura deste relatório</w:t>
      </w:r>
    </w:p>
    <w:p w14:paraId="6D0FFA5F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Confundir volume com proporção do indicador-alvo: o grupo com mais registros nem sempre é o mais associado à fatalidade.</w:t>
      </w:r>
    </w:p>
    <w:p w14:paraId="19050FFE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Tratar percentuais de categorias com poucos registros como conclusão robusta; sempre observar o volume junto.</w:t>
      </w:r>
    </w:p>
    <w:p w14:paraId="72434907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Tratar correlação como causalidade, especialmente entre variáveis que compõem o próprio desfecho.</w:t>
      </w:r>
    </w:p>
    <w:p w14:paraId="1A5595DE" w14:textId="1CA5D6D3" w:rsidR="00E84FCD" w:rsidRDefault="006D28B0" w:rsidP="008E5194">
      <w:pPr>
        <w:ind w:left="283"/>
        <w:rPr>
          <w:lang w:val="pt-BR"/>
        </w:rPr>
      </w:pPr>
      <w:r>
        <w:rPr>
          <w:lang w:val="pt-BR"/>
        </w:rPr>
        <w:t>• Generalizar um achado de uma UF, causa, horário ou condição para todo o conjunto sem verificar outros recortes.</w:t>
      </w:r>
    </w:p>
    <w:p w14:paraId="212F282F" w14:textId="77777777" w:rsidR="00E84FCD" w:rsidRDefault="00E84FCD">
      <w:pPr>
        <w:rPr>
          <w:lang w:val="pt-BR"/>
        </w:rPr>
      </w:pPr>
      <w:r>
        <w:rPr>
          <w:lang w:val="pt-BR"/>
        </w:rPr>
        <w:br w:type="page"/>
      </w:r>
    </w:p>
    <w:p w14:paraId="63DC7C9F" w14:textId="77777777" w:rsidR="00694BAE" w:rsidRPr="00252D66" w:rsidRDefault="00694BAE" w:rsidP="008E5194">
      <w:pPr>
        <w:ind w:left="283"/>
        <w:rPr>
          <w:lang w:val="pt-BR"/>
        </w:rPr>
      </w:pPr>
    </w:p>
    <w:p w14:paraId="60633718" w14:textId="77777777" w:rsidR="00694BAE" w:rsidRPr="00252D66" w:rsidRDefault="006D28B0" w:rsidP="008E5194">
      <w:pPr>
        <w:pStyle w:val="Ttulo2"/>
        <w:rPr>
          <w:lang w:val="pt-BR"/>
        </w:rPr>
      </w:pPr>
      <w:r>
        <w:rPr>
          <w:lang w:val="pt-BR"/>
        </w:rPr>
        <w:t>Limitações gerais da base</w:t>
      </w:r>
    </w:p>
    <w:p w14:paraId="59457E91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A base cobre acidentes registrados pela PRF em rodovias federais no período analisado; não representa toda a malha viária brasileira.</w:t>
      </w:r>
    </w:p>
    <w:p w14:paraId="5A155B43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Parte dos campos depende de classificação e registro operacional, estando sujeita a inconsistências, valores ignorados ou critérios humanos.</w:t>
      </w:r>
    </w:p>
    <w:p w14:paraId="005B0A56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A análise é descritiva e associativa; não permite estabelecer causalidade nem deve embasar decisões isoladamente.</w:t>
      </w:r>
    </w:p>
    <w:p w14:paraId="3FA8356C" w14:textId="77777777" w:rsidR="00694BAE" w:rsidRPr="00252D66" w:rsidRDefault="006D28B0" w:rsidP="008E5194">
      <w:pPr>
        <w:ind w:left="283"/>
        <w:rPr>
          <w:lang w:val="pt-BR"/>
        </w:rPr>
      </w:pPr>
      <w:r>
        <w:rPr>
          <w:lang w:val="pt-BR"/>
        </w:rPr>
        <w:t>• As comparações proporcionais precisam de volume mínimo por categoria para evitar instabilidade em grupos raros.</w:t>
      </w:r>
    </w:p>
    <w:p w14:paraId="33164235" w14:textId="311A8DFE" w:rsidR="00694BAE" w:rsidRPr="00252D66" w:rsidRDefault="00694BAE" w:rsidP="008E5194">
      <w:pPr>
        <w:rPr>
          <w:lang w:val="pt-BR"/>
        </w:rPr>
      </w:pPr>
    </w:p>
    <w:p w14:paraId="77F6C889" w14:textId="77777777" w:rsidR="00694BAE" w:rsidRPr="00252D66" w:rsidRDefault="006D28B0" w:rsidP="008E5194">
      <w:pPr>
        <w:pStyle w:val="Ttulo1"/>
        <w:rPr>
          <w:lang w:val="pt-BR"/>
        </w:rPr>
      </w:pPr>
      <w:r>
        <w:rPr>
          <w:lang w:val="pt-BR"/>
        </w:rPr>
        <w:t>EXTRA — 8. Interpretação, hipóteses e limites</w:t>
      </w:r>
    </w:p>
    <w:p w14:paraId="51783571" w14:textId="166B0CE6" w:rsidR="00694BAE" w:rsidRPr="00252D66" w:rsidRDefault="006D28B0" w:rsidP="008E5194">
      <w:pPr>
        <w:rPr>
          <w:lang w:val="pt-BR"/>
        </w:rPr>
      </w:pPr>
      <w:r>
        <w:rPr>
          <w:b/>
          <w:lang w:val="pt-BR"/>
        </w:rPr>
        <w:t xml:space="preserve">Cada achado relevante segue o modelo: </w:t>
      </w:r>
      <w:r w:rsidR="008E5D1A">
        <w:rPr>
          <w:b/>
          <w:lang w:val="pt-BR"/>
        </w:rPr>
        <w:br/>
      </w:r>
      <w:r>
        <w:rPr>
          <w:lang w:val="pt-BR"/>
        </w:rPr>
        <w:t>Achado → Evidência → Comparação com a taxa global → Hipótese → Limitação.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1933"/>
        <w:gridCol w:w="1710"/>
        <w:gridCol w:w="1545"/>
        <w:gridCol w:w="2304"/>
        <w:gridCol w:w="2285"/>
      </w:tblGrid>
      <w:tr w:rsidR="00694BAE" w:rsidRPr="00DD10E3" w14:paraId="64924337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0BA70BB1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Registro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22783E66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Achado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FE924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Evidência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63E11EC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Comparação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06424EB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Hipótese (a investigar)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38D1D2D7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b/>
                <w:sz w:val="16"/>
                <w:szCs w:val="28"/>
              </w:rPr>
              <w:t>Limitação</w:t>
            </w:r>
          </w:p>
        </w:tc>
      </w:tr>
      <w:tr w:rsidR="00694BAE" w:rsidRPr="008E5D1A" w14:paraId="3D1C7DA2" w14:textId="77777777">
        <w:trPr>
          <w:jc w:val="center"/>
        </w:trPr>
        <w:tc>
          <w:tcPr>
            <w:tcW w:w="794" w:type="dxa"/>
            <w:vAlign w:val="center"/>
          </w:tcPr>
          <w:p w14:paraId="5A298F4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</w:t>
            </w:r>
          </w:p>
        </w:tc>
        <w:tc>
          <w:tcPr>
            <w:tcW w:w="2438" w:type="dxa"/>
            <w:vAlign w:val="center"/>
          </w:tcPr>
          <w:p w14:paraId="0769E7F7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MA e PA têm altas proporções fatais</w:t>
            </w:r>
          </w:p>
        </w:tc>
        <w:tc>
          <w:tcPr>
            <w:tcW w:w="2268" w:type="dxa"/>
            <w:vAlign w:val="center"/>
          </w:tcPr>
          <w:p w14:paraId="04F4B46B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18,70% e 17,28%</w:t>
            </w:r>
          </w:p>
        </w:tc>
        <w:tc>
          <w:tcPr>
            <w:tcW w:w="1814" w:type="dxa"/>
            <w:vAlign w:val="center"/>
          </w:tcPr>
          <w:p w14:paraId="3ABA1D80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Muito acima de 7,18%</w:t>
            </w:r>
          </w:p>
        </w:tc>
        <w:tc>
          <w:tcPr>
            <w:tcW w:w="3061" w:type="dxa"/>
            <w:vAlign w:val="center"/>
          </w:tcPr>
          <w:p w14:paraId="110A8CEC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Características das rodovias e contexto operacional podem variar por UF</w:t>
            </w:r>
          </w:p>
        </w:tc>
        <w:tc>
          <w:tcPr>
            <w:tcW w:w="3061" w:type="dxa"/>
            <w:vAlign w:val="center"/>
          </w:tcPr>
          <w:p w14:paraId="5CCCEFE8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Diferenças de volume e composição da malha</w:t>
            </w:r>
          </w:p>
        </w:tc>
      </w:tr>
      <w:tr w:rsidR="00694BAE" w:rsidRPr="008E5D1A" w14:paraId="21E7D41C" w14:textId="77777777">
        <w:trPr>
          <w:jc w:val="center"/>
        </w:trPr>
        <w:tc>
          <w:tcPr>
            <w:tcW w:w="794" w:type="dxa"/>
            <w:vAlign w:val="center"/>
          </w:tcPr>
          <w:p w14:paraId="090C8E57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2</w:t>
            </w:r>
          </w:p>
        </w:tc>
        <w:tc>
          <w:tcPr>
            <w:tcW w:w="2438" w:type="dxa"/>
            <w:vAlign w:val="center"/>
          </w:tcPr>
          <w:p w14:paraId="41BD54F4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Amanhecer tem maior fatalidade proporcional</w:t>
            </w:r>
          </w:p>
        </w:tc>
        <w:tc>
          <w:tcPr>
            <w:tcW w:w="2268" w:type="dxa"/>
            <w:vAlign w:val="center"/>
          </w:tcPr>
          <w:p w14:paraId="1770FB12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11,20% em 3.447 acidentes</w:t>
            </w:r>
          </w:p>
        </w:tc>
        <w:tc>
          <w:tcPr>
            <w:tcW w:w="1814" w:type="dxa"/>
            <w:vAlign w:val="center"/>
          </w:tcPr>
          <w:p w14:paraId="645CA0A0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1,56x a taxa global</w:t>
            </w:r>
          </w:p>
        </w:tc>
        <w:tc>
          <w:tcPr>
            <w:tcW w:w="3061" w:type="dxa"/>
            <w:vAlign w:val="center"/>
          </w:tcPr>
          <w:p w14:paraId="508B1814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Visibilidade e fadiga podem contribuir</w:t>
            </w:r>
          </w:p>
        </w:tc>
        <w:tc>
          <w:tcPr>
            <w:tcW w:w="3061" w:type="dxa"/>
            <w:vAlign w:val="center"/>
          </w:tcPr>
          <w:p w14:paraId="03279E12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Não controla clima, rodovia ou perfil do condutor</w:t>
            </w:r>
          </w:p>
        </w:tc>
      </w:tr>
      <w:tr w:rsidR="00694BAE" w:rsidRPr="00DD10E3" w14:paraId="4D2B3594" w14:textId="77777777">
        <w:trPr>
          <w:jc w:val="center"/>
        </w:trPr>
        <w:tc>
          <w:tcPr>
            <w:tcW w:w="794" w:type="dxa"/>
            <w:vAlign w:val="center"/>
          </w:tcPr>
          <w:p w14:paraId="55C0F929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3</w:t>
            </w:r>
          </w:p>
        </w:tc>
        <w:tc>
          <w:tcPr>
            <w:tcW w:w="2438" w:type="dxa"/>
            <w:vAlign w:val="center"/>
          </w:tcPr>
          <w:p w14:paraId="67237335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Plena noite concentra mais acidentes fatais</w:t>
            </w:r>
          </w:p>
        </w:tc>
        <w:tc>
          <w:tcPr>
            <w:tcW w:w="2268" w:type="dxa"/>
            <w:vAlign w:val="center"/>
          </w:tcPr>
          <w:p w14:paraId="5607A5D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2.522 fatais em 24.781 acidentes</w:t>
            </w:r>
          </w:p>
        </w:tc>
        <w:tc>
          <w:tcPr>
            <w:tcW w:w="1814" w:type="dxa"/>
            <w:vAlign w:val="center"/>
          </w:tcPr>
          <w:p w14:paraId="7E73523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10,18%, acima de 7,18%</w:t>
            </w:r>
          </w:p>
        </w:tc>
        <w:tc>
          <w:tcPr>
            <w:tcW w:w="3061" w:type="dxa"/>
            <w:vAlign w:val="center"/>
          </w:tcPr>
          <w:p w14:paraId="29272CDB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Exposição noturna, velocidade e menor visibilidade</w:t>
            </w:r>
          </w:p>
        </w:tc>
        <w:tc>
          <w:tcPr>
            <w:tcW w:w="3061" w:type="dxa"/>
            <w:vAlign w:val="center"/>
          </w:tcPr>
          <w:p w14:paraId="5EF08BAC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Associação não causal</w:t>
            </w:r>
          </w:p>
        </w:tc>
      </w:tr>
      <w:tr w:rsidR="00694BAE" w:rsidRPr="008E5D1A" w14:paraId="06D3FA61" w14:textId="77777777">
        <w:trPr>
          <w:jc w:val="center"/>
        </w:trPr>
        <w:tc>
          <w:tcPr>
            <w:tcW w:w="794" w:type="dxa"/>
            <w:vAlign w:val="center"/>
          </w:tcPr>
          <w:p w14:paraId="0DB33E6B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4</w:t>
            </w:r>
          </w:p>
        </w:tc>
        <w:tc>
          <w:tcPr>
            <w:tcW w:w="2438" w:type="dxa"/>
            <w:vAlign w:val="center"/>
          </w:tcPr>
          <w:p w14:paraId="306E4592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Colisão frontal é altamente grave</w:t>
            </w:r>
          </w:p>
        </w:tc>
        <w:tc>
          <w:tcPr>
            <w:tcW w:w="2268" w:type="dxa"/>
            <w:vAlign w:val="center"/>
          </w:tcPr>
          <w:p w14:paraId="116FBC72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1.396 fatais em 4.739 acidentes</w:t>
            </w:r>
          </w:p>
        </w:tc>
        <w:tc>
          <w:tcPr>
            <w:tcW w:w="1814" w:type="dxa"/>
            <w:vAlign w:val="center"/>
          </w:tcPr>
          <w:p w14:paraId="069D230E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29,46%, ~4,1x a taxa global</w:t>
            </w:r>
          </w:p>
        </w:tc>
        <w:tc>
          <w:tcPr>
            <w:tcW w:w="3061" w:type="dxa"/>
            <w:vAlign w:val="center"/>
          </w:tcPr>
          <w:p w14:paraId="5556880E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Energia do impacto frontal pode elevar severidade</w:t>
            </w:r>
          </w:p>
        </w:tc>
        <w:tc>
          <w:tcPr>
            <w:tcW w:w="3061" w:type="dxa"/>
            <w:vAlign w:val="center"/>
          </w:tcPr>
          <w:p w14:paraId="73AE7539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Tipo do acidente não mede todas as condições do evento</w:t>
            </w:r>
          </w:p>
        </w:tc>
      </w:tr>
      <w:tr w:rsidR="00694BAE" w:rsidRPr="008E5D1A" w14:paraId="7D42BEAB" w14:textId="77777777">
        <w:trPr>
          <w:jc w:val="center"/>
        </w:trPr>
        <w:tc>
          <w:tcPr>
            <w:tcW w:w="794" w:type="dxa"/>
            <w:vAlign w:val="center"/>
          </w:tcPr>
          <w:p w14:paraId="0D3919A8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5</w:t>
            </w:r>
          </w:p>
        </w:tc>
        <w:tc>
          <w:tcPr>
            <w:tcW w:w="2438" w:type="dxa"/>
            <w:vAlign w:val="center"/>
          </w:tcPr>
          <w:p w14:paraId="629A0145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Atropelamento de pedestre tem alta fatalidade</w:t>
            </w:r>
          </w:p>
        </w:tc>
        <w:tc>
          <w:tcPr>
            <w:tcW w:w="2268" w:type="dxa"/>
            <w:vAlign w:val="center"/>
          </w:tcPr>
          <w:p w14:paraId="492F9998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902 fatais em 3.057 acidentes</w:t>
            </w:r>
          </w:p>
        </w:tc>
        <w:tc>
          <w:tcPr>
            <w:tcW w:w="1814" w:type="dxa"/>
            <w:vAlign w:val="center"/>
          </w:tcPr>
          <w:p w14:paraId="42243AC7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29,51%, ~4,1x a taxa global</w:t>
            </w:r>
          </w:p>
        </w:tc>
        <w:tc>
          <w:tcPr>
            <w:tcW w:w="3061" w:type="dxa"/>
            <w:vAlign w:val="center"/>
          </w:tcPr>
          <w:p w14:paraId="02EFC6FA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Alta vulnerabilidade do pedestre</w:t>
            </w:r>
          </w:p>
        </w:tc>
        <w:tc>
          <w:tcPr>
            <w:tcW w:w="3061" w:type="dxa"/>
            <w:vAlign w:val="center"/>
          </w:tcPr>
          <w:p w14:paraId="43B120C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Necessita controlar local, velocidade e urbanização</w:t>
            </w:r>
          </w:p>
        </w:tc>
      </w:tr>
      <w:tr w:rsidR="00694BAE" w:rsidRPr="008E5D1A" w14:paraId="36A14DB4" w14:textId="77777777">
        <w:trPr>
          <w:jc w:val="center"/>
        </w:trPr>
        <w:tc>
          <w:tcPr>
            <w:tcW w:w="794" w:type="dxa"/>
            <w:vAlign w:val="center"/>
          </w:tcPr>
          <w:p w14:paraId="0499913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6</w:t>
            </w:r>
          </w:p>
        </w:tc>
        <w:tc>
          <w:tcPr>
            <w:tcW w:w="2438" w:type="dxa"/>
            <w:vAlign w:val="center"/>
          </w:tcPr>
          <w:p w14:paraId="1263F45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Domingo apresenta maior taxa semanal</w:t>
            </w:r>
          </w:p>
        </w:tc>
        <w:tc>
          <w:tcPr>
            <w:tcW w:w="2268" w:type="dxa"/>
            <w:vAlign w:val="center"/>
          </w:tcPr>
          <w:p w14:paraId="1FA2A5B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8,87% em 11.470 acidentes</w:t>
            </w:r>
          </w:p>
        </w:tc>
        <w:tc>
          <w:tcPr>
            <w:tcW w:w="1814" w:type="dxa"/>
            <w:vAlign w:val="center"/>
          </w:tcPr>
          <w:p w14:paraId="3DBD63E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Acima de 7,18%</w:t>
            </w:r>
          </w:p>
        </w:tc>
        <w:tc>
          <w:tcPr>
            <w:tcW w:w="3061" w:type="dxa"/>
            <w:vAlign w:val="center"/>
          </w:tcPr>
          <w:p w14:paraId="25AF8F9C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Perfil de viagens e horários pode mudar no fim de semana</w:t>
            </w:r>
          </w:p>
        </w:tc>
        <w:tc>
          <w:tcPr>
            <w:tcW w:w="3061" w:type="dxa"/>
            <w:vAlign w:val="center"/>
          </w:tcPr>
          <w:p w14:paraId="5B250799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Sem medida de exposição ao tráfego</w:t>
            </w:r>
          </w:p>
        </w:tc>
      </w:tr>
      <w:tr w:rsidR="00694BAE" w:rsidRPr="008E5D1A" w14:paraId="26BFB61D" w14:textId="77777777">
        <w:trPr>
          <w:jc w:val="center"/>
        </w:trPr>
        <w:tc>
          <w:tcPr>
            <w:tcW w:w="794" w:type="dxa"/>
            <w:vAlign w:val="center"/>
          </w:tcPr>
          <w:p w14:paraId="652EB30D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7</w:t>
            </w:r>
          </w:p>
        </w:tc>
        <w:tc>
          <w:tcPr>
            <w:tcW w:w="2438" w:type="dxa"/>
            <w:vAlign w:val="center"/>
          </w:tcPr>
          <w:p w14:paraId="4B97F08F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BR-153 tem taxa acima da média entre rodovias destacadas</w:t>
            </w:r>
          </w:p>
        </w:tc>
        <w:tc>
          <w:tcPr>
            <w:tcW w:w="2268" w:type="dxa"/>
            <w:vAlign w:val="center"/>
          </w:tcPr>
          <w:p w14:paraId="1EF47AF0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8,10% em 2.789 acidentes</w:t>
            </w:r>
          </w:p>
        </w:tc>
        <w:tc>
          <w:tcPr>
            <w:tcW w:w="1814" w:type="dxa"/>
            <w:vAlign w:val="center"/>
          </w:tcPr>
          <w:p w14:paraId="241D0CA0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</w:rPr>
            </w:pPr>
            <w:r>
              <w:rPr>
                <w:sz w:val="16"/>
                <w:szCs w:val="28"/>
              </w:rPr>
              <w:t>Acima de 7,18%</w:t>
            </w:r>
          </w:p>
        </w:tc>
        <w:tc>
          <w:tcPr>
            <w:tcW w:w="3061" w:type="dxa"/>
            <w:vAlign w:val="center"/>
          </w:tcPr>
          <w:p w14:paraId="097A1BE3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Configuração da via e tráfego podem influenciar</w:t>
            </w:r>
          </w:p>
        </w:tc>
        <w:tc>
          <w:tcPr>
            <w:tcW w:w="3061" w:type="dxa"/>
            <w:vAlign w:val="center"/>
          </w:tcPr>
          <w:p w14:paraId="2C8C8B10" w14:textId="77777777" w:rsidR="00694BAE" w:rsidRPr="00DD10E3" w:rsidRDefault="006D28B0" w:rsidP="00DD10E3">
            <w:pPr>
              <w:spacing w:line="276" w:lineRule="auto"/>
              <w:rPr>
                <w:sz w:val="22"/>
                <w:szCs w:val="28"/>
                <w:lang w:val="pt-BR"/>
              </w:rPr>
            </w:pPr>
            <w:r>
              <w:rPr>
                <w:sz w:val="16"/>
                <w:szCs w:val="28"/>
                <w:lang w:val="pt-BR"/>
              </w:rPr>
              <w:t>Comparação sem normalizar por extensão/fluxo</w:t>
            </w:r>
          </w:p>
        </w:tc>
      </w:tr>
    </w:tbl>
    <w:p w14:paraId="23BA2D16" w14:textId="5A664047" w:rsidR="00694BAE" w:rsidRPr="00DD10E3" w:rsidRDefault="00694BAE" w:rsidP="00DD10E3">
      <w:pPr>
        <w:spacing w:after="20"/>
        <w:rPr>
          <w:sz w:val="22"/>
          <w:szCs w:val="28"/>
          <w:lang w:val="pt-BR"/>
        </w:rPr>
      </w:pPr>
    </w:p>
    <w:p w14:paraId="1FBCDB28" w14:textId="77777777" w:rsidR="00DD10E3" w:rsidRPr="00252D66" w:rsidRDefault="00DD10E3" w:rsidP="008E5194">
      <w:pPr>
        <w:spacing w:after="20"/>
        <w:rPr>
          <w:lang w:val="pt-BR"/>
        </w:rPr>
      </w:pPr>
    </w:p>
    <w:p w14:paraId="38606176" w14:textId="77777777" w:rsidR="00694BAE" w:rsidRDefault="006D28B0" w:rsidP="008E5194">
      <w:pPr>
        <w:jc w:val="center"/>
      </w:pPr>
      <w:r>
        <w:rPr>
          <w:b/>
          <w:color w:val="1F4E79"/>
        </w:rPr>
        <w:t>Fim do relatório</w:t>
      </w:r>
    </w:p>
    <w:sectPr w:rsidR="00694BAE" w:rsidSect="00034616">
      <w:headerReference w:type="default" r:id="rId16"/>
      <w:footerReference w:type="default" r:id="rId17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F0E07" w14:textId="77777777" w:rsidR="00A31B46" w:rsidRDefault="00A31B46">
      <w:pPr>
        <w:spacing w:after="0" w:line="240" w:lineRule="auto"/>
      </w:pPr>
      <w:r>
        <w:separator/>
      </w:r>
    </w:p>
  </w:endnote>
  <w:endnote w:type="continuationSeparator" w:id="0">
    <w:p w14:paraId="2915E9FC" w14:textId="77777777" w:rsidR="00A31B46" w:rsidRDefault="00A31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447F" w14:textId="77777777" w:rsidR="00694BAE" w:rsidRPr="00252D66" w:rsidRDefault="006D28B0">
    <w:pPr>
      <w:pStyle w:val="Rodap"/>
      <w:jc w:val="center"/>
      <w:rPr>
        <w:lang w:val="pt-BR"/>
      </w:rPr>
    </w:pPr>
    <w:r w:rsidRPr="00252D66">
      <w:rPr>
        <w:color w:val="7F7F7F"/>
        <w:sz w:val="16"/>
        <w:lang w:val="pt-BR"/>
      </w:rPr>
      <w:t>Relatório Analítico - Análise Exploratória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175B7" w14:textId="77777777" w:rsidR="00A31B46" w:rsidRDefault="00A31B46">
      <w:pPr>
        <w:spacing w:after="0" w:line="240" w:lineRule="auto"/>
      </w:pPr>
      <w:r>
        <w:separator/>
      </w:r>
    </w:p>
  </w:footnote>
  <w:footnote w:type="continuationSeparator" w:id="0">
    <w:p w14:paraId="58BEF97D" w14:textId="77777777" w:rsidR="00A31B46" w:rsidRDefault="00A31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6F3BA" w14:textId="409F06DE" w:rsidR="000F0932" w:rsidRDefault="000F0932">
    <w:pPr>
      <w:pStyle w:val="Cabealho"/>
      <w:rPr>
        <w:rFonts w:cs="Arial"/>
        <w:color w:val="595959"/>
        <w:sz w:val="16"/>
        <w:szCs w:val="16"/>
        <w:shd w:val="clear" w:color="auto" w:fill="FFFFFF"/>
        <w:lang w:val="pt-BR"/>
      </w:rPr>
    </w:pPr>
    <w:r w:rsidRPr="000F0932">
      <w:rPr>
        <w:rFonts w:cs="Arial"/>
        <w:color w:val="595959"/>
        <w:sz w:val="16"/>
        <w:szCs w:val="16"/>
        <w:shd w:val="clear" w:color="auto" w:fill="FFFFFF"/>
        <w:lang w:val="pt-BR"/>
      </w:rPr>
      <w:t>Diagnóstico dos Acidentes Fatais nas Rodovias Federais - PRF 2025</w:t>
    </w:r>
  </w:p>
  <w:p w14:paraId="2FD73C87" w14:textId="77777777" w:rsidR="000F0932" w:rsidRPr="000F0932" w:rsidRDefault="000F0932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932"/>
    <w:rsid w:val="0015074B"/>
    <w:rsid w:val="00162E34"/>
    <w:rsid w:val="00252D66"/>
    <w:rsid w:val="0029639D"/>
    <w:rsid w:val="00326F90"/>
    <w:rsid w:val="004F5892"/>
    <w:rsid w:val="00667C63"/>
    <w:rsid w:val="006937D9"/>
    <w:rsid w:val="00694BAE"/>
    <w:rsid w:val="006D28B0"/>
    <w:rsid w:val="00752922"/>
    <w:rsid w:val="008E5194"/>
    <w:rsid w:val="008E5D1A"/>
    <w:rsid w:val="00A31B46"/>
    <w:rsid w:val="00AA1D8D"/>
    <w:rsid w:val="00B47730"/>
    <w:rsid w:val="00CB0664"/>
    <w:rsid w:val="00DD10E3"/>
    <w:rsid w:val="00E84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F83F9"/>
  <w14:defaultImageDpi w14:val="300"/>
  <w15:docId w15:val="{75E2FCC7-3B46-4469-B7FA-CABC2782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2205</Words>
  <Characters>11910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Analítico EDA - PRF 2025</vt:lpstr>
      <vt:lpstr/>
    </vt:vector>
  </TitlesOfParts>
  <Manager/>
  <Company/>
  <LinksUpToDate>false</LinksUpToDate>
  <CharactersWithSpaces>14087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Analítico EDA - PRF 2025</dc:title>
  <dc:subject>Análise exploratória dos acidentes fatais nas rodovias federais em 2025</dc:subject>
  <dc:creator>Jefferson Araújo</dc:creator>
  <cp:keywords/>
  <dc:description>generated by python-docx</dc:description>
  <cp:lastModifiedBy>CTI-DEV3</cp:lastModifiedBy>
  <cp:revision>9</cp:revision>
  <dcterms:created xsi:type="dcterms:W3CDTF">2013-12-23T23:15:00Z</dcterms:created>
  <dcterms:modified xsi:type="dcterms:W3CDTF">2026-09-05T23:09:00Z</dcterms:modified>
  <cp:category/>
</cp:coreProperties>
</file>