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0"/>
        <w:rPr>
          <w:rFonts w:ascii="Times New Roman" w:cs="Times New Roman" w:eastAsia="Times New Roman" w:hAnsi="Times New Roman"/>
          <w:b w:val="0"/>
          <w:bCs w:val="0"/>
          <w:sz w:val="40"/>
          <w:szCs w:val="40"/>
        </w:rPr>
      </w:pPr>
      <w:bookmarkStart w:colFirst="0" w:colLast="0" w:name="_g14kmbfju3sd" w:id="0"/>
      <w:bookmarkEnd w:id="0"/>
      <w:r w:rsidDel="00000000" w:rsidR="00000000" w:rsidRPr="00000000">
        <w:rPr>
          <w:rtl w:val="0"/>
        </w:rPr>
        <w:t xml:space="preserve">{{ chapter_num }}.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Результаты тестирования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В ходе тестирования исполнителем были обнаружены следующие недостатки: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{%p for name in vuln_names %}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{{name}}{% if loop.last %}.{% else %};{% endif %}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{%p endfor %}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>
          <w:sz w:val="22"/>
          <w:szCs w:val="22"/>
        </w:rPr>
      </w:pPr>
      <w:r w:rsidDel="00000000" w:rsidR="00000000" w:rsidRPr="00000000">
        <w:rPr>
          <w:rtl w:val="0"/>
        </w:rPr>
        <w:t xml:space="preserve">По результатам проведения анализа защищенности {{ asName }}, исполнителем были обнаружены: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sz w:val="22"/>
          <w:szCs w:val="22"/>
          <w:rtl w:val="0"/>
        </w:rPr>
        <w:t xml:space="preserve">уязвимости с уровнем критичности </w:t>
      </w:r>
      <w:r w:rsidDel="00000000" w:rsidR="00000000" w:rsidRPr="00000000">
        <w:rPr>
          <w:color w:val="980000"/>
          <w:sz w:val="22"/>
          <w:szCs w:val="22"/>
          <w:rtl w:val="0"/>
        </w:rPr>
        <w:t xml:space="preserve">Критичный </w:t>
      </w:r>
      <w:r w:rsidDel="00000000" w:rsidR="00000000" w:rsidRPr="00000000">
        <w:rPr>
          <w:sz w:val="22"/>
          <w:szCs w:val="22"/>
          <w:rtl w:val="0"/>
        </w:rPr>
        <w:t xml:space="preserve">– {{ </w:t>
      </w:r>
      <w:r w:rsidDel="00000000" w:rsidR="00000000" w:rsidRPr="00000000">
        <w:rPr>
          <w:rtl w:val="0"/>
        </w:rPr>
        <w:t xml:space="preserve">critical_count</w:t>
      </w:r>
      <w:r w:rsidDel="00000000" w:rsidR="00000000" w:rsidRPr="00000000">
        <w:rPr>
          <w:sz w:val="22"/>
          <w:szCs w:val="22"/>
          <w:rtl w:val="0"/>
        </w:rPr>
        <w:t xml:space="preserve">}};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Rule="auto"/>
        <w:ind w:left="720" w:hanging="360"/>
      </w:pPr>
      <w:r w:rsidDel="00000000" w:rsidR="00000000" w:rsidRPr="00000000">
        <w:rPr>
          <w:sz w:val="22"/>
          <w:szCs w:val="22"/>
          <w:rtl w:val="0"/>
        </w:rPr>
        <w:t xml:space="preserve">уязвимости с уровнем критичности </w:t>
      </w:r>
      <w:r w:rsidDel="00000000" w:rsidR="00000000" w:rsidRPr="00000000">
        <w:rPr>
          <w:color w:val="ff0000"/>
          <w:sz w:val="22"/>
          <w:szCs w:val="22"/>
          <w:rtl w:val="0"/>
        </w:rPr>
        <w:t xml:space="preserve">Высокий</w:t>
      </w:r>
      <w:r w:rsidDel="00000000" w:rsidR="00000000" w:rsidRPr="00000000">
        <w:rPr>
          <w:color w:val="ed7d3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– {{ </w:t>
      </w:r>
      <w:r w:rsidDel="00000000" w:rsidR="00000000" w:rsidRPr="00000000">
        <w:rPr>
          <w:rtl w:val="0"/>
        </w:rPr>
        <w:t xml:space="preserve">high_count</w:t>
      </w:r>
      <w:r w:rsidDel="00000000" w:rsidR="00000000" w:rsidRPr="00000000">
        <w:rPr>
          <w:sz w:val="22"/>
          <w:szCs w:val="22"/>
          <w:rtl w:val="0"/>
        </w:rPr>
        <w:t xml:space="preserve">}};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уязвимости с уровнем критичности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ed7d31"/>
          <w:sz w:val="22"/>
          <w:szCs w:val="22"/>
          <w:u w:val="none"/>
          <w:shd w:fill="auto" w:val="clear"/>
          <w:vertAlign w:val="baseline"/>
          <w:rtl w:val="0"/>
        </w:rPr>
        <w:t xml:space="preserve">Средний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{{ medium_count }};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lineRule="auto"/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уязвимости с уровнем критичности </w:t>
      </w:r>
      <w:r w:rsidDel="00000000" w:rsidR="00000000" w:rsidRPr="00000000">
        <w:rPr>
          <w:color w:val="00b050"/>
          <w:sz w:val="22"/>
          <w:szCs w:val="22"/>
          <w:rtl w:val="0"/>
        </w:rPr>
        <w:t xml:space="preserve">Низкий </w:t>
      </w:r>
      <w:r w:rsidDel="00000000" w:rsidR="00000000" w:rsidRPr="00000000">
        <w:rPr>
          <w:sz w:val="22"/>
          <w:szCs w:val="22"/>
          <w:rtl w:val="0"/>
        </w:rPr>
        <w:t xml:space="preserve">– {{ </w:t>
      </w:r>
      <w:r w:rsidDel="00000000" w:rsidR="00000000" w:rsidRPr="00000000">
        <w:rPr>
          <w:rtl w:val="0"/>
        </w:rPr>
        <w:t xml:space="preserve">low_count</w:t>
      </w:r>
      <w:r w:rsidDel="00000000" w:rsidR="00000000" w:rsidRPr="00000000">
        <w:rPr>
          <w:sz w:val="22"/>
          <w:szCs w:val="22"/>
          <w:rtl w:val="0"/>
        </w:rPr>
        <w:t xml:space="preserve">}};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уязвимости с уровнем критичности </w:t>
      </w:r>
      <w:r w:rsidDel="00000000" w:rsidR="00000000" w:rsidRPr="00000000">
        <w:rPr>
          <w:color w:val="4a86e8"/>
          <w:sz w:val="22"/>
          <w:szCs w:val="22"/>
          <w:rtl w:val="0"/>
        </w:rPr>
        <w:t xml:space="preserve">Информационный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– {{ </w:t>
      </w:r>
      <w:r w:rsidDel="00000000" w:rsidR="00000000" w:rsidRPr="00000000">
        <w:rPr>
          <w:rtl w:val="0"/>
        </w:rPr>
        <w:t xml:space="preserve">info_count</w:t>
      </w:r>
      <w:r w:rsidDel="00000000" w:rsidR="00000000" w:rsidRPr="00000000">
        <w:rPr>
          <w:sz w:val="22"/>
          <w:szCs w:val="22"/>
          <w:rtl w:val="0"/>
        </w:rPr>
        <w:t xml:space="preserve">}}.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Для минимизации рисков реализации угроз кибербезопасности и повышении уровня защищенности системы, рекомендуется: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проводить периодический анализ защищенности;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устранить выявленные уязвимости.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footerReference r:id="rId7" w:type="first"/>
      <w:pgSz w:h="16838" w:w="11906" w:orient="portrait"/>
      <w:pgMar w:bottom="1021" w:top="1021" w:left="1021" w:right="1021" w:header="680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