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1pqoj7vpixsl" w:id="0"/>
      <w:bookmarkEnd w:id="0"/>
      <w:r w:rsidDel="00000000" w:rsidR="00000000" w:rsidRPr="00000000">
        <w:rPr>
          <w:rtl w:val="0"/>
        </w:rPr>
        <w:t xml:space="preserve">Общие сведения</w:t>
      </w:r>
    </w:p>
    <w:p w:rsidR="00000000" w:rsidDel="00000000" w:rsidP="00000000" w:rsidRDefault="00000000" w:rsidRPr="00000000" w14:paraId="00000002">
      <w:pPr>
        <w:keepNext w:val="1"/>
        <w:spacing w:after="0" w:lineRule="auto"/>
        <w:rPr/>
      </w:pPr>
      <w:r w:rsidDel="00000000" w:rsidR="00000000" w:rsidRPr="00000000">
        <w:rPr>
          <w:rtl w:val="0"/>
        </w:rPr>
        <w:t xml:space="preserve">ЦАРС - система для учёта бумажных и электронных документов Банка, с функцией контроля поступления, передвижения, хранения и своевременного уничтожения, а также с возможностью поиска и предоставления оригиналов, бумажных и электронных копий документов по запросам.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20" w:line="240" w:lineRule="auto"/>
        <w:ind w:left="0" w:right="0" w:firstLine="0"/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Рисунок 1. Интерфейс пользователя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20" w:line="240" w:lineRule="auto"/>
        <w:ind w:left="0" w:right="0" w:firstLine="0"/>
        <w:jc w:val="center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numPr>
          <w:ilvl w:val="1"/>
          <w:numId w:val="2"/>
        </w:numPr>
        <w:ind w:left="0" w:firstLine="0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2jek7ikzqhx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Данные об объекте тестирования</w:t>
      </w:r>
    </w:p>
    <w:tbl>
      <w:tblPr>
        <w:tblStyle w:val="Table1"/>
        <w:tblW w:w="9848.0" w:type="dxa"/>
        <w:jc w:val="left"/>
        <w:tblBorders>
          <w:top w:color="262626" w:space="0" w:sz="6" w:val="single"/>
          <w:left w:color="262626" w:space="0" w:sz="6" w:val="single"/>
          <w:bottom w:color="262626" w:space="0" w:sz="6" w:val="single"/>
          <w:right w:color="262626" w:space="0" w:sz="6" w:val="single"/>
          <w:insideH w:color="262626" w:space="0" w:sz="6" w:val="single"/>
          <w:insideV w:color="262626" w:space="0" w:sz="6" w:val="single"/>
        </w:tblBorders>
        <w:tblLayout w:type="fixed"/>
        <w:tblLook w:val="0400"/>
      </w:tblPr>
      <w:tblGrid>
        <w:gridCol w:w="2381"/>
        <w:gridCol w:w="7467"/>
        <w:tblGridChange w:id="0">
          <w:tblGrid>
            <w:gridCol w:w="2381"/>
            <w:gridCol w:w="746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Наименование АС: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{ asName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КЭ: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{{ keId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URL-адрес тестового стенда ИФТ: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{{ url 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Период тестирования: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{{ dateStart }} – {{ dateEnd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Сегмент сети: 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{{ segment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Исполнители: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Гонтаренко Ирина Валерьевна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numPr>
          <w:ilvl w:val="1"/>
          <w:numId w:val="2"/>
        </w:numPr>
        <w:ind w:left="0" w:firstLine="0"/>
        <w:rPr>
          <w:rFonts w:ascii="Times New Roman" w:cs="Times New Roman" w:eastAsia="Times New Roman" w:hAnsi="Times New Roman"/>
          <w:b w:val="0"/>
          <w:bCs w:val="0"/>
          <w:sz w:val="28"/>
          <w:szCs w:val="28"/>
        </w:rPr>
      </w:pPr>
      <w:bookmarkStart w:colFirst="0" w:colLast="0" w:name="_n9rks9sfdbo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 Модель нарушителя</w:t>
      </w:r>
    </w:p>
    <w:tbl>
      <w:tblPr>
        <w:tblStyle w:val="Table2"/>
        <w:tblW w:w="9848.0" w:type="dxa"/>
        <w:jc w:val="left"/>
        <w:tblBorders>
          <w:top w:color="262626" w:space="0" w:sz="6" w:val="single"/>
          <w:left w:color="262626" w:space="0" w:sz="6" w:val="single"/>
          <w:bottom w:color="262626" w:space="0" w:sz="6" w:val="single"/>
          <w:right w:color="262626" w:space="0" w:sz="6" w:val="single"/>
          <w:insideH w:color="262626" w:space="0" w:sz="6" w:val="single"/>
          <w:insideV w:color="262626" w:space="0" w:sz="6" w:val="single"/>
        </w:tblBorders>
        <w:tblLayout w:type="fixed"/>
        <w:tblLook w:val="0400"/>
      </w:tblPr>
      <w:tblGrid>
        <w:gridCol w:w="2404"/>
        <w:gridCol w:w="7444"/>
        <w:tblGridChange w:id="0">
          <w:tblGrid>
            <w:gridCol w:w="2404"/>
            <w:gridCol w:w="74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{{ goal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Уровень квалификации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{{ qualificationLevel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Уровень доступа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{{ accessLevel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Уровень знаний о системе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{{ knowledgeLevel 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Условия тестирования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{{ testConditions }}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numPr>
          <w:ilvl w:val="1"/>
          <w:numId w:val="2"/>
        </w:numPr>
        <w:ind w:left="0" w:firstLine="0"/>
        <w:rPr/>
      </w:pPr>
      <w:bookmarkStart w:colFirst="0" w:colLast="0" w:name="_28zfe9ruyvfg" w:id="3"/>
      <w:bookmarkEnd w:id="3"/>
      <w:r w:rsidDel="00000000" w:rsidR="00000000" w:rsidRPr="00000000">
        <w:rPr>
          <w:rtl w:val="0"/>
        </w:rPr>
        <w:t xml:space="preserve">Используемое программное обеспечение</w:t>
      </w:r>
    </w:p>
    <w:tbl>
      <w:tblPr>
        <w:tblStyle w:val="Table3"/>
        <w:tblW w:w="9848.0" w:type="dxa"/>
        <w:jc w:val="left"/>
        <w:tblBorders>
          <w:top w:color="262626" w:space="0" w:sz="6" w:val="single"/>
          <w:left w:color="262626" w:space="0" w:sz="6" w:val="single"/>
          <w:bottom w:color="262626" w:space="0" w:sz="6" w:val="single"/>
          <w:right w:color="262626" w:space="0" w:sz="6" w:val="single"/>
          <w:insideH w:color="262626" w:space="0" w:sz="6" w:val="single"/>
          <w:insideV w:color="262626" w:space="0" w:sz="6" w:val="single"/>
        </w:tblBorders>
        <w:tblLayout w:type="fixed"/>
        <w:tblLook w:val="0400"/>
      </w:tblPr>
      <w:tblGrid>
        <w:gridCol w:w="2404"/>
        <w:gridCol w:w="7444"/>
        <w:tblGridChange w:id="0">
          <w:tblGrid>
            <w:gridCol w:w="2404"/>
            <w:gridCol w:w="74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Burp Suite 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Интегрированная платформа для тестирования безопасности веб-приложений как в ручном, так и в автоматических режимах. Перехватывает сообщения, проходящие по протоколу HTTP(S) в режиме man-in-the-middle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ind w:left="0" w:firstLine="0"/>
        <w:rPr/>
      </w:pPr>
      <w:bookmarkStart w:colFirst="0" w:colLast="0" w:name="_sec039qihgn6" w:id="4"/>
      <w:bookmarkEnd w:id="4"/>
      <w:r w:rsidDel="00000000" w:rsidR="00000000" w:rsidRPr="00000000">
        <w:rPr>
          <w:rtl w:val="0"/>
        </w:rPr>
        <w:t xml:space="preserve">{% for s in software %}{{ s.name }} {{ s.description }}{% endfor %}</w:t>
      </w:r>
    </w:p>
    <w:p w:rsidR="00000000" w:rsidDel="00000000" w:rsidP="00000000" w:rsidRDefault="00000000" w:rsidRPr="00000000" w14:paraId="00000023">
      <w:pPr>
        <w:pStyle w:val="Heading2"/>
        <w:numPr>
          <w:ilvl w:val="1"/>
          <w:numId w:val="2"/>
        </w:numPr>
        <w:ind w:left="0" w:firstLine="0"/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bookmarkStart w:colFirst="0" w:colLast="0" w:name="_c5b01a536wuo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Методика тестирования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В качестве методического руководства для тестирования защищенности используется стандарт OWASP WSTG (Web Security Testing Guide).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Сценарии тестирования разбиты на группы по следующим направлениям: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сбор информации;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управления конфигурациями и развёртыванием;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управления идентификацией;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аутентификации;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авторизации;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управления сессиями;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контроля входных данных;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корректной обработки ошибок;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криптографии;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бизнес-логики;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на стороне клиента;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Детальное описание методики и проведенных тестов описано в </w:t>
      </w:r>
    </w:p>
    <w:p w:rsidR="00000000" w:rsidDel="00000000" w:rsidP="00000000" w:rsidRDefault="00000000" w:rsidRPr="00000000" w14:paraId="00000033">
      <w:pPr>
        <w:rPr>
          <w:color w:val="44546a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0"/>
          <w:szCs w:val="40"/>
          <w:rtl w:val="0"/>
        </w:rPr>
        <w:t xml:space="preserve">Приложение 1. Чек-лист проведения тестирования.</w:t>
      </w:r>
      <w:r w:rsidDel="00000000" w:rsidR="00000000" w:rsidRPr="00000000">
        <w:rPr>
          <w:color w:val="44546a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  <w:sectPr>
          <w:footerReference r:id="rId6" w:type="default"/>
          <w:footerReference r:id="rId7" w:type="first"/>
          <w:pgSz w:h="16838" w:w="11906" w:orient="portrait"/>
          <w:pgMar w:bottom="1021" w:top="1021" w:left="1021" w:right="1021" w:header="680" w:footer="709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numPr>
          <w:ilvl w:val="1"/>
          <w:numId w:val="2"/>
        </w:numPr>
        <w:ind w:left="0" w:firstLine="0"/>
        <w:rPr>
          <w:rFonts w:ascii="Times New Roman" w:cs="Times New Roman" w:eastAsia="Times New Roman" w:hAnsi="Times New Roman"/>
          <w:b w:val="0"/>
          <w:bCs w:val="0"/>
          <w:sz w:val="32"/>
          <w:szCs w:val="32"/>
        </w:rPr>
      </w:pPr>
      <w:bookmarkStart w:colFirst="0" w:colLast="0" w:name="_gxyynjcuq5gc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32"/>
          <w:szCs w:val="32"/>
          <w:rtl w:val="0"/>
        </w:rPr>
        <w:t xml:space="preserve">Подготовка к тестированию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2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26"/>
          <w:sz w:val="24"/>
          <w:szCs w:val="24"/>
          <w:u w:val="none"/>
          <w:shd w:fill="auto" w:val="clear"/>
          <w:vertAlign w:val="baseline"/>
          <w:rtl w:val="0"/>
        </w:rPr>
        <w:t xml:space="preserve">Тестирование включало в себя проведение практического анализа защищенности веб</w:t>
      </w:r>
      <w:r w:rsidDel="00000000" w:rsidR="00000000" w:rsidRPr="00000000">
        <w:rPr>
          <w:rtl w:val="0"/>
        </w:rPr>
        <w:t xml:space="preserve">/В ходе подготовки к тестированию Исполнителю были предоставлены учетные записи, представленные в таблице 1.</w:t>
      </w:r>
    </w:p>
    <w:p w:rsidR="00000000" w:rsidDel="00000000" w:rsidP="00000000" w:rsidRDefault="00000000" w:rsidRPr="00000000" w14:paraId="0000003B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Таблица 1 Перечень предоставленных учетных записей</w:t>
      </w:r>
    </w:p>
    <w:tbl>
      <w:tblPr>
        <w:tblStyle w:val="Table4"/>
        <w:tblW w:w="98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27"/>
        <w:gridCol w:w="4927"/>
        <w:tblGridChange w:id="0">
          <w:tblGrid>
            <w:gridCol w:w="4927"/>
            <w:gridCol w:w="4927"/>
          </w:tblGrid>
        </w:tblGridChange>
      </w:tblGrid>
      <w:tr>
        <w:trPr>
          <w:cantSplit w:val="0"/>
          <w:trHeight w:val="442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Имя учетной записи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Права и роли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021" w:top="1021" w:left="1021" w:right="1021" w:header="283" w:footer="28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  <w:tab w:val="left" w:leader="none" w:pos="2693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  <w:rtl w:val="0"/>
      </w:rPr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  <w:rtl w:val="0"/>
      </w:rPr>
      <w:t xml:space="preserve">t</w:t>
    </w:r>
  </w:p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7947" w:hanging="7947"/>
      </w:pPr>
      <w:rPr/>
    </w:lvl>
    <w:lvl w:ilvl="2">
      <w:start w:val="1"/>
      <w:numFmt w:val="decimal"/>
      <w:lvlText w:val="%1.%2.%3"/>
      <w:lvlJc w:val="left"/>
      <w:pPr>
        <w:ind w:left="1855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262626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360" w:line="240" w:lineRule="auto"/>
      <w:ind w:left="432" w:hanging="432"/>
    </w:pPr>
    <w:rPr>
      <w:color w:val="44546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280" w:line="276" w:lineRule="auto"/>
      <w:ind w:left="578" w:hanging="578"/>
    </w:pPr>
    <w:rPr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360" w:lineRule="auto"/>
      <w:ind w:left="720" w:hanging="720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="276" w:lineRule="auto"/>
      <w:ind w:left="578" w:hanging="578"/>
    </w:pPr>
    <w:rPr>
      <w:rFonts w:ascii="Calibri" w:cs="Calibri" w:eastAsia="Calibri" w:hAnsi="Calibri"/>
      <w:i w:val="1"/>
      <w:iCs w:val="1"/>
      <w:sz w:val="32"/>
      <w:szCs w:val="3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