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ind w:left="0"/>
        <w:rPr/>
      </w:pPr>
      <w:bookmarkStart w:colFirst="0" w:colLast="0" w:name="_1pqoj7vpixsl" w:id="0"/>
      <w:bookmarkEnd w:id="0"/>
      <w:r w:rsidDel="00000000" w:rsidR="00000000" w:rsidRPr="00000000">
        <w:rPr>
          <w:rtl w:val="0"/>
        </w:rPr>
        <w:t xml:space="preserve">{{ chapter_num }}. </w:t>
      </w:r>
      <w:r w:rsidDel="00000000" w:rsidR="00000000" w:rsidRPr="00000000">
        <w:rPr>
          <w:rtl w:val="0"/>
        </w:rPr>
        <w:t xml:space="preserve">Общие сведения</w:t>
      </w:r>
    </w:p>
    <w:p w:rsidR="00000000" w:rsidDel="00000000" w:rsidP="00000000" w:rsidRDefault="00000000" w:rsidRPr="00000000" w14:paraId="00000002">
      <w:pPr>
        <w:spacing w:after="0" w:line="240" w:lineRule="auto"/>
        <w:rPr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tl w:val="0"/>
        </w:rPr>
        <w:t xml:space="preserve">{{p description_doc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ind w:left="0" w:firstLine="0"/>
        <w:rPr>
          <w:rFonts w:ascii="Times New Roman" w:cs="Times New Roman" w:eastAsia="Times New Roman" w:hAnsi="Times New Roman"/>
          <w:b w:val="0"/>
          <w:bCs w:val="0"/>
          <w:sz w:val="28"/>
          <w:szCs w:val="28"/>
        </w:rPr>
      </w:pPr>
      <w:bookmarkStart w:colFirst="0" w:colLast="0" w:name="_2jek7ikzqhxf" w:id="1"/>
      <w:bookmarkEnd w:id="1"/>
      <w:r w:rsidDel="00000000" w:rsidR="00000000" w:rsidRPr="00000000">
        <w:rPr>
          <w:sz w:val="28"/>
          <w:szCs w:val="28"/>
          <w:rtl w:val="0"/>
        </w:rPr>
        <w:t xml:space="preserve">{{ sub(1) }}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8"/>
          <w:szCs w:val="28"/>
          <w:rtl w:val="0"/>
        </w:rPr>
        <w:t xml:space="preserve">Данные об объекте тестирования</w:t>
      </w:r>
    </w:p>
    <w:tbl>
      <w:tblPr>
        <w:tblStyle w:val="Table1"/>
        <w:tblW w:w="9848.0" w:type="dxa"/>
        <w:jc w:val="left"/>
        <w:tblBorders>
          <w:top w:color="262626" w:space="0" w:sz="6" w:val="single"/>
          <w:left w:color="262626" w:space="0" w:sz="6" w:val="single"/>
          <w:bottom w:color="262626" w:space="0" w:sz="6" w:val="single"/>
          <w:right w:color="262626" w:space="0" w:sz="6" w:val="single"/>
          <w:insideH w:color="262626" w:space="0" w:sz="6" w:val="single"/>
          <w:insideV w:color="262626" w:space="0" w:sz="6" w:val="single"/>
        </w:tblBorders>
        <w:tblLayout w:type="fixed"/>
        <w:tblLook w:val="0400"/>
      </w:tblPr>
      <w:tblGrid>
        <w:gridCol w:w="2381"/>
        <w:gridCol w:w="7467"/>
        <w:tblGridChange w:id="0">
          <w:tblGrid>
            <w:gridCol w:w="2381"/>
            <w:gridCol w:w="7467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Наименование АС:</w:t>
            </w:r>
          </w:p>
        </w:tc>
        <w:tc>
          <w:tcPr/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 xml:space="preserve">{{ asName 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КЭ:</w:t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  <w:t xml:space="preserve">{{ keId 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URL-адрес тестового стенда ИФТ:</w:t>
            </w:r>
          </w:p>
        </w:tc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{{ url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Период тестирования:</w:t>
            </w:r>
          </w:p>
        </w:tc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{{ dateStart }} – {{ dateEnd 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C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Сегмент сети: </w:t>
            </w:r>
          </w:p>
        </w:tc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{{ segment 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Исполнители:</w:t>
            </w:r>
          </w:p>
        </w:tc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{{ executors }}</w:t>
            </w:r>
          </w:p>
        </w:tc>
      </w:tr>
    </w:tbl>
    <w:p w:rsidR="00000000" w:rsidDel="00000000" w:rsidP="00000000" w:rsidRDefault="00000000" w:rsidRPr="00000000" w14:paraId="00000010">
      <w:pPr>
        <w:pStyle w:val="Heading2"/>
        <w:ind w:left="0" w:firstLine="0"/>
        <w:rPr>
          <w:rFonts w:ascii="Times New Roman" w:cs="Times New Roman" w:eastAsia="Times New Roman" w:hAnsi="Times New Roman"/>
          <w:b w:val="0"/>
          <w:bCs w:val="0"/>
          <w:sz w:val="28"/>
          <w:szCs w:val="28"/>
        </w:rPr>
      </w:pPr>
      <w:bookmarkStart w:colFirst="0" w:colLast="0" w:name="_n9rks9sfdbo8" w:id="2"/>
      <w:bookmarkEnd w:id="2"/>
      <w:r w:rsidDel="00000000" w:rsidR="00000000" w:rsidRPr="00000000">
        <w:rPr>
          <w:sz w:val="28"/>
          <w:szCs w:val="28"/>
          <w:rtl w:val="0"/>
        </w:rPr>
        <w:t xml:space="preserve">{{ sub(2) }}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8"/>
          <w:szCs w:val="28"/>
          <w:rtl w:val="0"/>
        </w:rPr>
        <w:t xml:space="preserve">Модель нарушителя</w:t>
      </w:r>
    </w:p>
    <w:tbl>
      <w:tblPr>
        <w:tblStyle w:val="Table2"/>
        <w:tblW w:w="9848.0" w:type="dxa"/>
        <w:jc w:val="left"/>
        <w:tblBorders>
          <w:top w:color="262626" w:space="0" w:sz="6" w:val="single"/>
          <w:left w:color="262626" w:space="0" w:sz="6" w:val="single"/>
          <w:bottom w:color="262626" w:space="0" w:sz="6" w:val="single"/>
          <w:right w:color="262626" w:space="0" w:sz="6" w:val="single"/>
          <w:insideH w:color="262626" w:space="0" w:sz="6" w:val="single"/>
          <w:insideV w:color="262626" w:space="0" w:sz="6" w:val="single"/>
        </w:tblBorders>
        <w:tblLayout w:type="fixed"/>
        <w:tblLook w:val="0400"/>
      </w:tblPr>
      <w:tblGrid>
        <w:gridCol w:w="2404"/>
        <w:gridCol w:w="7444"/>
        <w:tblGridChange w:id="0">
          <w:tblGrid>
            <w:gridCol w:w="2404"/>
            <w:gridCol w:w="7444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Цель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{{ goal 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Уровень квалификации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{{ qualificationLevel 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Уровень доступа</w:t>
            </w: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{{ accessLevel 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Уровень знаний о системе</w:t>
            </w: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{{ knowledgeLevel 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Условия тестирования</w:t>
            </w: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{{ testConditions }}</w:t>
            </w:r>
          </w:p>
        </w:tc>
      </w:tr>
    </w:tbl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ind w:left="0" w:firstLine="0"/>
        <w:rPr/>
      </w:pPr>
      <w:bookmarkStart w:colFirst="0" w:colLast="0" w:name="_28zfe9ruyvfg" w:id="3"/>
      <w:bookmarkEnd w:id="3"/>
      <w:r w:rsidDel="00000000" w:rsidR="00000000" w:rsidRPr="00000000">
        <w:rPr>
          <w:sz w:val="28"/>
          <w:szCs w:val="28"/>
          <w:rtl w:val="0"/>
        </w:rPr>
        <w:t xml:space="preserve">{{ sub(3) }} </w:t>
      </w:r>
      <w:r w:rsidDel="00000000" w:rsidR="00000000" w:rsidRPr="00000000">
        <w:rPr>
          <w:rtl w:val="0"/>
        </w:rPr>
        <w:t xml:space="preserve">Используемое программное обеспечение</w:t>
      </w:r>
    </w:p>
    <w:tbl>
      <w:tblPr>
        <w:tblStyle w:val="Table3"/>
        <w:tblW w:w="9848.0" w:type="dxa"/>
        <w:jc w:val="left"/>
        <w:tblBorders>
          <w:top w:color="262626" w:space="0" w:sz="6" w:val="single"/>
          <w:left w:color="262626" w:space="0" w:sz="6" w:val="single"/>
          <w:bottom w:color="262626" w:space="0" w:sz="6" w:val="single"/>
          <w:right w:color="262626" w:space="0" w:sz="6" w:val="single"/>
          <w:insideH w:color="262626" w:space="0" w:sz="6" w:val="single"/>
          <w:insideV w:color="262626" w:space="0" w:sz="6" w:val="single"/>
        </w:tblBorders>
        <w:tblLayout w:type="fixed"/>
        <w:tblLook w:val="0400"/>
      </w:tblPr>
      <w:tblGrid>
        <w:gridCol w:w="2404"/>
        <w:gridCol w:w="7444"/>
        <w:tblGridChange w:id="0">
          <w:tblGrid>
            <w:gridCol w:w="2404"/>
            <w:gridCol w:w="7444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Burp Suite </w:t>
            </w:r>
          </w:p>
        </w:tc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Интегрированная платформа для тестирования безопасности веб-приложений как в ручном, так и в автоматических режимах. Перехватывает сообщения, проходящие по протоколу HTTP(S) в режиме man-in-the-middle</w:t>
            </w:r>
          </w:p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0">
      <w:pPr>
        <w:pStyle w:val="Heading2"/>
        <w:ind w:left="0" w:firstLine="0"/>
        <w:rPr/>
      </w:pPr>
      <w:bookmarkStart w:colFirst="0" w:colLast="0" w:name="_sec039qihgn6" w:id="4"/>
      <w:bookmarkEnd w:id="4"/>
      <w:r w:rsidDel="00000000" w:rsidR="00000000" w:rsidRPr="00000000">
        <w:rPr>
          <w:rtl w:val="0"/>
        </w:rPr>
        <w:t xml:space="preserve">{% for s in software %} {{ s.name }} {{ s.description }}{% endfor %}</w:t>
      </w:r>
    </w:p>
    <w:p w:rsidR="00000000" w:rsidDel="00000000" w:rsidP="00000000" w:rsidRDefault="00000000" w:rsidRPr="00000000" w14:paraId="00000021">
      <w:pPr>
        <w:pStyle w:val="Heading2"/>
        <w:ind w:left="0" w:firstLine="0"/>
        <w:rPr>
          <w:rFonts w:ascii="Times New Roman" w:cs="Times New Roman" w:eastAsia="Times New Roman" w:hAnsi="Times New Roman"/>
          <w:b w:val="0"/>
          <w:bCs w:val="0"/>
          <w:sz w:val="32"/>
          <w:szCs w:val="32"/>
        </w:rPr>
      </w:pPr>
      <w:bookmarkStart w:colFirst="0" w:colLast="0" w:name="_c5b01a536wuo" w:id="5"/>
      <w:bookmarkEnd w:id="5"/>
      <w:r w:rsidDel="00000000" w:rsidR="00000000" w:rsidRPr="00000000">
        <w:rPr>
          <w:sz w:val="28"/>
          <w:szCs w:val="28"/>
          <w:rtl w:val="0"/>
        </w:rPr>
        <w:t xml:space="preserve">{{ sub(4) }}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32"/>
          <w:szCs w:val="32"/>
          <w:rtl w:val="0"/>
        </w:rPr>
        <w:t xml:space="preserve">Методика тестирования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В качестве методического руководства для тестирования защищенности используется стандарт OWASP WSTG (Web Security Testing Guide).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Сценарии тестирования разбиты на группы по следующим направлениям: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сбор информации;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тестирование управления конфигурациями и развёртыванием;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тестирование управления идентификацией;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тестирование аутентификации;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тестирование авторизации;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тестирование управления сессиями;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тестирование контроля входных данных;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тестирование корректной обработки ошибок;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тестирование криптографии;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тестирование бизнес-логики;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тестирование на стороне клиента;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тестирование API.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color w:val="44546a"/>
        </w:rPr>
      </w:pPr>
      <w:r w:rsidDel="00000000" w:rsidR="00000000" w:rsidRPr="00000000">
        <w:rPr>
          <w:rtl w:val="0"/>
        </w:rPr>
        <w:t xml:space="preserve">Детальное описание методики и проведенных тестов описано в п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rtl w:val="0"/>
        </w:rPr>
        <w:t xml:space="preserve">риложение 1. Чек-лист проведения тестирования.</w:t>
      </w:r>
      <w:r w:rsidDel="00000000" w:rsidR="00000000" w:rsidRPr="00000000">
        <w:rPr>
          <w:color w:val="44546a"/>
          <w:rtl w:val="0"/>
        </w:rPr>
        <w:t xml:space="preserve"> 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  <w:sectPr>
          <w:footerReference r:id="rId6" w:type="default"/>
          <w:footerReference r:id="rId7" w:type="first"/>
          <w:pgSz w:h="16838" w:w="11906" w:orient="portrait"/>
          <w:pgMar w:bottom="1021" w:top="1021" w:left="1021" w:right="1021" w:header="680" w:footer="709"/>
          <w:pgNumType w:start="1"/>
          <w:titlePg w:val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2"/>
        <w:ind w:left="0" w:firstLine="0"/>
        <w:rPr>
          <w:rFonts w:ascii="Times New Roman" w:cs="Times New Roman" w:eastAsia="Times New Roman" w:hAnsi="Times New Roman"/>
          <w:b w:val="0"/>
          <w:bCs w:val="0"/>
          <w:sz w:val="32"/>
          <w:szCs w:val="32"/>
        </w:rPr>
      </w:pPr>
      <w:bookmarkStart w:colFirst="0" w:colLast="0" w:name="_gxyynjcuq5gc" w:id="6"/>
      <w:bookmarkEnd w:id="6"/>
      <w:r w:rsidDel="00000000" w:rsidR="00000000" w:rsidRPr="00000000">
        <w:rPr>
          <w:sz w:val="28"/>
          <w:szCs w:val="28"/>
          <w:rtl w:val="0"/>
        </w:rPr>
        <w:t xml:space="preserve">{{ sub(5) }}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32"/>
          <w:szCs w:val="32"/>
          <w:rtl w:val="0"/>
        </w:rPr>
        <w:t xml:space="preserve">Подготовка к тестированию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320" w:line="240" w:lineRule="auto"/>
        <w:ind w:left="0" w:right="0"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Тестирование включало в себя проведение практического анализа защищенности веб</w:t>
      </w:r>
      <w:r w:rsidDel="00000000" w:rsidR="00000000" w:rsidRPr="00000000">
        <w:rPr>
          <w:rtl w:val="0"/>
        </w:rPr>
        <w:t xml:space="preserve">/В ходе подготовки к тестированию Исполнителю были предоставлены учетные записи, представленные в таблице 1.</w:t>
      </w:r>
    </w:p>
    <w:p w:rsidR="00000000" w:rsidDel="00000000" w:rsidP="00000000" w:rsidRDefault="00000000" w:rsidRPr="00000000" w14:paraId="00000038">
      <w:pPr>
        <w:jc w:val="righ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Таблица {{next_table()}} Перечень предоставленных учетных записей</w:t>
      </w:r>
    </w:p>
    <w:tbl>
      <w:tblPr>
        <w:tblStyle w:val="Table4"/>
        <w:tblW w:w="985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927"/>
        <w:gridCol w:w="4927"/>
        <w:tblGridChange w:id="0">
          <w:tblGrid>
            <w:gridCol w:w="4927"/>
            <w:gridCol w:w="4927"/>
          </w:tblGrid>
        </w:tblGridChange>
      </w:tblGrid>
      <w:tr>
        <w:trPr>
          <w:cantSplit w:val="0"/>
          <w:trHeight w:val="442" w:hRule="atLeast"/>
          <w:tblHeader w:val="0"/>
        </w:trPr>
        <w:tc>
          <w:tcPr/>
          <w:p w:rsidR="00000000" w:rsidDel="00000000" w:rsidP="00000000" w:rsidRDefault="00000000" w:rsidRPr="00000000" w14:paraId="00000039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Имя учетной записи</w:t>
            </w:r>
          </w:p>
        </w:tc>
        <w:tc>
          <w:tcPr/>
          <w:p w:rsidR="00000000" w:rsidDel="00000000" w:rsidP="00000000" w:rsidRDefault="00000000" w:rsidRPr="00000000" w14:paraId="0000003A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Права и роли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0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sectPr>
      <w:type w:val="nextPage"/>
      <w:pgSz w:h="16838" w:w="11906" w:orient="portrait"/>
      <w:pgMar w:bottom="1021" w:top="1021" w:left="1021" w:right="1021" w:header="283" w:footer="283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  <w:tab w:val="left" w:leader="none" w:pos="2693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262626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262626"/>
        <w:sz w:val="24"/>
        <w:szCs w:val="24"/>
        <w:u w:val="none"/>
        <w:shd w:fill="auto" w:val="clear"/>
        <w:vertAlign w:val="baseline"/>
        <w:rtl w:val="0"/>
      </w:rPr>
      <w:tab/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262626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262626"/>
        <w:sz w:val="24"/>
        <w:szCs w:val="24"/>
        <w:u w:val="none"/>
        <w:shd w:fill="auto" w:val="clear"/>
        <w:vertAlign w:val="baseline"/>
        <w:rtl w:val="0"/>
      </w:rPr>
      <w:t xml:space="preserve">t</w:t>
    </w:r>
  </w:p>
  <w:p w:rsidR="00000000" w:rsidDel="00000000" w:rsidP="00000000" w:rsidRDefault="00000000" w:rsidRPr="00000000" w14:paraId="0000004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262626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color w:val="262626"/>
        <w:sz w:val="24"/>
        <w:szCs w:val="24"/>
        <w:lang w:val="ru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240" w:before="360" w:line="240" w:lineRule="auto"/>
      <w:ind w:left="432" w:hanging="432"/>
    </w:pPr>
    <w:rPr>
      <w:color w:val="44546a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before="280" w:line="276" w:lineRule="auto"/>
      <w:ind w:left="578" w:hanging="578"/>
    </w:pPr>
    <w:rPr>
      <w:sz w:val="32"/>
      <w:szCs w:val="32"/>
      <w:u w:val="single"/>
    </w:rPr>
  </w:style>
  <w:style w:type="paragraph" w:styleId="Heading3">
    <w:name w:val="heading 3"/>
    <w:basedOn w:val="Normal"/>
    <w:next w:val="Normal"/>
    <w:pPr>
      <w:keepNext w:val="1"/>
      <w:keepLines w:val="1"/>
      <w:spacing w:after="240" w:before="360" w:lineRule="auto"/>
      <w:ind w:left="720" w:hanging="720"/>
    </w:pPr>
    <w:rPr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="276" w:lineRule="auto"/>
      <w:ind w:left="578" w:hanging="578"/>
    </w:pPr>
    <w:rPr>
      <w:rFonts w:ascii="Calibri" w:cs="Calibri" w:eastAsia="Calibri" w:hAnsi="Calibri"/>
      <w:i w:val="1"/>
      <w:iCs w:val="1"/>
      <w:sz w:val="32"/>
      <w:szCs w:val="3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40" w:lineRule="auto"/>
      <w:ind w:left="1008" w:hanging="1008"/>
    </w:pPr>
    <w:rPr>
      <w:rFonts w:ascii="Calibri" w:cs="Calibri" w:eastAsia="Calibri" w:hAnsi="Calibri"/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  <w:ind w:left="1152" w:hanging="1152"/>
    </w:pPr>
    <w:rPr>
      <w:rFonts w:ascii="Calibri" w:cs="Calibri" w:eastAsia="Calibri" w:hAnsi="Calibri"/>
      <w:color w:val="1f3863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/>
    <w:rPr>
      <w:color w:val="5a5a5a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Relationship Id="rId7" Type="http://schemas.openxmlformats.org/officeDocument/2006/relationships/footer" Target="foot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