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bookmarkStart w:colFirst="0" w:colLast="0" w:name="_b1mjwjhrv9p" w:id="0"/>
      <w:bookmarkEnd w:id="0"/>
      <w:r w:rsidDel="00000000" w:rsidR="00000000" w:rsidRPr="00000000">
        <w:rPr>
          <w:rtl w:val="0"/>
        </w:rPr>
        <w:t xml:space="preserve">{{ chapter_num }}.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Определения</w:t>
      </w:r>
    </w:p>
    <w:p w:rsidR="00000000" w:rsidDel="00000000" w:rsidP="00000000" w:rsidRDefault="00000000" w:rsidRPr="00000000" w14:paraId="00000002">
      <w:pPr>
        <w:pStyle w:val="Heading2"/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qqw4u734e39o" w:id="1"/>
      <w:bookmarkEnd w:id="1"/>
      <w:r w:rsidDel="00000000" w:rsidR="00000000" w:rsidRPr="00000000">
        <w:rPr>
          <w:rtl w:val="0"/>
        </w:rPr>
        <w:t xml:space="preserve">{{ sub(1) 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Классификация уровня угрозы CVSS v4.0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8"/>
          <w:szCs w:val="28"/>
          <w:u w:val="none"/>
          <w:shd w:fill="auto" w:val="clear"/>
          <w:vertAlign w:val="baseline"/>
          <w:rtl w:val="0"/>
        </w:rPr>
        <w:t xml:space="preserve">Критичный (9.0-10.0)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уязвимости могут привести к компрометации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данных, доступности информационной системы или сервисов, выполнению произвольного кода, неправомерной модификации данных при низкой сложности получения доступа;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Высокий (7.0-8.9)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– уязвимости могут привести к компрометации данных, доступности информационной системы или сервисов, выполнению произвольного кода, неправомерной модификации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5911"/>
          <w:sz w:val="28"/>
          <w:szCs w:val="28"/>
          <w:u w:val="none"/>
          <w:shd w:fill="auto" w:val="clear"/>
          <w:vertAlign w:val="baseline"/>
          <w:rtl w:val="0"/>
        </w:rPr>
        <w:t xml:space="preserve">Средний (4.0-6.9)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– уязвимости не приводят напрямую к компрометации данных или неавторизованному доступу, но предоставляют возможность или информацию, которая может быть использована нарушителем в совокупности с другими уязвимостями для компрометации ресурса;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Низкий (0.0-3.9)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  <w:rtl w:val="0"/>
        </w:rPr>
        <w:t xml:space="preserve">– все остальные уязвимости, которые не могут привести к компрометации данных, но могут быть использованы нарушителем для сбора информации, формирования вектора атаки.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h1wlfvdnxr2c" w:id="2"/>
      <w:bookmarkEnd w:id="2"/>
      <w:r w:rsidDel="00000000" w:rsidR="00000000" w:rsidRPr="00000000">
        <w:rPr>
          <w:rtl w:val="0"/>
        </w:rPr>
        <w:t xml:space="preserve">{{ sub(2) }}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Особенности расчета базовых значений уровня угрозы по методологии CVSS v4.0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Качественная оценка уязвимости, выражаемая через базовые метрики, включает в себя следующие параметры: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вектор атаки (AV) – показывает, как уязвимость может быть использована (эксплуатирована);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сложность атаки (АС) – показывает, насколько легко или сложно использовать данную уязвимость;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уровень привилегий (PR) – требуемый уровень привилегий, необходимых для реализации атаки;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взаимодействие с пользователем (UI) – описывает, требуются ли для успешной реализации атаки какие-либо действия со стороны пользователя атакуемой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атаке (AT) – описывает необходимые условия развертывания и выполнения или переменные уязвимой системы, которые позволяют осуществить атаку.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Помимо базовых метрик также указываются дополнительные: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влияние на конфиденциальность уязвимой системы (VС) – описывает влияние на конфиденциальность данных, обрабатываемых системой;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влияние на целостность уязвимой системы (VI) – описывает влияние на целостность данных, обрабатываемых в системе;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влияние на доступность уязвимой системы (VА) – описывает влияние уязвимости на доступность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влияние на конфиденциальность смежных систем (SC);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влияние на целостность смежных систем (SI);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влияние на доступность смежных систем (SA).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28"/>
          <w:szCs w:val="28"/>
          <w:rtl w:val="0"/>
        </w:rPr>
        <w:t xml:space="preserve">Параметры для расчета базовой оценки выражаются следующей текстовой строкой, называемой вектором, например: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CVSS:4.0/AV:N/AC:L/AT:N/PR:N/UI:N/VC: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