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numPr>
          <w:ilvl w:val="0"/>
          <w:numId w:val="1"/>
        </w:numPr>
        <w:spacing w:before="360" w:after="240" w:line="240"/>
        <w:ind w:right="0" w:left="432" w:hanging="432"/>
        <w:jc w:val="left"/>
        <w:rPr>
          <w:rFonts w:ascii="Calibri" w:hAnsi="Calibri" w:cs="Calibri" w:eastAsia="Calibri"/>
          <w:color w:val="44546A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44546A"/>
          <w:spacing w:val="0"/>
          <w:position w:val="0"/>
          <w:sz w:val="40"/>
          <w:shd w:fill="auto" w:val="clear"/>
        </w:rPr>
        <w:t xml:space="preserve">Общие сведения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  <w:t xml:space="preserve">{{p goal_doc }}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</w:p>
    <w:p>
      <w:pPr>
        <w:spacing w:before="320" w:after="200" w:line="240"/>
        <w:ind w:right="0" w:left="0" w:firstLine="0"/>
        <w:jc w:val="left"/>
        <w:rPr>
          <w:rFonts w:ascii="Calibri" w:hAnsi="Calibri" w:cs="Calibri" w:eastAsia="Calibri"/>
          <w:b/>
          <w:i/>
          <w:color w:val="262626"/>
          <w:spacing w:val="0"/>
          <w:position w:val="0"/>
          <w:sz w:val="28"/>
          <w:shd w:fill="auto" w:val="clear"/>
        </w:rPr>
      </w:pPr>
    </w:p>
    <w:p>
      <w:pPr>
        <w:spacing w:before="320" w:after="200" w:line="240"/>
        <w:ind w:right="0" w:left="0" w:firstLine="0"/>
        <w:jc w:val="left"/>
        <w:rPr>
          <w:rFonts w:ascii="Calibri" w:hAnsi="Calibri" w:cs="Calibri" w:eastAsia="Calibri"/>
          <w:b/>
          <w:i/>
          <w:color w:val="262626"/>
          <w:spacing w:val="0"/>
          <w:position w:val="0"/>
          <w:sz w:val="28"/>
          <w:shd w:fill="auto" w:val="clear"/>
        </w:rPr>
      </w:pPr>
    </w:p>
    <w:p>
      <w:pPr>
        <w:spacing w:before="320" w:after="200" w:line="240"/>
        <w:ind w:right="0" w:left="0" w:firstLine="0"/>
        <w:jc w:val="left"/>
        <w:rPr>
          <w:rFonts w:ascii="Calibri" w:hAnsi="Calibri" w:cs="Calibri" w:eastAsia="Calibri"/>
          <w:b/>
          <w:i/>
          <w:color w:val="262626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i/>
          <w:color w:val="262626"/>
          <w:spacing w:val="0"/>
          <w:position w:val="0"/>
          <w:sz w:val="28"/>
          <w:shd w:fill="auto" w:val="clear"/>
        </w:rPr>
        <w:t xml:space="preserve">фывфывфывфыв</w:t>
      </w:r>
    </w:p>
    <w:p>
      <w:pPr>
        <w:spacing w:before="320" w:after="200" w:line="240"/>
        <w:ind w:right="0" w:left="0" w:firstLine="0"/>
        <w:jc w:val="left"/>
        <w:rPr>
          <w:rFonts w:ascii="Calibri" w:hAnsi="Calibri" w:cs="Calibri" w:eastAsia="Calibri"/>
          <w:b/>
          <w:i/>
          <w:color w:val="262626"/>
          <w:spacing w:val="0"/>
          <w:position w:val="0"/>
          <w:sz w:val="28"/>
          <w:shd w:fill="auto" w:val="clear"/>
        </w:rPr>
      </w:pPr>
    </w:p>
    <w:p>
      <w:pPr>
        <w:keepNext w:val="true"/>
        <w:keepLines w:val="true"/>
        <w:numPr>
          <w:ilvl w:val="0"/>
          <w:numId w:val="4"/>
        </w:numPr>
        <w:spacing w:before="280" w:after="160" w:line="276"/>
        <w:ind w:right="0" w:left="0" w:firstLine="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8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8"/>
          <w:u w:val="single"/>
          <w:shd w:fill="auto" w:val="clear"/>
        </w:rPr>
        <w:t xml:space="preserve">Данные об объекте тестирования</w:t>
      </w:r>
    </w:p>
    <w:tbl>
      <w:tblPr/>
      <w:tblGrid>
        <w:gridCol w:w="2381"/>
        <w:gridCol w:w="7467"/>
      </w:tblGrid>
      <w:tr>
        <w:trPr>
          <w:trHeight w:val="1" w:hRule="atLeast"/>
          <w:jc w:val="left"/>
        </w:trPr>
        <w:tc>
          <w:tcPr>
            <w:tcW w:w="2381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262626"/>
                <w:spacing w:val="0"/>
                <w:position w:val="0"/>
                <w:sz w:val="24"/>
                <w:shd w:fill="auto" w:val="clear"/>
              </w:rPr>
              <w:t xml:space="preserve">Наименование АС:</w:t>
            </w:r>
          </w:p>
        </w:tc>
        <w:tc>
          <w:tcPr>
            <w:tcW w:w="7467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{{ asName }}</w:t>
            </w:r>
          </w:p>
        </w:tc>
      </w:tr>
      <w:tr>
        <w:trPr>
          <w:trHeight w:val="1" w:hRule="atLeast"/>
          <w:jc w:val="left"/>
        </w:trPr>
        <w:tc>
          <w:tcPr>
            <w:tcW w:w="2381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262626"/>
                <w:spacing w:val="0"/>
                <w:position w:val="0"/>
                <w:sz w:val="24"/>
                <w:shd w:fill="auto" w:val="clear"/>
              </w:rPr>
              <w:t xml:space="preserve">КЭ:</w:t>
            </w:r>
          </w:p>
        </w:tc>
        <w:tc>
          <w:tcPr>
            <w:tcW w:w="7467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{{ keId }}</w:t>
            </w:r>
          </w:p>
        </w:tc>
      </w:tr>
      <w:tr>
        <w:trPr>
          <w:trHeight w:val="1" w:hRule="atLeast"/>
          <w:jc w:val="left"/>
        </w:trPr>
        <w:tc>
          <w:tcPr>
            <w:tcW w:w="2381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262626"/>
                <w:spacing w:val="0"/>
                <w:position w:val="0"/>
                <w:sz w:val="24"/>
                <w:shd w:fill="auto" w:val="clear"/>
              </w:rPr>
              <w:t xml:space="preserve">URL-</w:t>
            </w:r>
            <w:r>
              <w:rPr>
                <w:rFonts w:ascii="Calibri" w:hAnsi="Calibri" w:cs="Calibri" w:eastAsia="Calibri"/>
                <w:i/>
                <w:color w:val="262626"/>
                <w:spacing w:val="0"/>
                <w:position w:val="0"/>
                <w:sz w:val="24"/>
                <w:shd w:fill="auto" w:val="clear"/>
              </w:rPr>
              <w:t xml:space="preserve">адрес тестового стенда ИФТ:</w:t>
            </w:r>
          </w:p>
        </w:tc>
        <w:tc>
          <w:tcPr>
            <w:tcW w:w="7467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8"/>
                <w:shd w:fill="auto" w:val="clear"/>
              </w:rPr>
              <w:t xml:space="preserve">{{ url }}</w:t>
            </w:r>
          </w:p>
        </w:tc>
      </w:tr>
      <w:tr>
        <w:trPr>
          <w:trHeight w:val="1" w:hRule="atLeast"/>
          <w:jc w:val="left"/>
        </w:trPr>
        <w:tc>
          <w:tcPr>
            <w:tcW w:w="2381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262626"/>
                <w:spacing w:val="0"/>
                <w:position w:val="0"/>
                <w:sz w:val="24"/>
                <w:shd w:fill="auto" w:val="clear"/>
              </w:rPr>
              <w:t xml:space="preserve">Период тестирования:</w:t>
            </w:r>
          </w:p>
        </w:tc>
        <w:tc>
          <w:tcPr>
            <w:tcW w:w="7467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{{ dateStart }} </w:t>
            </w: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– {{ dateEnd }}</w:t>
            </w:r>
          </w:p>
        </w:tc>
      </w:tr>
      <w:tr>
        <w:trPr>
          <w:trHeight w:val="1" w:hRule="atLeast"/>
          <w:jc w:val="left"/>
        </w:trPr>
        <w:tc>
          <w:tcPr>
            <w:tcW w:w="2381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262626"/>
                <w:spacing w:val="0"/>
                <w:position w:val="0"/>
                <w:sz w:val="24"/>
                <w:shd w:fill="auto" w:val="clear"/>
              </w:rPr>
              <w:t xml:space="preserve">Сегмент сети: </w:t>
            </w:r>
          </w:p>
        </w:tc>
        <w:tc>
          <w:tcPr>
            <w:tcW w:w="7467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{{ segment }}</w:t>
            </w:r>
          </w:p>
        </w:tc>
      </w:tr>
      <w:tr>
        <w:trPr>
          <w:trHeight w:val="1" w:hRule="atLeast"/>
          <w:jc w:val="left"/>
        </w:trPr>
        <w:tc>
          <w:tcPr>
            <w:tcW w:w="2381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262626"/>
                <w:spacing w:val="0"/>
                <w:position w:val="0"/>
                <w:sz w:val="24"/>
                <w:shd w:fill="auto" w:val="clear"/>
              </w:rPr>
              <w:t xml:space="preserve">Исполнители:</w:t>
            </w:r>
          </w:p>
        </w:tc>
        <w:tc>
          <w:tcPr>
            <w:tcW w:w="7467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Гонтаренко Ирина Валерьевна</w:t>
            </w:r>
          </w:p>
        </w:tc>
      </w:tr>
    </w:tbl>
    <w:p>
      <w:pPr>
        <w:keepNext w:val="true"/>
        <w:keepLines w:val="true"/>
        <w:numPr>
          <w:ilvl w:val="0"/>
          <w:numId w:val="19"/>
        </w:numPr>
        <w:spacing w:before="280" w:after="160" w:line="276"/>
        <w:ind w:right="0" w:left="0" w:firstLine="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8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8"/>
          <w:u w:val="single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8"/>
          <w:u w:val="single"/>
          <w:shd w:fill="auto" w:val="clear"/>
        </w:rPr>
        <w:t xml:space="preserve">Модель нарушителя</w:t>
      </w:r>
    </w:p>
    <w:tbl>
      <w:tblPr/>
      <w:tblGrid>
        <w:gridCol w:w="2404"/>
        <w:gridCol w:w="7444"/>
      </w:tblGrid>
      <w:tr>
        <w:trPr>
          <w:trHeight w:val="1" w:hRule="atLeast"/>
          <w:jc w:val="left"/>
        </w:trPr>
        <w:tc>
          <w:tcPr>
            <w:tcW w:w="2404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262626"/>
                <w:spacing w:val="0"/>
                <w:position w:val="0"/>
                <w:sz w:val="24"/>
                <w:shd w:fill="auto" w:val="clear"/>
              </w:rPr>
              <w:t xml:space="preserve">Цель</w:t>
            </w:r>
          </w:p>
        </w:tc>
        <w:tc>
          <w:tcPr>
            <w:tcW w:w="7444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404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262626"/>
                <w:spacing w:val="0"/>
                <w:position w:val="0"/>
                <w:sz w:val="24"/>
                <w:shd w:fill="auto" w:val="clear"/>
              </w:rPr>
              <w:t xml:space="preserve">Уровень квалификации</w:t>
            </w:r>
          </w:p>
        </w:tc>
        <w:tc>
          <w:tcPr>
            <w:tcW w:w="7444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{{ qualificationLevel }}</w:t>
            </w:r>
          </w:p>
        </w:tc>
      </w:tr>
      <w:tr>
        <w:trPr>
          <w:trHeight w:val="1" w:hRule="atLeast"/>
          <w:jc w:val="left"/>
        </w:trPr>
        <w:tc>
          <w:tcPr>
            <w:tcW w:w="2404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262626"/>
                <w:spacing w:val="0"/>
                <w:position w:val="0"/>
                <w:sz w:val="24"/>
                <w:shd w:fill="auto" w:val="clear"/>
              </w:rPr>
              <w:t xml:space="preserve">Уровень доступа</w:t>
            </w: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:</w:t>
            </w:r>
          </w:p>
        </w:tc>
        <w:tc>
          <w:tcPr>
            <w:tcW w:w="7444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{{ accessLevel }}</w:t>
            </w:r>
          </w:p>
        </w:tc>
      </w:tr>
      <w:tr>
        <w:trPr>
          <w:trHeight w:val="1" w:hRule="atLeast"/>
          <w:jc w:val="left"/>
        </w:trPr>
        <w:tc>
          <w:tcPr>
            <w:tcW w:w="2404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262626"/>
                <w:spacing w:val="0"/>
                <w:position w:val="0"/>
                <w:sz w:val="24"/>
                <w:shd w:fill="auto" w:val="clear"/>
              </w:rPr>
              <w:t xml:space="preserve">Уровень знаний о системе</w:t>
            </w: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:</w:t>
            </w:r>
          </w:p>
        </w:tc>
        <w:tc>
          <w:tcPr>
            <w:tcW w:w="7444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{{ knowledgeLevel }}</w:t>
            </w:r>
          </w:p>
        </w:tc>
      </w:tr>
      <w:tr>
        <w:trPr>
          <w:trHeight w:val="1" w:hRule="atLeast"/>
          <w:jc w:val="left"/>
        </w:trPr>
        <w:tc>
          <w:tcPr>
            <w:tcW w:w="2404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262626"/>
                <w:spacing w:val="0"/>
                <w:position w:val="0"/>
                <w:sz w:val="24"/>
                <w:shd w:fill="auto" w:val="clear"/>
              </w:rPr>
              <w:t xml:space="preserve">Условия тестирования</w:t>
            </w: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:</w:t>
            </w:r>
          </w:p>
        </w:tc>
        <w:tc>
          <w:tcPr>
            <w:tcW w:w="7444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{{p testConditions_doc }}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33"/>
        </w:numPr>
        <w:spacing w:before="280" w:after="160" w:line="276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color w:val="262626"/>
          <w:spacing w:val="0"/>
          <w:position w:val="0"/>
          <w:sz w:val="32"/>
          <w:u w:val="single"/>
          <w:shd w:fill="auto" w:val="clear"/>
        </w:rPr>
        <w:t xml:space="preserve">Используемое программное обеспечение</w:t>
      </w:r>
    </w:p>
    <w:tbl>
      <w:tblPr/>
      <w:tblGrid>
        <w:gridCol w:w="2404"/>
        <w:gridCol w:w="7444"/>
      </w:tblGrid>
      <w:tr>
        <w:trPr>
          <w:trHeight w:val="1" w:hRule="atLeast"/>
          <w:jc w:val="left"/>
        </w:trPr>
        <w:tc>
          <w:tcPr>
            <w:tcW w:w="2404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Burp Suite </w:t>
            </w:r>
          </w:p>
        </w:tc>
        <w:tc>
          <w:tcPr>
            <w:tcW w:w="7444" w:type="dxa"/>
            <w:tcBorders>
              <w:top w:val="single" w:color="262626" w:sz="6"/>
              <w:left w:val="single" w:color="262626" w:sz="6"/>
              <w:bottom w:val="single" w:color="262626" w:sz="6"/>
              <w:right w:val="single" w:color="262626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  <w:t xml:space="preserve">Интегрированная платформа для тестирования безопасности веб-приложений как в ручном, так и в автоматических режимах. Перехватывает сообщения, проходящие по протоколу HTTP(S) в режиме man-in-the-middle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</w:p>
        </w:tc>
      </w:tr>
    </w:tbl>
    <w:p>
      <w:pPr>
        <w:keepNext w:val="true"/>
        <w:keepLines w:val="true"/>
        <w:spacing w:before="280" w:after="160" w:line="276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color w:val="262626"/>
          <w:spacing w:val="0"/>
          <w:position w:val="0"/>
          <w:sz w:val="32"/>
          <w:u w:val="single"/>
          <w:shd w:fill="auto" w:val="clear"/>
        </w:rPr>
        <w:t xml:space="preserve">{% for s in software %}{{ s.name }} {{ s.description }}{% endfor %}</w:t>
      </w:r>
    </w:p>
    <w:p>
      <w:pPr>
        <w:keepNext w:val="true"/>
        <w:keepLines w:val="true"/>
        <w:numPr>
          <w:ilvl w:val="0"/>
          <w:numId w:val="38"/>
        </w:numPr>
        <w:spacing w:before="280" w:after="160" w:line="276"/>
        <w:ind w:right="0" w:left="0" w:firstLine="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32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32"/>
          <w:u w:val="single"/>
          <w:shd w:fill="auto" w:val="clear"/>
        </w:rPr>
        <w:t xml:space="preserve">Методика тестирования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  <w:t xml:space="preserve">В качестве методического руководства для тестирования защищенности используется стандарт OWASP WSTG (Web Security Testing Guide).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  <w:t xml:space="preserve">Сценарии тестирования разбиты на группы по следующим направлениям:</w:t>
      </w:r>
    </w:p>
    <w:p>
      <w:pPr>
        <w:numPr>
          <w:ilvl w:val="0"/>
          <w:numId w:val="40"/>
        </w:numPr>
        <w:spacing w:before="0" w:after="0" w:line="259"/>
        <w:ind w:right="0" w:left="720" w:hanging="36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  <w:t xml:space="preserve">сбор информации;</w:t>
      </w:r>
    </w:p>
    <w:p>
      <w:pPr>
        <w:numPr>
          <w:ilvl w:val="0"/>
          <w:numId w:val="40"/>
        </w:numPr>
        <w:spacing w:before="0" w:after="0" w:line="259"/>
        <w:ind w:right="0" w:left="720" w:hanging="36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  <w:t xml:space="preserve">тестирование управления конфигурациями и развёртыванием;</w:t>
      </w:r>
    </w:p>
    <w:p>
      <w:pPr>
        <w:numPr>
          <w:ilvl w:val="0"/>
          <w:numId w:val="40"/>
        </w:numPr>
        <w:spacing w:before="0" w:after="0" w:line="259"/>
        <w:ind w:right="0" w:left="720" w:hanging="36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  <w:t xml:space="preserve">тестирование управления идентификацией;</w:t>
      </w:r>
    </w:p>
    <w:p>
      <w:pPr>
        <w:numPr>
          <w:ilvl w:val="0"/>
          <w:numId w:val="40"/>
        </w:numPr>
        <w:spacing w:before="0" w:after="0" w:line="259"/>
        <w:ind w:right="0" w:left="720" w:hanging="36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  <w:t xml:space="preserve">тестирование аутентификации;</w:t>
      </w:r>
    </w:p>
    <w:p>
      <w:pPr>
        <w:numPr>
          <w:ilvl w:val="0"/>
          <w:numId w:val="40"/>
        </w:numPr>
        <w:spacing w:before="0" w:after="0" w:line="259"/>
        <w:ind w:right="0" w:left="720" w:hanging="36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  <w:t xml:space="preserve">тестирование авторизации;</w:t>
      </w:r>
    </w:p>
    <w:p>
      <w:pPr>
        <w:numPr>
          <w:ilvl w:val="0"/>
          <w:numId w:val="40"/>
        </w:numPr>
        <w:spacing w:before="0" w:after="0" w:line="259"/>
        <w:ind w:right="0" w:left="720" w:hanging="36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  <w:t xml:space="preserve">тестирование управления сессиями;</w:t>
      </w:r>
    </w:p>
    <w:p>
      <w:pPr>
        <w:numPr>
          <w:ilvl w:val="0"/>
          <w:numId w:val="40"/>
        </w:numPr>
        <w:spacing w:before="0" w:after="0" w:line="259"/>
        <w:ind w:right="0" w:left="720" w:hanging="36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  <w:t xml:space="preserve">тестирование контроля входных данных;</w:t>
      </w:r>
    </w:p>
    <w:p>
      <w:pPr>
        <w:numPr>
          <w:ilvl w:val="0"/>
          <w:numId w:val="40"/>
        </w:numPr>
        <w:spacing w:before="0" w:after="0" w:line="259"/>
        <w:ind w:right="0" w:left="720" w:hanging="36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  <w:t xml:space="preserve">тестирование корректной обработки ошибок;</w:t>
      </w:r>
    </w:p>
    <w:p>
      <w:pPr>
        <w:numPr>
          <w:ilvl w:val="0"/>
          <w:numId w:val="40"/>
        </w:numPr>
        <w:spacing w:before="0" w:after="0" w:line="259"/>
        <w:ind w:right="0" w:left="720" w:hanging="36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  <w:t xml:space="preserve">тестирование криптографии;</w:t>
      </w:r>
    </w:p>
    <w:p>
      <w:pPr>
        <w:numPr>
          <w:ilvl w:val="0"/>
          <w:numId w:val="40"/>
        </w:numPr>
        <w:spacing w:before="0" w:after="0" w:line="259"/>
        <w:ind w:right="0" w:left="720" w:hanging="36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  <w:t xml:space="preserve">тестирование бизнес-логики;</w:t>
      </w:r>
    </w:p>
    <w:p>
      <w:pPr>
        <w:numPr>
          <w:ilvl w:val="0"/>
          <w:numId w:val="40"/>
        </w:numPr>
        <w:spacing w:before="0" w:after="0" w:line="259"/>
        <w:ind w:right="0" w:left="720" w:hanging="36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  <w:t xml:space="preserve">тестирование на стороне клиента;</w:t>
      </w:r>
    </w:p>
    <w:p>
      <w:pPr>
        <w:numPr>
          <w:ilvl w:val="0"/>
          <w:numId w:val="40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  <w:t xml:space="preserve">тестирование API.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  <w:t xml:space="preserve">Детальное описание методики и проведенных тестов описано в 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44546A"/>
          <w:spacing w:val="0"/>
          <w:position w:val="0"/>
          <w:sz w:val="40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40"/>
          <w:shd w:fill="auto" w:val="clear"/>
        </w:rPr>
        <w:t xml:space="preserve">Приложение 1. Чек-лист проведения тестирования.</w:t>
      </w:r>
      <w:r>
        <w:rPr>
          <w:rFonts w:ascii="Times New Roman" w:hAnsi="Times New Roman" w:cs="Times New Roman" w:eastAsia="Times New Roman"/>
          <w:color w:val="44546A"/>
          <w:spacing w:val="0"/>
          <w:position w:val="0"/>
          <w:sz w:val="40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43"/>
        </w:numPr>
        <w:spacing w:before="280" w:after="160" w:line="276"/>
        <w:ind w:right="0" w:left="0" w:firstLine="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32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32"/>
          <w:u w:val="single"/>
          <w:shd w:fill="auto" w:val="clear"/>
        </w:rPr>
        <w:t xml:space="preserve">Подготовка к тестированию</w:t>
      </w:r>
    </w:p>
    <w:p>
      <w:pPr>
        <w:spacing w:before="320" w:after="200" w:line="240"/>
        <w:ind w:right="0" w:left="0" w:firstLine="0"/>
        <w:jc w:val="left"/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u w:val="single"/>
          <w:shd w:fill="auto" w:val="clear"/>
        </w:rPr>
        <w:t xml:space="preserve">Тестирование включало в себя проведение практического анализа защищенности веб</w:t>
      </w:r>
      <w:r>
        <w:rPr>
          <w:rFonts w:ascii="Times New Roman" w:hAnsi="Times New Roman" w:cs="Times New Roman" w:eastAsia="Times New Roman"/>
          <w:color w:val="262626"/>
          <w:spacing w:val="0"/>
          <w:position w:val="0"/>
          <w:sz w:val="24"/>
          <w:shd w:fill="auto" w:val="clear"/>
        </w:rPr>
        <w:t xml:space="preserve">/В ходе подготовки к тестированию Исполнителю были предоставлены учетные записи, представленные в таблице 1.</w:t>
      </w:r>
    </w:p>
    <w:p>
      <w:pPr>
        <w:spacing w:before="0" w:after="160" w:line="259"/>
        <w:ind w:right="0" w:left="0" w:firstLine="0"/>
        <w:jc w:val="right"/>
        <w:rPr>
          <w:rFonts w:ascii="Calibri" w:hAnsi="Calibri" w:cs="Calibri" w:eastAsia="Calibri"/>
          <w:b/>
          <w:color w:val="262626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62626"/>
          <w:spacing w:val="0"/>
          <w:position w:val="0"/>
          <w:sz w:val="24"/>
          <w:shd w:fill="auto" w:val="clear"/>
        </w:rPr>
        <w:t xml:space="preserve">Таблица 1 Перечень предоставленных учетных записей</w:t>
      </w:r>
    </w:p>
    <w:tbl>
      <w:tblPr/>
      <w:tblGrid>
        <w:gridCol w:w="4927"/>
        <w:gridCol w:w="4927"/>
      </w:tblGrid>
      <w:tr>
        <w:trPr>
          <w:trHeight w:val="442" w:hRule="auto"/>
          <w:jc w:val="left"/>
        </w:trPr>
        <w:tc>
          <w:tcPr>
            <w:tcW w:w="492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4"/>
                <w:shd w:fill="auto" w:val="clear"/>
              </w:rPr>
              <w:t xml:space="preserve">Имя учетной записи</w:t>
            </w:r>
          </w:p>
        </w:tc>
        <w:tc>
          <w:tcPr>
            <w:tcW w:w="492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4"/>
                <w:shd w:fill="auto" w:val="clear"/>
              </w:rPr>
              <w:t xml:space="preserve">Права и роли</w:t>
            </w:r>
          </w:p>
        </w:tc>
      </w:tr>
      <w:tr>
        <w:trPr>
          <w:trHeight w:val="1" w:hRule="atLeast"/>
          <w:jc w:val="left"/>
        </w:trPr>
        <w:tc>
          <w:tcPr>
            <w:tcW w:w="492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262626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</w:p>
        </w:tc>
        <w:tc>
          <w:tcPr>
            <w:tcW w:w="492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righ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num w:numId="1">
    <w:abstractNumId w:val="36"/>
  </w:num>
  <w:num w:numId="4">
    <w:abstractNumId w:val="30"/>
  </w:num>
  <w:num w:numId="19">
    <w:abstractNumId w:val="24"/>
  </w:num>
  <w:num w:numId="33">
    <w:abstractNumId w:val="18"/>
  </w:num>
  <w:num w:numId="38">
    <w:abstractNumId w:val="12"/>
  </w:num>
  <w:num w:numId="40">
    <w:abstractNumId w:val="6"/>
  </w:num>
  <w:num w:numId="4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