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ind w:left="0"/>
        <w:rPr/>
      </w:pPr>
      <w:bookmarkStart w:colFirst="0" w:colLast="0" w:name="_1pqoj7vpixsl" w:id="0"/>
      <w:bookmarkEnd w:id="0"/>
      <w:r w:rsidDel="00000000" w:rsidR="00000000" w:rsidRPr="00000000">
        <w:rPr>
          <w:rtl w:val="0"/>
        </w:rPr>
        <w:t xml:space="preserve">{{ chapter_num }}. </w:t>
      </w:r>
      <w:r w:rsidDel="00000000" w:rsidR="00000000" w:rsidRPr="00000000">
        <w:rPr>
          <w:rtl w:val="0"/>
        </w:rPr>
        <w:t xml:space="preserve">Общие сведения</w:t>
      </w:r>
    </w:p>
    <w:p w:rsidR="00000000" w:rsidDel="00000000" w:rsidP="00000000" w:rsidRDefault="00000000" w:rsidRPr="00000000" w14:paraId="00000002">
      <w:pPr>
        <w:spacing w:after="0" w:line="240" w:lineRule="auto"/>
        <w:rPr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tl w:val="0"/>
        </w:rPr>
        <w:t xml:space="preserve">{{p description_doc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numPr>
          <w:ilvl w:val="1"/>
          <w:numId w:val="2"/>
        </w:numPr>
        <w:ind w:left="0" w:firstLine="0"/>
        <w:rPr>
          <w:rFonts w:ascii="Times New Roman" w:cs="Times New Roman" w:eastAsia="Times New Roman" w:hAnsi="Times New Roman"/>
          <w:b w:val="0"/>
          <w:bCs w:val="0"/>
          <w:sz w:val="28"/>
          <w:szCs w:val="28"/>
        </w:rPr>
      </w:pPr>
      <w:bookmarkStart w:colFirst="0" w:colLast="0" w:name="_2jek7ikzqhxf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8"/>
          <w:szCs w:val="28"/>
          <w:rtl w:val="0"/>
        </w:rPr>
        <w:t xml:space="preserve">Данные об объекте тестирования</w:t>
      </w:r>
    </w:p>
    <w:tbl>
      <w:tblPr>
        <w:tblStyle w:val="Table1"/>
        <w:tblW w:w="9848.0" w:type="dxa"/>
        <w:jc w:val="left"/>
        <w:tblBorders>
          <w:top w:color="262626" w:space="0" w:sz="6" w:val="single"/>
          <w:left w:color="262626" w:space="0" w:sz="6" w:val="single"/>
          <w:bottom w:color="262626" w:space="0" w:sz="6" w:val="single"/>
          <w:right w:color="262626" w:space="0" w:sz="6" w:val="single"/>
          <w:insideH w:color="262626" w:space="0" w:sz="6" w:val="single"/>
          <w:insideV w:color="262626" w:space="0" w:sz="6" w:val="single"/>
        </w:tblBorders>
        <w:tblLayout w:type="fixed"/>
        <w:tblLook w:val="0400"/>
      </w:tblPr>
      <w:tblGrid>
        <w:gridCol w:w="2381"/>
        <w:gridCol w:w="7467"/>
        <w:tblGridChange w:id="0">
          <w:tblGrid>
            <w:gridCol w:w="2381"/>
            <w:gridCol w:w="746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Наименование АС:</w:t>
            </w:r>
          </w:p>
        </w:tc>
        <w:tc>
          <w:tcPr/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{{ asName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КЭ: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  <w:t xml:space="preserve">{{ keId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URL-адрес тестового стенда ИФТ: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{{ url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Период тестирования:</w:t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  <w:t xml:space="preserve">{{ dateStart }} – {{ dateEnd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Сегмент сети: </w:t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  <w:t xml:space="preserve">{{ segment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Исполнители: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{{ executors_list | join('\n')  }}</w:t>
            </w:r>
          </w:p>
        </w:tc>
      </w:tr>
    </w:tbl>
    <w:p w:rsidR="00000000" w:rsidDel="00000000" w:rsidP="00000000" w:rsidRDefault="00000000" w:rsidRPr="00000000" w14:paraId="00000010">
      <w:pPr>
        <w:pStyle w:val="Heading2"/>
        <w:numPr>
          <w:ilvl w:val="1"/>
          <w:numId w:val="2"/>
        </w:numPr>
        <w:ind w:left="0" w:firstLine="0"/>
        <w:rPr>
          <w:rFonts w:ascii="Times New Roman" w:cs="Times New Roman" w:eastAsia="Times New Roman" w:hAnsi="Times New Roman"/>
          <w:b w:val="0"/>
          <w:bCs w:val="0"/>
          <w:sz w:val="28"/>
          <w:szCs w:val="28"/>
        </w:rPr>
      </w:pPr>
      <w:bookmarkStart w:colFirst="0" w:colLast="0" w:name="_n9rks9sfdbo8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28"/>
          <w:szCs w:val="28"/>
          <w:rtl w:val="0"/>
        </w:rPr>
        <w:t xml:space="preserve"> Модель нарушителя</w:t>
      </w:r>
    </w:p>
    <w:tbl>
      <w:tblPr>
        <w:tblStyle w:val="Table2"/>
        <w:tblW w:w="9848.0" w:type="dxa"/>
        <w:jc w:val="left"/>
        <w:tblBorders>
          <w:top w:color="262626" w:space="0" w:sz="6" w:val="single"/>
          <w:left w:color="262626" w:space="0" w:sz="6" w:val="single"/>
          <w:bottom w:color="262626" w:space="0" w:sz="6" w:val="single"/>
          <w:right w:color="262626" w:space="0" w:sz="6" w:val="single"/>
          <w:insideH w:color="262626" w:space="0" w:sz="6" w:val="single"/>
          <w:insideV w:color="262626" w:space="0" w:sz="6" w:val="single"/>
        </w:tblBorders>
        <w:tblLayout w:type="fixed"/>
        <w:tblLook w:val="0400"/>
      </w:tblPr>
      <w:tblGrid>
        <w:gridCol w:w="2404"/>
        <w:gridCol w:w="7444"/>
        <w:tblGridChange w:id="0">
          <w:tblGrid>
            <w:gridCol w:w="2404"/>
            <w:gridCol w:w="744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Цель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{{ goal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Уровень квалификации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{{ qualificationLevel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Уровень доступа</w:t>
            </w: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{{ accessLevel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Уровень знаний о системе</w:t>
            </w: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{{ knowledgeLevel }}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Условия тестирования</w:t>
            </w: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{{ testConditions }}</w:t>
            </w:r>
          </w:p>
        </w:tc>
      </w:tr>
    </w:tbl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numPr>
          <w:ilvl w:val="1"/>
          <w:numId w:val="2"/>
        </w:numPr>
        <w:ind w:left="0" w:firstLine="0"/>
        <w:rPr/>
      </w:pPr>
      <w:bookmarkStart w:colFirst="0" w:colLast="0" w:name="_28zfe9ruyvfg" w:id="3"/>
      <w:bookmarkEnd w:id="3"/>
      <w:r w:rsidDel="00000000" w:rsidR="00000000" w:rsidRPr="00000000">
        <w:rPr>
          <w:rtl w:val="0"/>
        </w:rPr>
        <w:t xml:space="preserve">Используемое программное обеспечение</w:t>
      </w:r>
    </w:p>
    <w:tbl>
      <w:tblPr>
        <w:tblStyle w:val="Table3"/>
        <w:tblW w:w="9848.0" w:type="dxa"/>
        <w:jc w:val="left"/>
        <w:tblBorders>
          <w:top w:color="262626" w:space="0" w:sz="6" w:val="single"/>
          <w:left w:color="262626" w:space="0" w:sz="6" w:val="single"/>
          <w:bottom w:color="262626" w:space="0" w:sz="6" w:val="single"/>
          <w:right w:color="262626" w:space="0" w:sz="6" w:val="single"/>
          <w:insideH w:color="262626" w:space="0" w:sz="6" w:val="single"/>
          <w:insideV w:color="262626" w:space="0" w:sz="6" w:val="single"/>
        </w:tblBorders>
        <w:tblLayout w:type="fixed"/>
        <w:tblLook w:val="0400"/>
      </w:tblPr>
      <w:tblGrid>
        <w:gridCol w:w="2404"/>
        <w:gridCol w:w="7444"/>
        <w:tblGridChange w:id="0">
          <w:tblGrid>
            <w:gridCol w:w="2404"/>
            <w:gridCol w:w="7444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Burp Suite </w:t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Интегрированная платформа для тестирования безопасности веб-приложений как в ручном, так и в автоматических режимах. Перехватывает сообщения, проходящие по протоколу HTTP(S) в режиме man-in-the-middle</w:t>
            </w:r>
          </w:p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0">
      <w:pPr>
        <w:pStyle w:val="Heading2"/>
        <w:ind w:left="0" w:firstLine="0"/>
        <w:rPr/>
      </w:pPr>
      <w:bookmarkStart w:colFirst="0" w:colLast="0" w:name="_sec039qihgn6" w:id="4"/>
      <w:bookmarkEnd w:id="4"/>
      <w:r w:rsidDel="00000000" w:rsidR="00000000" w:rsidRPr="00000000">
        <w:rPr>
          <w:rtl w:val="0"/>
        </w:rPr>
        <w:t xml:space="preserve">{% for s in software %} {{ s.name }} {{ s.description }}{% endfor %}</w:t>
      </w:r>
    </w:p>
    <w:p w:rsidR="00000000" w:rsidDel="00000000" w:rsidP="00000000" w:rsidRDefault="00000000" w:rsidRPr="00000000" w14:paraId="00000021">
      <w:pPr>
        <w:pStyle w:val="Heading2"/>
        <w:numPr>
          <w:ilvl w:val="1"/>
          <w:numId w:val="2"/>
        </w:numPr>
        <w:ind w:left="0" w:firstLine="0"/>
        <w:rPr>
          <w:rFonts w:ascii="Times New Roman" w:cs="Times New Roman" w:eastAsia="Times New Roman" w:hAnsi="Times New Roman"/>
          <w:b w:val="0"/>
          <w:bCs w:val="0"/>
          <w:sz w:val="32"/>
          <w:szCs w:val="32"/>
        </w:rPr>
      </w:pPr>
      <w:bookmarkStart w:colFirst="0" w:colLast="0" w:name="_c5b01a536wuo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32"/>
          <w:szCs w:val="32"/>
          <w:rtl w:val="0"/>
        </w:rPr>
        <w:t xml:space="preserve">Методика тестирования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В качестве методического руководства для тестирования защищенности используется стандарт OWASP WSTG (Web Security Testing Guide).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Сценарии тестирования разбиты на группы по следующим направлениям: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сбор информации;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управления конфигурациями и развёртыванием;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управления идентификацией;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аутентификации;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авторизации;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управления сессиями;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контроля входных данных;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корректной обработки ошибок;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криптографии;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бизнес-логики;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на стороне клиента;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API.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Детальное описание методики и проведенных тестов описано в </w:t>
      </w:r>
    </w:p>
    <w:p w:rsidR="00000000" w:rsidDel="00000000" w:rsidP="00000000" w:rsidRDefault="00000000" w:rsidRPr="00000000" w14:paraId="00000031">
      <w:pPr>
        <w:rPr>
          <w:color w:val="44546a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40"/>
          <w:szCs w:val="40"/>
          <w:rtl w:val="0"/>
        </w:rPr>
        <w:t xml:space="preserve">Приложение 1. Чек-лист проведения тестирования.</w:t>
      </w:r>
      <w:r w:rsidDel="00000000" w:rsidR="00000000" w:rsidRPr="00000000">
        <w:rPr>
          <w:color w:val="44546a"/>
          <w:sz w:val="40"/>
          <w:szCs w:val="40"/>
          <w:rtl w:val="0"/>
        </w:rPr>
        <w:t xml:space="preserve"> 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  <w:sectPr>
          <w:footerReference r:id="rId6" w:type="default"/>
          <w:footerReference r:id="rId7" w:type="first"/>
          <w:pgSz w:h="16838" w:w="11906" w:orient="portrait"/>
          <w:pgMar w:bottom="1021" w:top="1021" w:left="1021" w:right="1021" w:header="680" w:footer="709"/>
          <w:pgNumType w:start="1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numPr>
          <w:ilvl w:val="1"/>
          <w:numId w:val="2"/>
        </w:numPr>
        <w:ind w:left="0" w:firstLine="0"/>
        <w:rPr>
          <w:rFonts w:ascii="Times New Roman" w:cs="Times New Roman" w:eastAsia="Times New Roman" w:hAnsi="Times New Roman"/>
          <w:b w:val="0"/>
          <w:bCs w:val="0"/>
          <w:sz w:val="32"/>
          <w:szCs w:val="32"/>
        </w:rPr>
      </w:pPr>
      <w:bookmarkStart w:colFirst="0" w:colLast="0" w:name="_gxyynjcuq5gc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sz w:val="32"/>
          <w:szCs w:val="32"/>
          <w:rtl w:val="0"/>
        </w:rPr>
        <w:t xml:space="preserve">Подготовка к тестированию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320" w:line="240" w:lineRule="auto"/>
        <w:ind w:left="0" w:right="0" w:firstLine="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  <w:rtl w:val="0"/>
        </w:rPr>
        <w:t xml:space="preserve">Тестирование включало в себя проведение практического анализа защищенности веб</w:t>
      </w:r>
      <w:r w:rsidDel="00000000" w:rsidR="00000000" w:rsidRPr="00000000">
        <w:rPr>
          <w:rtl w:val="0"/>
        </w:rPr>
        <w:t xml:space="preserve">/В ходе подготовки к тестированию Исполнителю были предоставлены учетные записи, представленные в таблице 1.</w:t>
      </w:r>
    </w:p>
    <w:p w:rsidR="00000000" w:rsidDel="00000000" w:rsidP="00000000" w:rsidRDefault="00000000" w:rsidRPr="00000000" w14:paraId="00000039">
      <w:pPr>
        <w:jc w:val="right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Таблица 1 Перечень предоставленных учетных записей</w:t>
      </w:r>
    </w:p>
    <w:tbl>
      <w:tblPr>
        <w:tblStyle w:val="Table4"/>
        <w:tblW w:w="985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927"/>
        <w:gridCol w:w="4927"/>
        <w:tblGridChange w:id="0">
          <w:tblGrid>
            <w:gridCol w:w="4927"/>
            <w:gridCol w:w="4927"/>
          </w:tblGrid>
        </w:tblGridChange>
      </w:tblGrid>
      <w:tr>
        <w:trPr>
          <w:cantSplit w:val="0"/>
          <w:trHeight w:val="442" w:hRule="atLeast"/>
          <w:tblHeader w:val="0"/>
        </w:trPr>
        <w:tc>
          <w:tcPr/>
          <w:p w:rsidR="00000000" w:rsidDel="00000000" w:rsidP="00000000" w:rsidRDefault="00000000" w:rsidRPr="00000000" w14:paraId="0000003A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Имя учетной записи</w:t>
            </w:r>
          </w:p>
        </w:tc>
        <w:tc>
          <w:tcPr/>
          <w:p w:rsidR="00000000" w:rsidDel="00000000" w:rsidP="00000000" w:rsidRDefault="00000000" w:rsidRPr="00000000" w14:paraId="0000003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Права и роли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sectPr>
      <w:type w:val="nextPage"/>
      <w:pgSz w:h="16838" w:w="11906" w:orient="portrait"/>
      <w:pgMar w:bottom="1021" w:top="1021" w:left="1021" w:right="1021" w:header="283" w:footer="283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  <w:tab w:val="left" w:leader="none" w:pos="2693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  <w:rtl w:val="0"/>
      </w:rPr>
      <w:tab/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  <w:rtl w:val="0"/>
      </w:rPr>
      <w:t xml:space="preserve">t</w:t>
    </w:r>
  </w:p>
  <w:p w:rsidR="00000000" w:rsidDel="00000000" w:rsidP="00000000" w:rsidRDefault="00000000" w:rsidRPr="00000000" w14:paraId="0000004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262626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decimal"/>
      <w:lvlText w:val="%1"/>
      <w:lvlJc w:val="left"/>
      <w:pPr>
        <w:ind w:left="432" w:hanging="432"/>
      </w:pPr>
      <w:rPr/>
    </w:lvl>
    <w:lvl w:ilvl="1">
      <w:start w:val="1"/>
      <w:numFmt w:val="decimal"/>
      <w:lvlText w:val="%1.%2"/>
      <w:lvlJc w:val="left"/>
      <w:pPr>
        <w:ind w:left="7947" w:hanging="7947"/>
      </w:pPr>
      <w:rPr/>
    </w:lvl>
    <w:lvl w:ilvl="2">
      <w:start w:val="1"/>
      <w:numFmt w:val="decimal"/>
      <w:lvlText w:val="%1.%2.%3"/>
      <w:lvlJc w:val="left"/>
      <w:pPr>
        <w:ind w:left="1855" w:hanging="720"/>
      </w:pPr>
      <w:rPr/>
    </w:lvl>
    <w:lvl w:ilvl="3">
      <w:start w:val="1"/>
      <w:numFmt w:val="decimal"/>
      <w:lvlText w:val="%1.%2.%3.%4"/>
      <w:lvlJc w:val="left"/>
      <w:pPr>
        <w:ind w:left="864" w:hanging="864"/>
      </w:pPr>
      <w:rPr/>
    </w:lvl>
    <w:lvl w:ilvl="4">
      <w:start w:val="1"/>
      <w:numFmt w:val="decimal"/>
      <w:lvlText w:val="%1.%2.%3.%4.%5"/>
      <w:lvlJc w:val="left"/>
      <w:pPr>
        <w:ind w:left="1008" w:hanging="1008"/>
      </w:pPr>
      <w:rPr/>
    </w:lvl>
    <w:lvl w:ilvl="5">
      <w:start w:val="1"/>
      <w:numFmt w:val="decimal"/>
      <w:lvlText w:val="%1.%2.%3.%4.%5.%6"/>
      <w:lvlJc w:val="left"/>
      <w:pPr>
        <w:ind w:left="1152" w:hanging="1152"/>
      </w:pPr>
      <w:rPr/>
    </w:lvl>
    <w:lvl w:ilvl="6">
      <w:start w:val="1"/>
      <w:numFmt w:val="decimal"/>
      <w:lvlText w:val="%1.%2.%3.%4.%5.%6.%7"/>
      <w:lvlJc w:val="left"/>
      <w:pPr>
        <w:ind w:left="1296" w:hanging="1296"/>
      </w:pPr>
      <w:rPr/>
    </w:lvl>
    <w:lvl w:ilvl="7">
      <w:start w:val="1"/>
      <w:numFmt w:val="decimal"/>
      <w:lvlText w:val="%1.%2.%3.%4.%5.%6.%7.%8"/>
      <w:lvlJc w:val="left"/>
      <w:pPr>
        <w:ind w:left="1440" w:hanging="1440"/>
      </w:pPr>
      <w:rPr/>
    </w:lvl>
    <w:lvl w:ilvl="8">
      <w:start w:val="1"/>
      <w:numFmt w:val="decimal"/>
      <w:lvlText w:val="%1.%2.%3.%4.%5.%6.%7.%8.%9"/>
      <w:lvlJc w:val="left"/>
      <w:pPr>
        <w:ind w:left="1584" w:hanging="1584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color w:val="262626"/>
        <w:sz w:val="24"/>
        <w:szCs w:val="24"/>
        <w:lang w:val="r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240" w:before="360" w:line="240" w:lineRule="auto"/>
      <w:ind w:left="432" w:hanging="432"/>
    </w:pPr>
    <w:rPr>
      <w:color w:val="44546a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before="280" w:line="276" w:lineRule="auto"/>
      <w:ind w:left="578" w:hanging="578"/>
    </w:pPr>
    <w:rPr>
      <w:sz w:val="32"/>
      <w:szCs w:val="32"/>
      <w:u w:val="single"/>
    </w:rPr>
  </w:style>
  <w:style w:type="paragraph" w:styleId="Heading3">
    <w:name w:val="heading 3"/>
    <w:basedOn w:val="Normal"/>
    <w:next w:val="Normal"/>
    <w:pPr>
      <w:keepNext w:val="1"/>
      <w:keepLines w:val="1"/>
      <w:spacing w:after="240" w:before="360" w:lineRule="auto"/>
      <w:ind w:left="720" w:hanging="720"/>
    </w:pPr>
    <w:rPr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="276" w:lineRule="auto"/>
      <w:ind w:left="578" w:hanging="578"/>
    </w:pPr>
    <w:rPr>
      <w:rFonts w:ascii="Calibri" w:cs="Calibri" w:eastAsia="Calibri" w:hAnsi="Calibri"/>
      <w:i w:val="1"/>
      <w:iCs w:val="1"/>
      <w:sz w:val="32"/>
      <w:szCs w:val="3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a5a5a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Relationship Id="rId7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